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C33" w:rsidRPr="00743E7E" w:rsidRDefault="000F5C33" w:rsidP="000F5C33">
      <w:pPr>
        <w:widowControl/>
        <w:jc w:val="both"/>
        <w:rPr>
          <w:rFonts w:ascii="Times New Roman" w:hAnsi="Times New Roman" w:cs="Times New Roman"/>
          <w:b/>
          <w:szCs w:val="23"/>
        </w:rPr>
      </w:pPr>
      <w:r>
        <w:rPr>
          <w:rFonts w:ascii="Times New Roman" w:hAnsi="Times New Roman" w:cs="Times New Roman" w:hint="eastAsia"/>
          <w:b/>
          <w:bCs/>
        </w:rPr>
        <w:t>Table</w:t>
      </w:r>
      <w:r w:rsidRPr="00EF426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EV2</w:t>
      </w:r>
      <w:r w:rsidRPr="00743E7E">
        <w:rPr>
          <w:rFonts w:ascii="Times New Roman" w:hAnsi="Times New Roman" w:cs="Times New Roman"/>
          <w:b/>
        </w:rPr>
        <w:t>.</w:t>
      </w:r>
      <w:r w:rsidRPr="00743E7E">
        <w:rPr>
          <w:rFonts w:ascii="Times New Roman" w:eastAsia="PMingLiU" w:hAnsi="Times New Roman" w:cs="Times New Roman"/>
          <w:b/>
          <w:szCs w:val="23"/>
        </w:rPr>
        <w:t xml:space="preserve"> The </w:t>
      </w:r>
      <w:r>
        <w:rPr>
          <w:rFonts w:ascii="Times New Roman" w:hAnsi="Times New Roman" w:cs="Times New Roman" w:hint="eastAsia"/>
          <w:b/>
          <w:szCs w:val="23"/>
        </w:rPr>
        <w:t>down</w:t>
      </w:r>
      <w:r w:rsidRPr="00743E7E">
        <w:rPr>
          <w:rFonts w:ascii="Times New Roman" w:eastAsia="PMingLiU" w:hAnsi="Times New Roman" w:cs="Times New Roman"/>
          <w:b/>
          <w:szCs w:val="23"/>
        </w:rPr>
        <w:t xml:space="preserve">-regulated genes </w:t>
      </w:r>
      <w:r w:rsidRPr="00743E7E">
        <w:rPr>
          <w:rFonts w:ascii="Times New Roman" w:hAnsi="Times New Roman" w:cs="Times New Roman"/>
          <w:b/>
          <w:szCs w:val="23"/>
        </w:rPr>
        <w:t>in 4T1</w:t>
      </w:r>
      <w:r w:rsidRPr="00743E7E">
        <w:rPr>
          <w:rFonts w:ascii="Times New Roman" w:hAnsi="Times New Roman" w:cs="Times New Roman"/>
          <w:b/>
          <w:szCs w:val="23"/>
          <w:vertAlign w:val="subscript"/>
        </w:rPr>
        <w:t>LN</w:t>
      </w:r>
      <w:r w:rsidRPr="00743E7E">
        <w:rPr>
          <w:rFonts w:ascii="Times New Roman" w:hAnsi="Times New Roman" w:cs="Times New Roman"/>
          <w:b/>
          <w:szCs w:val="23"/>
        </w:rPr>
        <w:t xml:space="preserve"> cells, compared to 4T1</w:t>
      </w:r>
      <w:r w:rsidRPr="00743E7E">
        <w:rPr>
          <w:rFonts w:ascii="Times New Roman" w:hAnsi="Times New Roman" w:cs="Times New Roman"/>
          <w:b/>
          <w:szCs w:val="23"/>
          <w:vertAlign w:val="subscript"/>
        </w:rPr>
        <w:t>PT</w:t>
      </w:r>
      <w:r w:rsidRPr="00743E7E">
        <w:rPr>
          <w:rFonts w:ascii="Times New Roman" w:hAnsi="Times New Roman" w:cs="Times New Roman"/>
          <w:b/>
          <w:szCs w:val="23"/>
        </w:rPr>
        <w:t xml:space="preserve"> cells, as determined by microarray analysis.</w:t>
      </w:r>
    </w:p>
    <w:tbl>
      <w:tblPr>
        <w:tblStyle w:val="1"/>
        <w:tblW w:w="8522" w:type="dxa"/>
        <w:jc w:val="center"/>
        <w:tblLook w:val="04A0"/>
      </w:tblPr>
      <w:tblGrid>
        <w:gridCol w:w="2515"/>
        <w:gridCol w:w="4766"/>
        <w:gridCol w:w="1241"/>
      </w:tblGrid>
      <w:tr w:rsidR="000F5C33" w:rsidRPr="00D26DE6" w:rsidTr="008B6C00">
        <w:trPr>
          <w:cnfStyle w:val="1000000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widowControl/>
              <w:jc w:val="both"/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</w:pP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Gene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widowControl/>
              <w:jc w:val="both"/>
              <w:cnfStyle w:val="100000000000"/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</w:pP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Description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widowControl/>
              <w:jc w:val="both"/>
              <w:cnfStyle w:val="100000000000"/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</w:pP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4T1</w:t>
            </w:r>
            <w:r w:rsidRPr="00D26DE6">
              <w:rPr>
                <w:rFonts w:ascii="Times New Roman" w:eastAsia="PMingLiU" w:hAnsi="Times New Roman" w:cs="Times New Roman"/>
                <w:b w:val="0"/>
                <w:kern w:val="0"/>
                <w:vertAlign w:val="subscript"/>
              </w:rPr>
              <w:t>LN</w:t>
            </w: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/</w:t>
            </w:r>
          </w:p>
          <w:p w:rsidR="000F5C33" w:rsidRPr="00D26DE6" w:rsidRDefault="000F5C33" w:rsidP="008B6C00">
            <w:pPr>
              <w:widowControl/>
              <w:jc w:val="both"/>
              <w:cnfStyle w:val="100000000000"/>
              <w:rPr>
                <w:rFonts w:ascii="Times New Roman" w:eastAsia="PMingLiU" w:hAnsi="Times New Roman" w:cs="Times New Roman"/>
                <w:b w:val="0"/>
                <w:kern w:val="0"/>
              </w:rPr>
            </w:pP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4T1</w:t>
            </w:r>
            <w:r w:rsidRPr="00D26DE6">
              <w:rPr>
                <w:rFonts w:ascii="Times New Roman" w:eastAsia="PMingLiU" w:hAnsi="Times New Roman" w:cs="Times New Roman"/>
                <w:b w:val="0"/>
                <w:kern w:val="0"/>
                <w:vertAlign w:val="subscript"/>
              </w:rPr>
              <w:t>PT</w:t>
            </w:r>
            <w:r w:rsidRPr="00D26DE6">
              <w:rPr>
                <w:rFonts w:ascii="Times New Roman" w:eastAsia="PMingLiU" w:hAnsi="Times New Roman" w:cs="Times New Roman"/>
                <w:b w:val="0"/>
                <w:kern w:val="0"/>
              </w:rPr>
              <w:t xml:space="preserve"> </w:t>
            </w: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(log</w:t>
            </w: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  <w:vertAlign w:val="subscript"/>
              </w:rPr>
              <w:t>2</w:t>
            </w:r>
            <w:r w:rsidRPr="00D26DE6">
              <w:rPr>
                <w:rFonts w:ascii="Times New Roman" w:eastAsia="PMingLiU" w:hAnsi="Times New Roman" w:cs="Times New Roman"/>
                <w:b w:val="0"/>
                <w:color w:val="auto"/>
                <w:kern w:val="0"/>
              </w:rPr>
              <w:t>)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Eid1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EP300 interacting inhibitor of differentiation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-11.47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Rsad2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radical S-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adenosyl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methionine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domain containing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-9.58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Nomo1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nodal modulator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-8.92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Ttc39a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tetratricopeptide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repeat domain 39A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-7.47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Rergl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RERG/RAS-like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-6.70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Kcnj6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potassium inwardly-rectifying channel, subfamily J, member 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-6.64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Olfr663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663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-6.30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Lamc2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laminin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, gamma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-5.68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Ccl2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chemokine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(C-C motif)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-5.52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Rhox5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reproductive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homeobox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-5.48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Ppp1r16b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protein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phosphatase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1, regulatory (inhibitor) subunit 16B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-4.65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Vill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villin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-like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-4.58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Steap4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STEAP family member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-4.47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Cfb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complement factor 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-4.30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Ppp1r17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protein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phosphatase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1, regulatory subunit 17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Cyp3a59</w:t>
            </w:r>
          </w:p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|Cyp3a25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cytochrome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P450, subfamily 3A, polypeptide 59|cytochrome P450, family 3, subfamily a, polypeptide 25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Senp3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SUMO/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sentrin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specific peptidase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Smoc1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SPARC related modular calcium binding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Krt78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keratin 78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Irg1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immunoresponsive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gene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-4.02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Krtap7-1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keratin associated protein 7-1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-4.00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Gje1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gap junction protein, epsilon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-3.95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Hp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haptoglobin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-3.94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Nos2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nitric oxide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synthase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2, inducible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-3.93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Ccl20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chemokine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(C-C motif)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-3.89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Ralgps2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Ral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GEF with PH domain and SH3 binding motif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-3.80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Ccdc19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coiled-coil domain containing 19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-3.75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Afp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alpha fetoprotein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-3.70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4931429I11Rik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RIKEN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cDNA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4931429I11 gene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-3.56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Tmem90b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transmembrane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protein 90B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-3.45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Vnn3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vanin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-3.45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Mageb16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melanoma antigen family B, 16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-3.15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Scn2b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sodium channel, voltage-gated, type II, beta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-3.11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Scand1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SCAN domain-containing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-3.11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Esm1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endothelial cell-specific molecule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Adamts2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a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disintegrin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-like and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metallopeptidase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reprolysin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type) with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thrombospondin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type 1 motif,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Olfr1143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1143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4930525F21Rik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RIKEN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cDNA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4930525F21 gene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Olfr121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121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Lyn</w:t>
            </w:r>
          </w:p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|LOC100862590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Yamaguchi sarcoma viral (v-yes-1)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oncogene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homolog|tyrosine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-protein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Lyn-like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Amy1</w:t>
            </w:r>
          </w:p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|Amy2a5</w:t>
            </w:r>
          </w:p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|Amy2b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amylase 1,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salivary|amylase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2a5|amylase 2b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Cyp27b1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cytochrome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P450, family 27, subfamily b, polypeptide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-3.02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Il1a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interleukin 1 alpha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-2.98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Pabpc1l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poly(A) binding protein,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cytoplasmic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1-like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-2.98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Cmpk2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cytidine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monophosphate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(UMP-CMP)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2, mitochondrial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-2.96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Adra1d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adrenergic receptor, alpha 1d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-2.93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Gm10865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predicted gene 10865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-2.91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Acsbg1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acyl-CoA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synthetase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bubblegum family member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-2.91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Mcpt8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mast cell protease 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-2.83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Padi6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peptidyl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arginine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deiminase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, type VI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-2.82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Kif21b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kinesin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family member 21B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-2.80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P2rx3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purinergic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receptor P2X,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-gated ion channel,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-2.79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Cyp39a1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cytochrome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P450, family 39, subfamily a, polypeptide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-2.77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Jph3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junctophilin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-2.76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Il24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interleukin 24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Gm4070</w:t>
            </w:r>
          </w:p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|Gvin1</w:t>
            </w:r>
          </w:p>
          <w:p w:rsidR="000F5C33" w:rsidRPr="00D26DE6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|Gm8989</w:t>
            </w:r>
          </w:p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|Gm8979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predicted gene 4070|GTPase, very large interferon inducible 1|very large inducible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GTPase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pseudogene|very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large inducible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GTPase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pseudogene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complement component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Pom121l2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POM121 membrane glycoprotein-like 2 (rat)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Lgi2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leucine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-rich repeat LGI family, member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Igfl3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IGF-like family member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Pigz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phosphatidylinositol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glycan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anchor biosynthesis, class Z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H2-Aa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histocompatibility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2, class II antigen A, alpha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-2.61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Dock8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dedicator of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cytokinesis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-2.55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Bst1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bone marrow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stromal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cell antigen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-2.50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Lama3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laminin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, alpha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Srgn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serglycin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Mettl7b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methyltransferase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like 7B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Ubqln2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ubiquilin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Cass4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Cas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scaffolding protein family member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Psmb9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proteasome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prosome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macropain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) subunit, beta type 9 (large multifunctional peptidase 2)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Fam189a2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family with sequence similarity 189, member A2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-2.40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Yipf7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Yip1 domain family, member 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-2.39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Slc12a5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solute carrier family 12, member 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-2.39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Fam169b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family with sequence similarity 169, member 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-2.33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Slc44a3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solute carrier family 44, member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-2.31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Cxcl5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chemokine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(C-X-C motif)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-2.31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Ifi47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interferon gamma inducible protein 47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-2.30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Angptl7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angiopoietin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-like 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-2.28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Vmn1r66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vomeronasal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 receptor 66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-2.25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Dcn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decorin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-2.24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Fyb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FYN binding protein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-2.20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Foxn1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forkhead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box N1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-2.20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Snord71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small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nucleolar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RNA, C/D box 71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-2.20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Yaf2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YY1 associated factor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Dcn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decorin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P2ry6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pyrimidinergic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receptor P2Y, G-protein </w:t>
            </w:r>
            <w:r w:rsidRPr="00D26DE6">
              <w:rPr>
                <w:rFonts w:ascii="Times New Roman" w:hAnsi="Times New Roman" w:cs="Times New Roman"/>
                <w:color w:val="000000"/>
              </w:rPr>
              <w:lastRenderedPageBreak/>
              <w:t>coupled, 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lastRenderedPageBreak/>
              <w:t xml:space="preserve">-2.17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Glipr2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GLI pathogenesis-related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Niacr1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niacin receptor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Slc12a1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solute carrier family 12, member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Abcc3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ATP-binding cassette, sub-family C (CFTR/MRP), member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Syt2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synaptotagmin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II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-2.10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Usp18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ubiquitin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specific peptidase 18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Irf1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interferon regulatory factor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Oasl1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2'-5'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oligoadenylate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synthetase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-like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Pla1a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phospholipase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A1 member A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Foxo3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forkhead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box O3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Sh2b2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SH2B adaptor protein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Slc39a4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solute carrier family 39 (zinc transporter), member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Ccl7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chemokine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(C-C motif)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7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Khdrbs2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KH domain containing, RNA binding, signal transduction associated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Ahsa2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AHA1, activator of heat shock protein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ATPase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homolog 2 (yeast)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Avil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advillin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-2.00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Prox2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prospero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homeobox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Scarna6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small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Cajal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body-specific RNA 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Spata13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spermatogenesis associated 13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Unc13a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unc-13 homolog A (C.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elegans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Timp3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tissue inhibitor of metalloproteinase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Vip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vasoactive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intestinal polypeptide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Olfr564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564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Clec4a3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C-type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lectin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domain family 4, member a3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Car6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carbonic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anhydrase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Amelx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amelogenin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X chromosome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Cxcl2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chemokine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(C-X-C motif)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-1.90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C1ra|C1rb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complement component 1, r subcomponent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A|complement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component 1, r subcomponent 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Muc15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mucin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Tap1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transporter 1, ATP-binding cassette, sub-family B (MDR/TAP)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P4ha2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procollagen-proline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, 2-oxoglutarate 4-dioxygenase (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proline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4-hydroxylase), alpha II polypeptide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Mmp10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matrix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metallopeptidase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Cnga1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cyclic nucleotide gated channel alpha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Ehf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ets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homologous factor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Lcn2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lipocalin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-1.82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Cldn3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claudin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Arrdc4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arrestin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domain containing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-1.81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Csf3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colony stimulating factor 3 (granulocyte)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Prtn3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proteinase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Irg1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immunoresponsive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gene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Baalc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brain and acute leukemia,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cytoplasmic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Adamts8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a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disintegrin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-like and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metallopeptidase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reprolysin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type) with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thrombospondin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type 1 motif, 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Lass3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LAG1 homolog,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ceramide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synthase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Il23a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interleukin 23, alpha subunit p19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Il6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interleukin 6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-1.75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Cblc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Casitas B-lineage lymphoma c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Lrrc8e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leucine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rich repeat containing 8 family, member 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-1.74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Ccl3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chemokine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(C-C motif)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ligand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Agphd1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aminoglycoside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phosphotransferase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domain containing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Chrm1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cholinergic receptor,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muscarinic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1, CNS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Angptl4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angiopoietin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-like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Cd8a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CD8 antigen, alpha chain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Il22ra1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interleukin 22 receptor, alpha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-1.72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Muc20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mucin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Ms4a10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membrane-spanning 4-domains, subfamily A, member 10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Rcvrn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recoverin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Ddx60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DEAD (Asp-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Glu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-Ala-Asp) box polypeptide 60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Arrdc4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arrestin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domain containing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-1.70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Phkg1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phosphorylase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gamma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-1.70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Apol10b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apolipoprotein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L 10b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Psmb8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proteasome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prosome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macropain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) subunit, beta type 8 (large multifunctional peptidase 7)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Naip2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NLR family, apoptosis inhibitory protein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Abcb1a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ATP-binding cassette, sub-family B (MDR/TAP), member 1A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-1.67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Gpr12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G-protein coupled receptor 12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-1.67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Tmco5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transmembrane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and coiled-coil domains 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Zfp36l3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zinc finger protein 36, C3H type-like 3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Olfr52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52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Rnf122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ring finger protein 122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Spnb5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spectrin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beta 5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Lhx9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LIM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homeobox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protein 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Dapk2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death-associated protein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kinase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Gbp1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guanylate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binding protein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-1.64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Prelp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proline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arginine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-rich end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leucine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-rich repeat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-1.64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Sept4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septin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-1.64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Rtp4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receptor transporter protein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-1.63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Olfr1449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1449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-1.63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Csf2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colony stimulating factor 2 (granulocyte-macrophage)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-1.62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Gbp2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guanylate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binding protein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-1.62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Clec2d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C-type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lectin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domain family 2, member 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Gpm6b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glycoprotein m6b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Olfr610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olfactory receptor 610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-1.60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Slc4a4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solute carrier family 4 (anion exchanger), member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H2-Ab1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histocompatibility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2, class II antigen A, beta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Enpp1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ectonucleotide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pyrophosphatase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phosphodiesterase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-1.59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Cd68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CD68 antigen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-1.59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Zim1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zinc finger, imprinted 1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Fbxw18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F-box and WD-40 domain protein 18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Slc30a10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solute carrier family 30, member 10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-1.58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Nrip2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nuclear receptor interacting protein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-1.58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Bnc2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basonuclin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-1.56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Reep2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receptor accessory protein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-1.56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Bst2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bone marrow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stromal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cell antigen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-1.55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Acpp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acid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phosphatase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, prostate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-1.54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Default="000F5C33" w:rsidP="008B6C00">
            <w:pPr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lastRenderedPageBreak/>
              <w:t>Apol9a</w:t>
            </w:r>
          </w:p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|Apol9b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apolipoprotein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L 9a|apolipoprotein L 9b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-1.54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Dpy30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dpy-30 homolog (C.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elegans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-1.54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Mmp19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matrix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metallopeptidase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19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-1.52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Nt5e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5'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nucleotidase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ecto</w:t>
            </w:r>
            <w:proofErr w:type="spellEnd"/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-1.52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Itga2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integrin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alpha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-1.52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Dennd2d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DENN/MADD domain containing 2D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Gng2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guanine nucleotide binding protein (G protein), gamma 2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Hhip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Hedgehog-interacting protein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Pax9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paired box gene 9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-1.51 </w:t>
            </w:r>
          </w:p>
        </w:tc>
      </w:tr>
      <w:tr w:rsidR="000F5C33" w:rsidRPr="00D26DE6" w:rsidTr="008B6C00">
        <w:trPr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Lilrb4</w:t>
            </w:r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>leukocyte immunoglobulin-like receptor, subfamily B, member 4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0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-1.51 </w:t>
            </w:r>
          </w:p>
        </w:tc>
      </w:tr>
      <w:tr w:rsidR="000F5C33" w:rsidRPr="00D26DE6" w:rsidTr="008B6C00">
        <w:trPr>
          <w:cnfStyle w:val="000000100000"/>
          <w:trHeight w:val="330"/>
          <w:jc w:val="center"/>
        </w:trPr>
        <w:tc>
          <w:tcPr>
            <w:cnfStyle w:val="001000000000"/>
            <w:tcW w:w="2515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rPr>
                <w:rFonts w:ascii="Times New Roman" w:eastAsia="新細明體" w:hAnsi="Times New Roman" w:cs="Times New Roman"/>
                <w:b w:val="0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b w:val="0"/>
                <w:color w:val="000000"/>
              </w:rPr>
              <w:t>Cpm</w:t>
            </w:r>
            <w:proofErr w:type="spellEnd"/>
          </w:p>
        </w:tc>
        <w:tc>
          <w:tcPr>
            <w:tcW w:w="4766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proofErr w:type="spellStart"/>
            <w:r w:rsidRPr="00D26DE6">
              <w:rPr>
                <w:rFonts w:ascii="Times New Roman" w:hAnsi="Times New Roman" w:cs="Times New Roman"/>
                <w:color w:val="000000"/>
              </w:rPr>
              <w:t>carboxypeptidase</w:t>
            </w:r>
            <w:proofErr w:type="spellEnd"/>
            <w:r w:rsidRPr="00D26DE6">
              <w:rPr>
                <w:rFonts w:ascii="Times New Roman" w:hAnsi="Times New Roman" w:cs="Times New Roman"/>
                <w:color w:val="000000"/>
              </w:rPr>
              <w:t xml:space="preserve"> M</w:t>
            </w:r>
          </w:p>
        </w:tc>
        <w:tc>
          <w:tcPr>
            <w:tcW w:w="1241" w:type="dxa"/>
            <w:shd w:val="clear" w:color="auto" w:fill="auto"/>
            <w:noWrap/>
            <w:vAlign w:val="center"/>
            <w:hideMark/>
          </w:tcPr>
          <w:p w:rsidR="000F5C33" w:rsidRPr="00D26DE6" w:rsidRDefault="000F5C33" w:rsidP="008B6C00">
            <w:pPr>
              <w:jc w:val="both"/>
              <w:cnfStyle w:val="000000100000"/>
              <w:rPr>
                <w:rFonts w:ascii="Times New Roman" w:eastAsia="新細明體" w:hAnsi="Times New Roman" w:cs="Times New Roman"/>
                <w:color w:val="000000"/>
              </w:rPr>
            </w:pPr>
            <w:r w:rsidRPr="00D26DE6">
              <w:rPr>
                <w:rFonts w:ascii="Times New Roman" w:hAnsi="Times New Roman" w:cs="Times New Roman"/>
                <w:color w:val="000000"/>
              </w:rPr>
              <w:t xml:space="preserve">-1.51 </w:t>
            </w:r>
          </w:p>
        </w:tc>
      </w:tr>
    </w:tbl>
    <w:p w:rsidR="000F5C33" w:rsidRDefault="000F5C33" w:rsidP="000F5C33"/>
    <w:p w:rsidR="008548D7" w:rsidRDefault="008548D7"/>
    <w:sectPr w:rsidR="008548D7" w:rsidSect="008548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F5C33"/>
    <w:rsid w:val="000F5C33"/>
    <w:rsid w:val="00275A30"/>
    <w:rsid w:val="00570EDB"/>
    <w:rsid w:val="00602AF0"/>
    <w:rsid w:val="006E6F0F"/>
    <w:rsid w:val="008548D7"/>
    <w:rsid w:val="008921FC"/>
    <w:rsid w:val="00A47007"/>
    <w:rsid w:val="00ED294F"/>
    <w:rsid w:val="00F7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C33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淺色網底1"/>
    <w:basedOn w:val="a1"/>
    <w:uiPriority w:val="60"/>
    <w:rsid w:val="000F5C33"/>
    <w:rPr>
      <w:color w:val="000000" w:themeColor="text1" w:themeShade="BF"/>
      <w:szCs w:val="24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1417</Words>
  <Characters>8083</Characters>
  <Application>Microsoft Office Word</Application>
  <DocSecurity>0</DocSecurity>
  <Lines>67</Lines>
  <Paragraphs>18</Paragraphs>
  <ScaleCrop>false</ScaleCrop>
  <Company>Toshiba</Company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segahuang</dc:creator>
  <cp:lastModifiedBy>segahuang</cp:lastModifiedBy>
  <cp:revision>1</cp:revision>
  <dcterms:created xsi:type="dcterms:W3CDTF">2017-09-05T08:57:00Z</dcterms:created>
  <dcterms:modified xsi:type="dcterms:W3CDTF">2017-09-05T08:59:00Z</dcterms:modified>
</cp:coreProperties>
</file>