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A26AD" w14:textId="7F2D88C7" w:rsidR="00FC1DEE" w:rsidRPr="00FC1DEE" w:rsidRDefault="00FC1DEE" w:rsidP="00FC1DEE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eastAsia="en-US"/>
        </w:rPr>
      </w:pPr>
      <w:r>
        <w:rPr>
          <w:rFonts w:ascii="Arial" w:eastAsia="Arial" w:hAnsi="Arial" w:cs="Arial"/>
          <w:b/>
          <w:sz w:val="24"/>
          <w:szCs w:val="24"/>
          <w:lang w:eastAsia="en-US"/>
        </w:rPr>
        <w:t xml:space="preserve">   </w:t>
      </w:r>
      <w:r w:rsidRPr="00FC1DEE">
        <w:rPr>
          <w:rFonts w:ascii="Arial" w:eastAsia="Arial" w:hAnsi="Arial" w:cs="Arial"/>
          <w:b/>
          <w:sz w:val="24"/>
          <w:szCs w:val="24"/>
          <w:lang w:eastAsia="en-US"/>
        </w:rPr>
        <w:t>Table EV3</w:t>
      </w:r>
      <w:r w:rsidR="00AF6DFA">
        <w:rPr>
          <w:rFonts w:ascii="Arial" w:eastAsia="Arial" w:hAnsi="Arial" w:cs="Arial"/>
          <w:b/>
          <w:sz w:val="24"/>
          <w:szCs w:val="24"/>
          <w:lang w:eastAsia="en-US"/>
        </w:rPr>
        <w:t xml:space="preserve">. </w:t>
      </w:r>
      <w:r w:rsidR="00AF6DFA">
        <w:rPr>
          <w:rFonts w:ascii="Arial" w:eastAsia="Arial" w:hAnsi="Arial" w:cs="Arial"/>
          <w:bCs/>
          <w:sz w:val="24"/>
          <w:szCs w:val="24"/>
          <w:lang w:eastAsia="en-US"/>
        </w:rPr>
        <w:t>1</w:t>
      </w:r>
      <w:r w:rsidR="00AF6DFA">
        <w:rPr>
          <w:rFonts w:ascii="Arial" w:eastAsia="Arial" w:hAnsi="Arial" w:cs="Arial"/>
          <w:bCs/>
          <w:sz w:val="24"/>
          <w:szCs w:val="24"/>
          <w:lang w:eastAsia="en-US"/>
        </w:rPr>
        <w:t>0 Day toxicity study in mice</w:t>
      </w:r>
    </w:p>
    <w:p w14:paraId="471A7C56" w14:textId="77777777" w:rsidR="00FC1DEE" w:rsidRPr="00FC1DEE" w:rsidRDefault="00FC1DEE" w:rsidP="00FC1DEE">
      <w:pPr>
        <w:spacing w:after="0" w:line="240" w:lineRule="auto"/>
        <w:ind w:left="4320" w:firstLine="720"/>
        <w:jc w:val="both"/>
        <w:rPr>
          <w:rFonts w:ascii="Arial" w:eastAsia="Arial" w:hAnsi="Arial" w:cs="Arial"/>
          <w:sz w:val="24"/>
          <w:szCs w:val="24"/>
          <w:lang w:eastAsia="en-US"/>
        </w:rPr>
      </w:pPr>
    </w:p>
    <w:tbl>
      <w:tblPr>
        <w:tblW w:w="85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FC1DEE" w:rsidRPr="00FC1DEE" w14:paraId="0443C1EC" w14:textId="77777777" w:rsidTr="00FC1DEE">
        <w:trPr>
          <w:trHeight w:val="856"/>
          <w:jc w:val="center"/>
        </w:trPr>
        <w:tc>
          <w:tcPr>
            <w:tcW w:w="2840" w:type="dxa"/>
          </w:tcPr>
          <w:p w14:paraId="5E20BFA4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</w:p>
          <w:p w14:paraId="2964CC99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Organ</w:t>
            </w:r>
          </w:p>
        </w:tc>
        <w:tc>
          <w:tcPr>
            <w:tcW w:w="2840" w:type="dxa"/>
          </w:tcPr>
          <w:p w14:paraId="1B09D124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</w:p>
          <w:p w14:paraId="62A91776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Vehicle</w:t>
            </w:r>
          </w:p>
          <w:p w14:paraId="0BF5EB5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n=6*</w:t>
            </w:r>
          </w:p>
          <w:p w14:paraId="74529B3B" w14:textId="77777777" w:rsidR="00FC1DEE" w:rsidRPr="00FC1DEE" w:rsidRDefault="00FC1DEE" w:rsidP="00FC1DEE">
            <w:pP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40" w:type="dxa"/>
          </w:tcPr>
          <w:p w14:paraId="201A27D6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</w:p>
          <w:p w14:paraId="26770AE5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FKK6</w:t>
            </w:r>
          </w:p>
          <w:p w14:paraId="3FE9B7F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n=6</w:t>
            </w:r>
          </w:p>
        </w:tc>
        <w:bookmarkStart w:id="0" w:name="_GoBack"/>
        <w:bookmarkEnd w:id="0"/>
      </w:tr>
      <w:tr w:rsidR="00FC1DEE" w:rsidRPr="00FC1DEE" w14:paraId="5BC2438F" w14:textId="77777777" w:rsidTr="00FC1DEE">
        <w:trPr>
          <w:trHeight w:val="605"/>
          <w:jc w:val="center"/>
        </w:trPr>
        <w:tc>
          <w:tcPr>
            <w:tcW w:w="2840" w:type="dxa"/>
          </w:tcPr>
          <w:p w14:paraId="367334E1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CC073C7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Heart</w:t>
            </w:r>
          </w:p>
        </w:tc>
        <w:tc>
          <w:tcPr>
            <w:tcW w:w="2840" w:type="dxa"/>
          </w:tcPr>
          <w:p w14:paraId="7E26838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Minimal lymphoplasmacytic infiltrates</w:t>
            </w:r>
          </w:p>
          <w:p w14:paraId="269134D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(n=1)</w:t>
            </w:r>
          </w:p>
        </w:tc>
        <w:tc>
          <w:tcPr>
            <w:tcW w:w="2840" w:type="dxa"/>
          </w:tcPr>
          <w:p w14:paraId="2BA56271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2BE5B53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FC1DEE" w:rsidRPr="00FC1DEE" w14:paraId="7E76F402" w14:textId="77777777" w:rsidTr="00FC1DEE">
        <w:trPr>
          <w:trHeight w:val="819"/>
          <w:jc w:val="center"/>
        </w:trPr>
        <w:tc>
          <w:tcPr>
            <w:tcW w:w="2840" w:type="dxa"/>
          </w:tcPr>
          <w:p w14:paraId="46A6BEEF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5F7BC95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Coronary Arteries/Aortic Root</w:t>
            </w:r>
          </w:p>
        </w:tc>
        <w:tc>
          <w:tcPr>
            <w:tcW w:w="2840" w:type="dxa"/>
          </w:tcPr>
          <w:p w14:paraId="0C0A46DF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14D88F8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 **</w:t>
            </w:r>
          </w:p>
        </w:tc>
        <w:tc>
          <w:tcPr>
            <w:tcW w:w="2840" w:type="dxa"/>
          </w:tcPr>
          <w:p w14:paraId="168C4F2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1FC5B329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FC1DEE" w:rsidRPr="00FC1DEE" w14:paraId="06B13194" w14:textId="77777777" w:rsidTr="00FC1DEE">
        <w:trPr>
          <w:trHeight w:val="801"/>
          <w:jc w:val="center"/>
        </w:trPr>
        <w:tc>
          <w:tcPr>
            <w:tcW w:w="2840" w:type="dxa"/>
          </w:tcPr>
          <w:p w14:paraId="347BFD8E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13BB0662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Liver</w:t>
            </w:r>
          </w:p>
        </w:tc>
        <w:tc>
          <w:tcPr>
            <w:tcW w:w="2840" w:type="dxa"/>
          </w:tcPr>
          <w:p w14:paraId="08F09042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periportal inflammation</w:t>
            </w:r>
          </w:p>
          <w:p w14:paraId="0FDADF5D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(n=5),</w:t>
            </w:r>
          </w:p>
          <w:p w14:paraId="5AB7ACC7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Hepatocyte necrosis</w:t>
            </w:r>
          </w:p>
          <w:p w14:paraId="536C3EC2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(n=3)</w:t>
            </w:r>
          </w:p>
        </w:tc>
        <w:tc>
          <w:tcPr>
            <w:tcW w:w="2840" w:type="dxa"/>
          </w:tcPr>
          <w:p w14:paraId="7AB08AF7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periportal inflammation</w:t>
            </w:r>
          </w:p>
          <w:p w14:paraId="61D0148C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(n=5)</w:t>
            </w:r>
          </w:p>
        </w:tc>
      </w:tr>
      <w:tr w:rsidR="00FC1DEE" w:rsidRPr="00FC1DEE" w14:paraId="0B3FD9EB" w14:textId="77777777" w:rsidTr="00FC1DEE">
        <w:trPr>
          <w:trHeight w:val="605"/>
          <w:jc w:val="center"/>
        </w:trPr>
        <w:tc>
          <w:tcPr>
            <w:tcW w:w="2840" w:type="dxa"/>
          </w:tcPr>
          <w:p w14:paraId="56C7B1C3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45FB6C1E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Kidney</w:t>
            </w:r>
          </w:p>
        </w:tc>
        <w:tc>
          <w:tcPr>
            <w:tcW w:w="2840" w:type="dxa"/>
          </w:tcPr>
          <w:p w14:paraId="596F926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Degenerative tubules/vacuoles</w:t>
            </w:r>
          </w:p>
          <w:p w14:paraId="2850CC58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(rare)</w:t>
            </w:r>
          </w:p>
          <w:p w14:paraId="3EBC0BA9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(n=6)</w:t>
            </w:r>
          </w:p>
        </w:tc>
        <w:tc>
          <w:tcPr>
            <w:tcW w:w="2840" w:type="dxa"/>
          </w:tcPr>
          <w:p w14:paraId="4F181501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Degenerative tubules/vacuoles</w:t>
            </w:r>
          </w:p>
          <w:p w14:paraId="69EAB38F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(rare)</w:t>
            </w:r>
          </w:p>
          <w:p w14:paraId="6BF759E0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(n=6)</w:t>
            </w:r>
          </w:p>
        </w:tc>
      </w:tr>
      <w:tr w:rsidR="00FC1DEE" w:rsidRPr="00FC1DEE" w14:paraId="68726C0D" w14:textId="77777777" w:rsidTr="00FC1DEE">
        <w:trPr>
          <w:trHeight w:val="605"/>
          <w:jc w:val="center"/>
        </w:trPr>
        <w:tc>
          <w:tcPr>
            <w:tcW w:w="2840" w:type="dxa"/>
          </w:tcPr>
          <w:p w14:paraId="2B97C372" w14:textId="77777777" w:rsidR="00FC1DEE" w:rsidRPr="00FC1DEE" w:rsidRDefault="00FC1DEE" w:rsidP="00FC1DE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831B34B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Lung</w:t>
            </w:r>
          </w:p>
        </w:tc>
        <w:tc>
          <w:tcPr>
            <w:tcW w:w="2840" w:type="dxa"/>
          </w:tcPr>
          <w:p w14:paraId="25B83E02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leukocytes</w:t>
            </w:r>
          </w:p>
          <w:p w14:paraId="282F8CA6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(n=3)</w:t>
            </w:r>
          </w:p>
        </w:tc>
        <w:tc>
          <w:tcPr>
            <w:tcW w:w="2840" w:type="dxa"/>
          </w:tcPr>
          <w:p w14:paraId="43337F71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leukocytes</w:t>
            </w:r>
          </w:p>
          <w:p w14:paraId="29ACE24D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(n=2)</w:t>
            </w:r>
          </w:p>
        </w:tc>
      </w:tr>
      <w:tr w:rsidR="00FC1DEE" w:rsidRPr="00FC1DEE" w14:paraId="7AA778A3" w14:textId="77777777" w:rsidTr="00FC1DEE">
        <w:trPr>
          <w:trHeight w:val="327"/>
          <w:jc w:val="center"/>
        </w:trPr>
        <w:tc>
          <w:tcPr>
            <w:tcW w:w="2840" w:type="dxa"/>
          </w:tcPr>
          <w:p w14:paraId="08A824E3" w14:textId="77777777" w:rsidR="00FC1DEE" w:rsidRPr="00FC1DEE" w:rsidRDefault="00FC1DEE" w:rsidP="00FC1DE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359BDD1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Stomach</w:t>
            </w:r>
          </w:p>
        </w:tc>
        <w:tc>
          <w:tcPr>
            <w:tcW w:w="2840" w:type="dxa"/>
          </w:tcPr>
          <w:p w14:paraId="377DF09C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584530E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840" w:type="dxa"/>
          </w:tcPr>
          <w:p w14:paraId="70733DBD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10146D08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FC1DEE" w:rsidRPr="00FC1DEE" w14:paraId="2012B3D9" w14:textId="77777777" w:rsidTr="00FC1DEE">
        <w:trPr>
          <w:trHeight w:val="605"/>
          <w:jc w:val="center"/>
        </w:trPr>
        <w:tc>
          <w:tcPr>
            <w:tcW w:w="2840" w:type="dxa"/>
          </w:tcPr>
          <w:p w14:paraId="05CBEFEB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BBFB0A8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Small Intestine</w:t>
            </w:r>
          </w:p>
        </w:tc>
        <w:tc>
          <w:tcPr>
            <w:tcW w:w="2840" w:type="dxa"/>
          </w:tcPr>
          <w:p w14:paraId="03E91645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200804A6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840" w:type="dxa"/>
          </w:tcPr>
          <w:p w14:paraId="6EA714E4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1AD95EB3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FC1DEE" w:rsidRPr="00FC1DEE" w14:paraId="64345586" w14:textId="77777777" w:rsidTr="00FC1DEE">
        <w:trPr>
          <w:trHeight w:val="605"/>
          <w:jc w:val="center"/>
        </w:trPr>
        <w:tc>
          <w:tcPr>
            <w:tcW w:w="2840" w:type="dxa"/>
          </w:tcPr>
          <w:p w14:paraId="088A55DD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3E0CC472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Large Intestine</w:t>
            </w:r>
          </w:p>
        </w:tc>
        <w:tc>
          <w:tcPr>
            <w:tcW w:w="2840" w:type="dxa"/>
          </w:tcPr>
          <w:p w14:paraId="0AD915FF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452D7D2D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840" w:type="dxa"/>
          </w:tcPr>
          <w:p w14:paraId="7D280142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2C53FFC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FC1DEE" w:rsidRPr="00FC1DEE" w14:paraId="6DF91EC9" w14:textId="77777777" w:rsidTr="00FC1DEE">
        <w:trPr>
          <w:trHeight w:val="605"/>
          <w:jc w:val="center"/>
        </w:trPr>
        <w:tc>
          <w:tcPr>
            <w:tcW w:w="2840" w:type="dxa"/>
          </w:tcPr>
          <w:p w14:paraId="46C1F19D" w14:textId="77777777" w:rsidR="00FC1DEE" w:rsidRPr="00FC1DEE" w:rsidRDefault="00FC1DEE" w:rsidP="00FC1DE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195EEF27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Cecum</w:t>
            </w:r>
          </w:p>
        </w:tc>
        <w:tc>
          <w:tcPr>
            <w:tcW w:w="2840" w:type="dxa"/>
          </w:tcPr>
          <w:p w14:paraId="6A0959D9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3C8B9E5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840" w:type="dxa"/>
          </w:tcPr>
          <w:p w14:paraId="4690346C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2537EFD9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FC1DEE" w:rsidRPr="00FC1DEE" w14:paraId="435A0B99" w14:textId="77777777" w:rsidTr="00FC1DEE">
        <w:trPr>
          <w:trHeight w:val="605"/>
          <w:jc w:val="center"/>
        </w:trPr>
        <w:tc>
          <w:tcPr>
            <w:tcW w:w="2840" w:type="dxa"/>
          </w:tcPr>
          <w:p w14:paraId="091F05C0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62C4CA1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Colon</w:t>
            </w:r>
          </w:p>
        </w:tc>
        <w:tc>
          <w:tcPr>
            <w:tcW w:w="2840" w:type="dxa"/>
          </w:tcPr>
          <w:p w14:paraId="6C84609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2D7AE2EA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840" w:type="dxa"/>
          </w:tcPr>
          <w:p w14:paraId="5E60054B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24B809BB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FC1DEE" w:rsidRPr="00FC1DEE" w14:paraId="44BF2CE8" w14:textId="77777777" w:rsidTr="00FC1DEE">
        <w:trPr>
          <w:trHeight w:val="819"/>
          <w:jc w:val="center"/>
        </w:trPr>
        <w:tc>
          <w:tcPr>
            <w:tcW w:w="2840" w:type="dxa"/>
          </w:tcPr>
          <w:p w14:paraId="707BBD0D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56109F12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Spleen</w:t>
            </w:r>
          </w:p>
        </w:tc>
        <w:tc>
          <w:tcPr>
            <w:tcW w:w="2840" w:type="dxa"/>
          </w:tcPr>
          <w:p w14:paraId="56B35F69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3A60323C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lymphoid hyperplasia</w:t>
            </w:r>
          </w:p>
          <w:p w14:paraId="177401A4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(n=2)</w:t>
            </w:r>
          </w:p>
          <w:p w14:paraId="586F9BE3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840" w:type="dxa"/>
          </w:tcPr>
          <w:p w14:paraId="4CBC2CDB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6A119BC8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lymphoid hyperplasia</w:t>
            </w:r>
          </w:p>
          <w:p w14:paraId="409239C6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(n=2)</w:t>
            </w:r>
          </w:p>
        </w:tc>
      </w:tr>
      <w:tr w:rsidR="00FC1DEE" w:rsidRPr="00FC1DEE" w14:paraId="353B23FF" w14:textId="77777777" w:rsidTr="00FC1DEE">
        <w:trPr>
          <w:trHeight w:val="605"/>
          <w:jc w:val="center"/>
        </w:trPr>
        <w:tc>
          <w:tcPr>
            <w:tcW w:w="2840" w:type="dxa"/>
          </w:tcPr>
          <w:p w14:paraId="752AA129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F759CC6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Bone Marrow</w:t>
            </w:r>
          </w:p>
        </w:tc>
        <w:tc>
          <w:tcPr>
            <w:tcW w:w="2840" w:type="dxa"/>
          </w:tcPr>
          <w:p w14:paraId="5E0C53EF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19FCE958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840" w:type="dxa"/>
          </w:tcPr>
          <w:p w14:paraId="16908F91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42E062CD" w14:textId="77777777" w:rsidR="00FC1DEE" w:rsidRPr="00FC1DEE" w:rsidRDefault="00FC1DEE" w:rsidP="00FC1DE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FC1DEE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</w:tbl>
    <w:p w14:paraId="36B2444A" w14:textId="77777777" w:rsidR="00FC1DEE" w:rsidRDefault="00FC1DEE" w:rsidP="00FC1DEE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sz w:val="24"/>
          <w:szCs w:val="24"/>
          <w:lang w:eastAsia="en-US"/>
        </w:rPr>
      </w:pPr>
      <w:r w:rsidRPr="00FC1DEE">
        <w:rPr>
          <w:rFonts w:ascii="Arial" w:eastAsia="Arial" w:hAnsi="Arial" w:cs="Arial"/>
          <w:sz w:val="24"/>
          <w:szCs w:val="24"/>
          <w:lang w:eastAsia="en-US"/>
        </w:rPr>
        <w:t xml:space="preserve">*One mouse was found deceased during day 10 cage inspection. All other mice examined were in good body condition with no minimal autolysis and no gross lesions. </w:t>
      </w:r>
    </w:p>
    <w:p w14:paraId="5300B08F" w14:textId="4E5890A7" w:rsidR="00416195" w:rsidRPr="00FC1DEE" w:rsidRDefault="00FC1DEE" w:rsidP="00FC1DEE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sz w:val="24"/>
          <w:szCs w:val="24"/>
          <w:lang w:eastAsia="en-US"/>
        </w:rPr>
      </w:pPr>
      <w:r w:rsidRPr="00FC1DEE">
        <w:rPr>
          <w:rFonts w:ascii="Arial" w:eastAsia="Arial" w:hAnsi="Arial" w:cs="Arial"/>
          <w:sz w:val="24"/>
          <w:szCs w:val="24"/>
          <w:lang w:eastAsia="en-US"/>
        </w:rPr>
        <w:t>**Aortic root not visualized in (n=1) mouse.</w:t>
      </w:r>
    </w:p>
    <w:sectPr w:rsidR="00416195" w:rsidRPr="00FC1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4D"/>
    <w:rsid w:val="000E0379"/>
    <w:rsid w:val="00416195"/>
    <w:rsid w:val="00AF6DFA"/>
    <w:rsid w:val="00C27494"/>
    <w:rsid w:val="00EA544D"/>
    <w:rsid w:val="00FC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0830E"/>
  <w15:chartTrackingRefBased/>
  <w15:docId w15:val="{AFF27696-3C6E-45CF-B291-6F55EEEC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Weijie Chen</dc:creator>
  <cp:keywords/>
  <dc:description/>
  <cp:lastModifiedBy>Weijie Chen</cp:lastModifiedBy>
  <cp:revision>3</cp:revision>
  <dcterms:created xsi:type="dcterms:W3CDTF">2020-02-04T18:39:00Z</dcterms:created>
  <dcterms:modified xsi:type="dcterms:W3CDTF">2020-02-04T18:53:00Z</dcterms:modified>
</cp:coreProperties>
</file>