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5B" w:rsidRPr="008D369A" w:rsidRDefault="00CA2A5B" w:rsidP="00CA2A5B">
      <w:pPr>
        <w:ind w:firstLine="0"/>
        <w:rPr>
          <w:b/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>Supplementary Figure legends</w:t>
      </w:r>
    </w:p>
    <w:p w:rsidR="00CA2A5B" w:rsidRPr="008D369A" w:rsidRDefault="00CA2A5B" w:rsidP="00CA2A5B">
      <w:pPr>
        <w:ind w:firstLine="0"/>
        <w:rPr>
          <w:b/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 xml:space="preserve">Figure S1. </w:t>
      </w:r>
      <w:proofErr w:type="gramStart"/>
      <w:r w:rsidRPr="008D369A">
        <w:rPr>
          <w:b/>
          <w:lang w:val="en-US" w:eastAsia="nl-NL"/>
          <w14:numForm w14:val="default"/>
        </w:rPr>
        <w:t>Illustration of the proposed theory of mixed-substrate growth.</w:t>
      </w:r>
      <w:proofErr w:type="gramEnd"/>
    </w:p>
    <w:p w:rsidR="00CA2A5B" w:rsidRPr="008D369A" w:rsidRDefault="00CA2A5B" w:rsidP="00CA2A5B">
      <w:pPr>
        <w:ind w:firstLine="0"/>
        <w:rPr>
          <w:lang w:val="en-US" w:eastAsia="nl-NL"/>
          <w14:numForm w14:val="default"/>
        </w:rPr>
      </w:pPr>
      <w:r w:rsidRPr="008D369A">
        <w:rPr>
          <w:lang w:val="en-US" w:eastAsia="nl-NL"/>
          <w14:numForm w14:val="default"/>
        </w:rPr>
        <w:t xml:space="preserve">The proposed theory is fully defined by </w:t>
      </w:r>
      <w:proofErr w:type="spellStart"/>
      <w:r w:rsidRPr="008D369A">
        <w:rPr>
          <w:lang w:val="en-US" w:eastAsia="nl-NL"/>
          <w14:numForm w14:val="default"/>
        </w:rPr>
        <w:t>Eqs</w:t>
      </w:r>
      <w:proofErr w:type="spellEnd"/>
      <w:r w:rsidRPr="008D369A">
        <w:rPr>
          <w:lang w:val="en-US" w:eastAsia="nl-NL"/>
          <w14:numForm w14:val="default"/>
        </w:rPr>
        <w:t xml:space="preserve">. </w:t>
      </w:r>
      <w:proofErr w:type="gramStart"/>
      <w:r w:rsidRPr="008D369A">
        <w:rPr>
          <w:lang w:val="en-US" w:eastAsia="nl-NL"/>
          <w14:numForm w14:val="default"/>
        </w:rPr>
        <w:t>2 to 4.</w:t>
      </w:r>
      <w:proofErr w:type="gramEnd"/>
      <w:r w:rsidRPr="008D369A">
        <w:rPr>
          <w:lang w:val="en-US" w:eastAsia="nl-NL"/>
          <w14:numForm w14:val="default"/>
        </w:rPr>
        <w:t xml:space="preserve"> The two substrates contribute a carbon uptake flux </w:t>
      </w:r>
      <m:oMath>
        <m:sSub>
          <m:sSubPr>
            <m:ctrlPr>
              <w:rPr>
                <w:rFonts w:ascii="Cambria Math" w:hAnsi="Cambria Math"/>
                <w:i/>
                <w:lang w:val="en-US" w:eastAsia="nl-NL"/>
                <w14:numForm w14:val="default"/>
              </w:rPr>
            </m:ctrlPr>
          </m:sSubPr>
          <m:e>
            <m:r>
              <w:rPr>
                <w:rFonts w:ascii="Cambria Math" w:hAnsi="Cambria Math"/>
                <w:lang w:val="en-US" w:eastAsia="nl-NL"/>
                <w14:numForm w14:val="default"/>
              </w:rPr>
              <m:t>J</m:t>
            </m:r>
          </m:e>
          <m:sub>
            <m:r>
              <w:rPr>
                <w:rFonts w:ascii="Cambria Math" w:hAnsi="Cambria Math"/>
                <w:lang w:val="en-US" w:eastAsia="nl-NL"/>
                <w14:numForm w14:val="default"/>
              </w:rPr>
              <m:t>1</m:t>
            </m:r>
          </m:sub>
        </m:sSub>
      </m:oMath>
      <w:r w:rsidRPr="008D369A">
        <w:rPr>
          <w:lang w:val="en-US" w:eastAsia="nl-NL"/>
          <w14:numForm w14:val="default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 w:eastAsia="nl-NL"/>
                <w14:numForm w14:val="default"/>
              </w:rPr>
            </m:ctrlPr>
          </m:sSubPr>
          <m:e>
            <m:r>
              <w:rPr>
                <w:rFonts w:ascii="Cambria Math" w:hAnsi="Cambria Math"/>
                <w:lang w:val="en-US" w:eastAsia="nl-NL"/>
                <w14:numForm w14:val="default"/>
              </w:rPr>
              <m:t>J</m:t>
            </m:r>
          </m:e>
          <m:sub>
            <m:r>
              <w:rPr>
                <w:rFonts w:ascii="Cambria Math" w:hAnsi="Cambria Math"/>
                <w:lang w:val="en-US" w:eastAsia="nl-NL"/>
                <w14:numForm w14:val="default"/>
              </w:rPr>
              <m:t>2</m:t>
            </m:r>
          </m:sub>
        </m:sSub>
      </m:oMath>
      <w:r w:rsidRPr="008D369A">
        <w:rPr>
          <w:lang w:val="en-US" w:eastAsia="nl-NL"/>
          <w14:numForm w14:val="default"/>
        </w:rPr>
        <w:t xml:space="preserve"> to the total carbon uptake (gray arrows). A larger expression of the carbon-catabolic enzymes </w:t>
      </w:r>
      <m:oMath>
        <m:sSub>
          <m:sSubPr>
            <m:ctrlPr>
              <w:rPr>
                <w:rFonts w:ascii="Cambria Math" w:hAnsi="Cambria Math"/>
                <w:i/>
                <w:lang w:val="en-US" w:eastAsia="nl-NL"/>
                <w14:numForm w14:val="default"/>
              </w:rPr>
            </m:ctrlPr>
          </m:sSubPr>
          <m:e>
            <m:r>
              <w:rPr>
                <w:rFonts w:ascii="Cambria Math" w:hAnsi="Cambria Math"/>
                <w:lang w:val="en-US" w:eastAsia="nl-NL"/>
                <w14:numForm w14:val="default"/>
              </w:rPr>
              <m:t>E</m:t>
            </m:r>
          </m:e>
          <m:sub>
            <m:r>
              <w:rPr>
                <w:rFonts w:ascii="Cambria Math" w:hAnsi="Cambria Math"/>
                <w:lang w:val="en-US" w:eastAsia="nl-NL"/>
                <w14:numForm w14:val="default"/>
              </w:rPr>
              <m:t>i</m:t>
            </m:r>
          </m:sub>
        </m:sSub>
      </m:oMath>
      <w:r w:rsidRPr="008D369A">
        <w:rPr>
          <w:lang w:val="en-US" w:eastAsia="nl-NL"/>
          <w14:numForm w14:val="default"/>
        </w:rPr>
        <w:t xml:space="preserve"> results in a larger uptake flux (Eq. 2). We assume that a larger carbon influx can support a higher growth rate (Eq. 3). At a higher growth rate, however, the expression of carbon-catabolic enzymes is reduced, in accordance with the C-line (Eq. 4). Together, these relations form a negative feedback loop for carbon uptake, mediated by </w:t>
      </w:r>
      <w:proofErr w:type="spellStart"/>
      <w:r w:rsidRPr="008D369A">
        <w:rPr>
          <w:lang w:val="en-US" w:eastAsia="nl-NL"/>
          <w14:numForm w14:val="default"/>
        </w:rPr>
        <w:t>cAMP-Crp</w:t>
      </w:r>
      <w:proofErr w:type="spellEnd"/>
      <w:r w:rsidRPr="008D369A">
        <w:rPr>
          <w:lang w:val="en-US" w:eastAsia="nl-NL"/>
          <w14:numForm w14:val="default"/>
        </w:rPr>
        <w:t xml:space="preserve"> signaling. </w:t>
      </w:r>
    </w:p>
    <w:p w:rsidR="00CA2A5B" w:rsidRPr="008D369A" w:rsidRDefault="00CA2A5B" w:rsidP="00CA2A5B">
      <w:pPr>
        <w:ind w:firstLine="0"/>
        <w:rPr>
          <w:lang w:val="en-US" w:eastAsia="nl-NL"/>
          <w14:numForm w14:val="default"/>
        </w:rPr>
      </w:pPr>
    </w:p>
    <w:p w:rsidR="00CA2A5B" w:rsidRPr="008D369A" w:rsidRDefault="00CA2A5B" w:rsidP="00CA2A5B">
      <w:pPr>
        <w:ind w:firstLine="0"/>
        <w:rPr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>Figure S2. Substrate-uptake rates during growth on two substrates.</w:t>
      </w:r>
      <w:r w:rsidRPr="008D369A">
        <w:rPr>
          <w:lang w:val="en-US" w:eastAsia="nl-NL"/>
          <w14:numForm w14:val="default"/>
        </w:rPr>
        <w:t xml:space="preserve"> </w:t>
      </w:r>
    </w:p>
    <w:p w:rsidR="00CA2A5B" w:rsidRPr="008D369A" w:rsidRDefault="00CA2A5B" w:rsidP="00CA2A5B">
      <w:pPr>
        <w:ind w:firstLine="0"/>
        <w:rPr>
          <w:rFonts w:cs="Cambria"/>
          <w:kern w:val="0"/>
          <w:lang w:val="en-US"/>
          <w14:ligatures w14:val="none"/>
          <w14:numForm w14:val="default"/>
          <w14:numSpacing w14:val="default"/>
          <w14:cntxtAlts w14:val="0"/>
        </w:rPr>
      </w:pPr>
      <w:r w:rsidRPr="008D369A">
        <w:rPr>
          <w:lang w:val="en-US" w:eastAsia="nl-NL"/>
          <w14:numForm w14:val="default"/>
        </w:rPr>
        <w:t>For 13 substrate pairs, we measured the uptake rate of each substrate during steady-state balanced growth.  The figure shows a pie chart for each of these pairs, visualizing which fraction of the carbon atoms consumed was derived from either substrate. When “upper” substrates (</w:t>
      </w:r>
      <w:r w:rsidRPr="008D369A">
        <w:rPr>
          <w:i/>
          <w:lang w:val="en-US" w:eastAsia="nl-NL"/>
          <w14:numForm w14:val="default"/>
        </w:rPr>
        <w:t>i.e.</w:t>
      </w:r>
      <w:r w:rsidRPr="008D369A">
        <w:rPr>
          <w:lang w:val="en-US" w:eastAsia="nl-NL"/>
          <w14:numForm w14:val="default"/>
        </w:rPr>
        <w:t xml:space="preserve">, substrates merging into upper glycolysis, here represented by mannose, xylose, glycerol, maltose, glucose) are combined with “lower” substrates (succinate or pyruvate; first two columns), both substrates contribute substantially to the total carbon uptake; that is, the substrates are co-utilized. In contrast, glucose suppresses the uptake of other “upper” substrates, resulting in negligible co-utilization (last column). In the case of glycerol, feedback inhibition by glycolytic intermediate </w:t>
      </w:r>
      <w:r w:rsidRPr="008D369A">
        <w:rPr>
          <w:rFonts w:cs="Cambria"/>
          <w:kern w:val="0"/>
          <w:lang w:val="en-US"/>
          <w14:ligatures w14:val="none"/>
          <w14:numForm w14:val="default"/>
          <w14:numSpacing w14:val="default"/>
          <w14:cntxtAlts w14:val="0"/>
        </w:rPr>
        <w:t xml:space="preserve">fructose-1,6-biphosphate (FBP) reduces glycerol uptake in the presence of other “upper” substrates, which can result in limited co-utilization or sequential utilization depending on the second substrate </w:t>
      </w:r>
      <w:r w:rsidRPr="008D369A">
        <w:rPr>
          <w:lang w:val="en-US" w:eastAsia="nl-NL"/>
          <w14:numForm w14:val="default"/>
        </w:rPr>
        <w:fldChar w:fldCharType="begin"/>
      </w:r>
      <w:r w:rsidRPr="008D369A">
        <w:rPr>
          <w:lang w:val="en-US" w:eastAsia="nl-NL"/>
          <w14:numForm w14:val="default"/>
        </w:rPr>
        <w:instrText xml:space="preserve"> ADDIN EN.CITE &lt;EndNote&gt;&lt;Cite&gt;&lt;Author&gt;Zwaig&lt;/Author&gt;&lt;Year&gt;1966&lt;/Year&gt;&lt;IDText&gt;Feedback inhibition of glycerol kinase, a catabolic enzyme in Escherichia coli&lt;/IDText&gt;&lt;DisplayText&gt;(Zwaig &amp;amp; Lin, 1966)&lt;/DisplayText&gt;&lt;record&gt;&lt;dates&gt;&lt;pub-dates&gt;&lt;date&gt;Aug&lt;/date&gt;&lt;/pub-dates&gt;&lt;year&gt;1966&lt;/year&gt;&lt;/dates&gt;&lt;keywords&gt;&lt;keyword&gt;Enzymes&lt;/keyword&gt;&lt;keyword&gt;Escherichia coli&lt;/keyword&gt;&lt;keyword&gt;Feedback&lt;/keyword&gt;&lt;keyword&gt;Glucose&lt;/keyword&gt;&lt;keyword&gt;Glycerol&lt;/keyword&gt;&lt;keyword&gt;Phosphates&lt;/keyword&gt;&lt;keyword&gt;Phosphotransferases&lt;/keyword&gt;&lt;/keywords&gt;&lt;urls&gt;&lt;related-urls&gt;&lt;url&gt;http://www.ncbi.nlm.nih.gov/pubmed/5328677&lt;/url&gt;&lt;/related-urls&gt;&lt;/urls&gt;&lt;isbn&gt;0036-8075&lt;/isbn&gt;&lt;titles&gt;&lt;title&gt;Feedback inhibition of glycerol kinase, a catabolic enzyme in Escherichia coli&lt;/title&gt;&lt;secondary-title&gt;Science&lt;/secondary-title&gt;&lt;/titles&gt;&lt;pages&gt;755-7&lt;/pages&gt;&lt;number&gt;3737&lt;/number&gt;&lt;contributors&gt;&lt;authors&gt;&lt;author&gt;Zwaig, N.&lt;/author&gt;&lt;author&gt;Lin, E. C.&lt;/author&gt;&lt;/authors&gt;&lt;/contributors&gt;&lt;language&gt;eng&lt;/language&gt;&lt;added-date format="utc"&gt;1408997034&lt;/added-date&gt;&lt;ref-type name="Journal Article"&gt;17&lt;/ref-type&gt;&lt;rec-number&gt;180&lt;/rec-number&gt;&lt;last-updated-date format="utc"&gt;1408997034&lt;/last-updated-date&gt;&lt;accession-num&gt;5328677&lt;/accession-num&gt;&lt;volume&gt;153&lt;/volume&gt;&lt;/record&gt;&lt;/Cite&gt;&lt;/EndNote&gt;</w:instrText>
      </w:r>
      <w:r w:rsidRPr="008D369A">
        <w:rPr>
          <w:lang w:val="en-US" w:eastAsia="nl-NL"/>
          <w14:numForm w14:val="default"/>
        </w:rPr>
        <w:fldChar w:fldCharType="separate"/>
      </w:r>
      <w:r w:rsidRPr="008D369A">
        <w:rPr>
          <w:noProof/>
          <w:lang w:val="en-US" w:eastAsia="nl-NL"/>
          <w14:numForm w14:val="default"/>
        </w:rPr>
        <w:t>(Zwaig &amp; Lin, 1966)</w:t>
      </w:r>
      <w:r w:rsidRPr="008D369A">
        <w:rPr>
          <w:lang w:val="en-US" w:eastAsia="nl-NL"/>
          <w14:numForm w14:val="default"/>
        </w:rPr>
        <w:fldChar w:fldCharType="end"/>
      </w:r>
      <w:r w:rsidRPr="008D369A">
        <w:rPr>
          <w:rFonts w:cs="Cambria"/>
          <w:kern w:val="0"/>
          <w:lang w:val="en-US"/>
          <w14:ligatures w14:val="none"/>
          <w14:numForm w14:val="default"/>
          <w14:numSpacing w14:val="default"/>
          <w14:cntxtAlts w14:val="0"/>
        </w:rPr>
        <w:t xml:space="preserve">. </w:t>
      </w:r>
    </w:p>
    <w:p w:rsidR="00CA2A5B" w:rsidRPr="008D369A" w:rsidRDefault="00CA2A5B" w:rsidP="00CA2A5B">
      <w:pPr>
        <w:spacing w:after="200" w:line="276" w:lineRule="auto"/>
        <w:ind w:firstLine="0"/>
        <w:jc w:val="left"/>
        <w:rPr>
          <w:b/>
          <w:lang w:val="en-US" w:eastAsia="nl-NL"/>
          <w14:numForm w14:val="default"/>
        </w:rPr>
      </w:pPr>
    </w:p>
    <w:p w:rsidR="00CA2A5B" w:rsidRPr="008D369A" w:rsidRDefault="00CA2A5B" w:rsidP="00CA2A5B">
      <w:pPr>
        <w:ind w:firstLine="0"/>
        <w:rPr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 xml:space="preserve">Figure S3. </w:t>
      </w:r>
      <w:proofErr w:type="gramStart"/>
      <w:r w:rsidRPr="008D369A">
        <w:rPr>
          <w:b/>
          <w:lang w:val="en-US" w:eastAsia="nl-NL"/>
          <w14:numForm w14:val="default"/>
        </w:rPr>
        <w:t>Reduced substrate uptake in the presence of a second substrate.</w:t>
      </w:r>
      <w:proofErr w:type="gramEnd"/>
      <w:r w:rsidRPr="008D369A">
        <w:rPr>
          <w:lang w:val="en-US" w:eastAsia="nl-NL"/>
          <w14:numForm w14:val="default"/>
        </w:rPr>
        <w:t xml:space="preserve"> </w:t>
      </w:r>
    </w:p>
    <w:p w:rsidR="00CA2A5B" w:rsidRPr="008D369A" w:rsidRDefault="00CA2A5B" w:rsidP="00CA2A5B">
      <w:pPr>
        <w:ind w:firstLine="0"/>
        <w:rPr>
          <w:lang w:val="en-US" w:eastAsia="nl-NL"/>
          <w14:numForm w14:val="default"/>
        </w:rPr>
      </w:pPr>
      <w:r w:rsidRPr="008D369A">
        <w:rPr>
          <w:lang w:val="en-US" w:eastAsia="nl-NL"/>
          <w14:numForm w14:val="default"/>
        </w:rPr>
        <w:t xml:space="preserve">The proposed theory of simultaneous substrate utilization predicts that, due to the global negative feedback loop illustrated in </w:t>
      </w:r>
      <w:r>
        <w:rPr>
          <w:lang w:val="en-US" w:eastAsia="nl-NL"/>
        </w:rPr>
        <w:t xml:space="preserve">Supplementary </w:t>
      </w:r>
      <w:r>
        <w:rPr>
          <w:lang w:val="en-US" w:eastAsia="nl-NL"/>
          <w14:numForm w14:val="default"/>
        </w:rPr>
        <w:t>Fig. S</w:t>
      </w:r>
      <w:r w:rsidRPr="008D369A">
        <w:rPr>
          <w:lang w:val="en-US" w:eastAsia="nl-NL"/>
          <w14:numForm w14:val="default"/>
        </w:rPr>
        <w:t xml:space="preserve">1, the uptake of each substrate should be reduced in the presence of a second (co-utilized) substrate. Figs. 2B-E show four examples of this phenomenon; two more examples are shown here, in Panels A and B. (In Panel B, the reduction in glucose uptake in the presence of succinate is small; this is expected given the low growth rate on succinate.) </w:t>
      </w:r>
      <w:proofErr w:type="gramStart"/>
      <w:r w:rsidRPr="008D369A">
        <w:rPr>
          <w:lang w:val="en-US" w:eastAsia="nl-NL"/>
          <w14:numForm w14:val="default"/>
        </w:rPr>
        <w:t>Panels C-E present contrasting results for substrate pairs of group B, which are not expected to obey the proposed theory.</w:t>
      </w:r>
      <w:proofErr w:type="gramEnd"/>
      <w:r w:rsidRPr="008D369A">
        <w:rPr>
          <w:lang w:val="en-US" w:eastAsia="nl-NL"/>
          <w14:numForm w14:val="default"/>
        </w:rPr>
        <w:t xml:space="preserve"> Panels C and D demonstrate that, while glycerol uptake is much reduced in the presence of xylose or glucose, the converse is not true: xylose and glucose uptake rates are unaffected by the presence of glycerol. (Glycerol and xylose support similar growth rates, and therefore the proposed theory would predict that they affect </w:t>
      </w:r>
      <w:r w:rsidRPr="008D369A">
        <w:rPr>
          <w:lang w:val="en-US" w:eastAsia="nl-NL"/>
          <w14:numForm w14:val="default"/>
        </w:rPr>
        <w:lastRenderedPageBreak/>
        <w:t xml:space="preserve">each other symmetrically.) Similarly, Panel E shows that xylose uptake is completely inhibited by glucose, but glucose uptake is not affected by the presence of xylose. </w:t>
      </w:r>
    </w:p>
    <w:p w:rsidR="00CA2A5B" w:rsidRPr="008D369A" w:rsidRDefault="00CA2A5B" w:rsidP="00CA2A5B">
      <w:pPr>
        <w:spacing w:after="200" w:line="276" w:lineRule="auto"/>
        <w:ind w:firstLine="0"/>
        <w:jc w:val="left"/>
        <w:rPr>
          <w:b/>
          <w:lang w:val="en-US" w:eastAsia="nl-NL"/>
          <w14:numForm w14:val="default"/>
        </w:rPr>
      </w:pPr>
    </w:p>
    <w:p w:rsidR="00C70A91" w:rsidRDefault="00CA2A5B">
      <w:bookmarkStart w:id="0" w:name="_GoBack"/>
      <w:bookmarkEnd w:id="0"/>
    </w:p>
    <w:sectPr w:rsidR="00C70A91" w:rsidSect="00E645FC">
      <w:footerReference w:type="default" r:id="rId5"/>
      <w:pgSz w:w="11907" w:h="16839" w:code="9"/>
      <w:pgMar w:top="1418" w:right="1418" w:bottom="1418" w:left="1418" w:header="709" w:footer="709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8590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4FB2" w:rsidRDefault="00CA2A5B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4FB2" w:rsidRDefault="00CA2A5B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5B"/>
    <w:rsid w:val="00AA01C0"/>
    <w:rsid w:val="00B478C6"/>
    <w:rsid w:val="00C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2A5B"/>
    <w:pPr>
      <w:spacing w:after="120" w:line="360" w:lineRule="auto"/>
      <w:ind w:firstLine="709"/>
      <w:jc w:val="both"/>
    </w:pPr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CA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2A5B"/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A5B"/>
    <w:rPr>
      <w:rFonts w:ascii="Tahoma" w:eastAsia="MS Mincho" w:hAnsi="Tahoma" w:cs="Tahoma"/>
      <w:kern w:val="22"/>
      <w:sz w:val="16"/>
      <w:szCs w:val="16"/>
      <w:lang w:val="nl-NL" w:eastAsia="en-US"/>
      <w14:ligatures w14:val="standardContextual"/>
      <w14:numForm w14:val="oldStyle"/>
      <w14:numSpacing w14:val="proportional"/>
      <w14:cntxtAlts/>
    </w:rPr>
  </w:style>
  <w:style w:type="character" w:styleId="Zeilennummer">
    <w:name w:val="line number"/>
    <w:basedOn w:val="Absatz-Standardschriftart"/>
    <w:uiPriority w:val="99"/>
    <w:semiHidden/>
    <w:unhideWhenUsed/>
    <w:rsid w:val="00CA2A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2A5B"/>
    <w:pPr>
      <w:spacing w:after="120" w:line="360" w:lineRule="auto"/>
      <w:ind w:firstLine="709"/>
      <w:jc w:val="both"/>
    </w:pPr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CA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2A5B"/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A5B"/>
    <w:rPr>
      <w:rFonts w:ascii="Tahoma" w:eastAsia="MS Mincho" w:hAnsi="Tahoma" w:cs="Tahoma"/>
      <w:kern w:val="22"/>
      <w:sz w:val="16"/>
      <w:szCs w:val="16"/>
      <w:lang w:val="nl-NL" w:eastAsia="en-US"/>
      <w14:ligatures w14:val="standardContextual"/>
      <w14:numForm w14:val="oldStyle"/>
      <w14:numSpacing w14:val="proportional"/>
      <w14:cntxtAlts/>
    </w:rPr>
  </w:style>
  <w:style w:type="character" w:styleId="Zeilennummer">
    <w:name w:val="line number"/>
    <w:basedOn w:val="Absatz-Standardschriftart"/>
    <w:uiPriority w:val="99"/>
    <w:semiHidden/>
    <w:unhideWhenUsed/>
    <w:rsid w:val="00CA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Killet, Vivian - Weinheim</dc:creator>
  <cp:lastModifiedBy>Killet, Vivian - Weinheim</cp:lastModifiedBy>
  <cp:revision>1</cp:revision>
  <dcterms:created xsi:type="dcterms:W3CDTF">2015-03-25T11:31:00Z</dcterms:created>
  <dcterms:modified xsi:type="dcterms:W3CDTF">2015-03-25T11:31:00Z</dcterms:modified>
</cp:coreProperties>
</file>