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E8083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691">
        <w:rPr>
          <w:rFonts w:ascii="Times New Roman" w:hAnsi="Times New Roman" w:cs="Times New Roman"/>
          <w:b/>
          <w:sz w:val="24"/>
          <w:szCs w:val="24"/>
        </w:rPr>
        <w:t>Supplem</w:t>
      </w:r>
      <w:r>
        <w:rPr>
          <w:rFonts w:ascii="Times New Roman" w:hAnsi="Times New Roman" w:cs="Times New Roman"/>
          <w:b/>
          <w:sz w:val="24"/>
          <w:szCs w:val="24"/>
        </w:rPr>
        <w:t xml:space="preserve">entary Table and Figure Legends </w:t>
      </w:r>
    </w:p>
    <w:p w14:paraId="33650BC4" w14:textId="77777777" w:rsidR="00F75A98" w:rsidRPr="00282691" w:rsidRDefault="00F75A98" w:rsidP="002826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6812071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– Genetic interaction S-scores and conditional genetic interaction z-scores for gene-gene pairs in each condition. For each gene-pair analysed in our screen we provide the static genetic interactions (S-score) in each condition and the calculated conditional genetic interaction z-score.</w:t>
      </w:r>
    </w:p>
    <w:p w14:paraId="62C65867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3A60F3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 – Gene-complex associations. For each protein complex represented in our array with at least 4 genes we calculated the enrichment of differential genetic interactions with each query signalling gene and each condition. Statistically significant signalling gene-complex associations were then selected for each condition.</w:t>
      </w:r>
    </w:p>
    <w:p w14:paraId="50A63BF1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567B86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1 – Correlation of genetic-interaction scores (S-score) for biological replicates. We correlated the S-scores obtained for the overlapping gene-pairs measured in both screens (figure 1) either in un-stressed conditions or in the presence of zymolyase. We observed correlation coefficients that are similar or better than obtained in previous genetic interaction screens. </w:t>
      </w:r>
    </w:p>
    <w:p w14:paraId="54CD7787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F6A8E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 – Correlation of conditional genetic-interaction scores (Z-score) for biological replicates. We correlated the conditional genetic interaction z-scores obtained for the overlapping gene-pairs measured in both screens for the zymolyase condition.  </w:t>
      </w:r>
    </w:p>
    <w:p w14:paraId="7257B4BB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BD6066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3 – Validation of conditional genetic interactions with spot assays. We tested the sensitivity of wild type (BY4741) and selected isogenic single and double mutants to different stresses. Ten-fold serial dilutions of cell suspensions were spotted onto YPD plates supplemented with the indicated drugs and incubated at 30°C for 42 h, excepting the lowest row of panels that were incubated for 56h. Sensitivity of </w:t>
      </w:r>
      <w:r>
        <w:rPr>
          <w:rFonts w:ascii="Times New Roman" w:hAnsi="Times New Roman" w:cs="Times New Roman"/>
          <w:i/>
          <w:iCs/>
          <w:sz w:val="24"/>
          <w:szCs w:val="24"/>
        </w:rPr>
        <w:t>hog1Δ</w:t>
      </w:r>
      <w:r>
        <w:rPr>
          <w:rFonts w:ascii="Times New Roman" w:hAnsi="Times New Roman" w:cs="Times New Roman"/>
          <w:sz w:val="24"/>
          <w:szCs w:val="24"/>
        </w:rPr>
        <w:t xml:space="preserve"> mutants was analysed in plates containing 0.6 M sorbitol (SO), 50µg (1U) /ml) zymolyase 20T (ZY) and 3 mM hydrogen peroxide (OX). Sensitivity of </w:t>
      </w:r>
      <w:r>
        <w:rPr>
          <w:rFonts w:ascii="Times New Roman" w:hAnsi="Times New Roman" w:cs="Times New Roman"/>
          <w:i/>
          <w:iCs/>
          <w:sz w:val="24"/>
          <w:szCs w:val="24"/>
        </w:rPr>
        <w:t>slt2Δ</w:t>
      </w:r>
      <w:r>
        <w:rPr>
          <w:rFonts w:ascii="Times New Roman" w:hAnsi="Times New Roman" w:cs="Times New Roman"/>
          <w:sz w:val="24"/>
          <w:szCs w:val="24"/>
        </w:rPr>
        <w:t xml:space="preserve"> mutants was analysed against 0,3µg/ml Congo red (CR), 10µg (0.2U)/ml zymolyase 20T (ZY) and 2 mM caffeine (CA). For comparison, the scores for genetic interaction under stress are also included from strongly conditional negative to strongly conditional positive (--/-/n/+/++), together with the Z-score for each specific gene pair and stress condition. </w:t>
      </w:r>
    </w:p>
    <w:p w14:paraId="6127E346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6D370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4 – Comparison between conditional genetic interaction z-score with phenotypes from spot assays. For all pairs of double mutants tested in the spot assays we scored the change in genetic interaction in a qualitative schema with 5 groups from strongly conditional negative to neutral and to strongly conditional positive (--/-/n/+/++). For each of these groups we plotted the distribution of z-score for the corresponding conditional genetic interaction using boxplots. The median </w:t>
      </w:r>
      <w:r>
        <w:rPr>
          <w:rFonts w:ascii="Times New Roman" w:hAnsi="Times New Roman" w:cs="Times New Roman"/>
          <w:sz w:val="24"/>
          <w:szCs w:val="24"/>
        </w:rPr>
        <w:lastRenderedPageBreak/>
        <w:t>conditional z-scores are -3.64 for strong negative (--), -0.72 for negative (-), -0.014 for neutral (n), 0.94 for positive (+) and 2.27 for strongly positive (++).</w:t>
      </w:r>
    </w:p>
    <w:p w14:paraId="022A55D2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2AFC82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5 – Specificity of the </w:t>
      </w:r>
      <w:r>
        <w:rPr>
          <w:rFonts w:ascii="Times New Roman" w:hAnsi="Times New Roman" w:cs="Times New Roman"/>
          <w:i/>
          <w:iCs/>
          <w:sz w:val="24"/>
          <w:szCs w:val="24"/>
        </w:rPr>
        <w:t>bre2Δ</w:t>
      </w:r>
      <w:r>
        <w:rPr>
          <w:rFonts w:ascii="Times New Roman" w:hAnsi="Times New Roman" w:cs="Times New Roman"/>
          <w:sz w:val="24"/>
          <w:szCs w:val="24"/>
        </w:rPr>
        <w:t xml:space="preserve"> transcriptional phenotype. The transcriptional output for CWI, mating and HOG pathways were tested using canonical promoter reporters (</w:t>
      </w:r>
      <w:r>
        <w:rPr>
          <w:rFonts w:ascii="Times New Roman" w:hAnsi="Times New Roman" w:cs="Times New Roman"/>
          <w:i/>
          <w:iCs/>
          <w:sz w:val="24"/>
          <w:szCs w:val="24"/>
        </w:rPr>
        <w:t>CRH1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FIG1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SLT1</w:t>
      </w:r>
      <w:r>
        <w:rPr>
          <w:rFonts w:ascii="Times New Roman" w:hAnsi="Times New Roman" w:cs="Times New Roman"/>
          <w:sz w:val="24"/>
          <w:szCs w:val="24"/>
        </w:rPr>
        <w:t xml:space="preserve"> respectively). The activation of the </w:t>
      </w:r>
      <w:r>
        <w:rPr>
          <w:rFonts w:ascii="Times New Roman" w:hAnsi="Times New Roman" w:cs="Times New Roman"/>
          <w:i/>
          <w:iCs/>
          <w:sz w:val="24"/>
          <w:szCs w:val="24"/>
        </w:rPr>
        <w:t>CRH1</w:t>
      </w:r>
      <w:r>
        <w:rPr>
          <w:rFonts w:ascii="Times New Roman" w:hAnsi="Times New Roman" w:cs="Times New Roman"/>
          <w:sz w:val="24"/>
          <w:szCs w:val="24"/>
        </w:rPr>
        <w:t xml:space="preserve"> transcriptional response was observed to be dependent on </w:t>
      </w:r>
      <w:r>
        <w:rPr>
          <w:rFonts w:ascii="Times New Roman" w:hAnsi="Times New Roman" w:cs="Times New Roman"/>
          <w:i/>
          <w:iCs/>
          <w:sz w:val="24"/>
          <w:szCs w:val="24"/>
        </w:rPr>
        <w:t>BRE2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hAnsi="Times New Roman" w:cs="Times New Roman"/>
          <w:i/>
          <w:iCs/>
          <w:sz w:val="24"/>
          <w:szCs w:val="24"/>
        </w:rPr>
        <w:t>bre2Δ</w:t>
      </w:r>
      <w:r>
        <w:rPr>
          <w:rFonts w:ascii="Times New Roman" w:hAnsi="Times New Roman" w:cs="Times New Roman"/>
          <w:sz w:val="24"/>
          <w:szCs w:val="24"/>
        </w:rPr>
        <w:t xml:space="preserve"> mutant had very little effects on the transcriptional induction of the mating and osmotic pathway reporters. WT (BY4741) and the isogenic </w:t>
      </w:r>
      <w:r>
        <w:rPr>
          <w:rFonts w:ascii="Times New Roman" w:hAnsi="Times New Roman" w:cs="Times New Roman"/>
          <w:i/>
          <w:iCs/>
          <w:sz w:val="24"/>
          <w:szCs w:val="24"/>
        </w:rPr>
        <w:t>bre2Δ</w:t>
      </w:r>
      <w:r>
        <w:rPr>
          <w:rFonts w:ascii="Times New Roman" w:hAnsi="Times New Roman" w:cs="Times New Roman"/>
          <w:sz w:val="24"/>
          <w:szCs w:val="24"/>
        </w:rPr>
        <w:t xml:space="preserve">  mutant cells carrying the corresponding reporter plasmids were grown to mid-log phase at 24 °C in YPD and then culture aliquots were treated or not with zymolyase 100T (0,8U/ml) for 4 h, α-factor (3µM) or sorbitol 1M for two hours. Cells were collected and processed for β-galactosidase or flow cytometry analysis. Error bars represent standard deviation of three experiments.</w:t>
      </w:r>
    </w:p>
    <w:p w14:paraId="6525C8F0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A9B7E" w14:textId="77777777" w:rsidR="00282691" w:rsidRDefault="00282691" w:rsidP="00282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6 - Bud14 has no significant effect on signal transmission on mating and HOG pathways. WT (BY4741) and the isogenic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bud14Δ </w:t>
      </w:r>
      <w:r>
        <w:rPr>
          <w:rFonts w:ascii="Times New Roman" w:hAnsi="Times New Roman" w:cs="Times New Roman"/>
          <w:sz w:val="24"/>
          <w:szCs w:val="24"/>
        </w:rPr>
        <w:t>mutant cells carrying the corresponding reporter plasmids were grown to mid-log phase at 24 °C in YPD and then culture aliquots were treated or not with α-factor (3µM) (a) or KCl 0,6M (b) for two hours. Cells were collected and processed for flow cytometry analysis. Error bars represent standard deviation of three experiments.</w:t>
      </w:r>
    </w:p>
    <w:p w14:paraId="474C17BA" w14:textId="77777777" w:rsidR="007D60AA" w:rsidRDefault="007D60AA"/>
    <w:sectPr w:rsidR="007D60AA" w:rsidSect="00A97D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91"/>
    <w:rsid w:val="00282691"/>
    <w:rsid w:val="007D60AA"/>
    <w:rsid w:val="00A97DE9"/>
    <w:rsid w:val="00F7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A9ED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691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691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3657</Characters>
  <Application>Microsoft Macintosh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Polychronidou</dc:creator>
  <cp:keywords/>
  <dc:description/>
  <cp:lastModifiedBy>Maria Polychronidou</cp:lastModifiedBy>
  <cp:revision>2</cp:revision>
  <dcterms:created xsi:type="dcterms:W3CDTF">2015-03-23T12:46:00Z</dcterms:created>
  <dcterms:modified xsi:type="dcterms:W3CDTF">2015-03-23T12:46:00Z</dcterms:modified>
</cp:coreProperties>
</file>