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DAD" w:rsidRPr="00593014" w:rsidRDefault="00FC1DAD" w:rsidP="00FC1DAD">
      <w:pPr>
        <w:rPr>
          <w:b/>
        </w:rPr>
      </w:pPr>
      <w:r>
        <w:rPr>
          <w:b/>
          <w:noProof/>
        </w:rPr>
        <w:drawing>
          <wp:inline distT="0" distB="0" distL="0" distR="0">
            <wp:extent cx="5486400" cy="6068060"/>
            <wp:effectExtent l="19050" t="0" r="0" b="0"/>
            <wp:docPr id="8" name="Picture 0" descr="Ge Xie Supplementary Figur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 Xie Supplementary Figure 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1DAD" w:rsidRDefault="00FC1DAD" w:rsidP="00FC1DAD"/>
    <w:p w:rsidR="00FC1DAD" w:rsidRDefault="00FC1DAD" w:rsidP="00FC1DAD">
      <w:r>
        <w:t xml:space="preserve">Supplementary Figure </w:t>
      </w:r>
      <w:r w:rsidR="0077089C">
        <w:t>S</w:t>
      </w:r>
      <w:r>
        <w:t>1. Spike-In RNAs confirm linear correspondence between number of sequencing reads and amount of RNA in samples. The RPKM of each 300nt bin within the spike-in RNAs correspond to the number of RNAs added to the sample at each time point.</w:t>
      </w:r>
    </w:p>
    <w:p w:rsidR="00FE7B0D" w:rsidRDefault="00FE7B0D"/>
    <w:sectPr w:rsidR="00FE7B0D" w:rsidSect="00FE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FC1DAD"/>
    <w:rsid w:val="001E11DE"/>
    <w:rsid w:val="0077089C"/>
    <w:rsid w:val="00942E45"/>
    <w:rsid w:val="00B54186"/>
    <w:rsid w:val="00FC1DAD"/>
    <w:rsid w:val="00FE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DAD"/>
    <w:rPr>
      <w:rFonts w:ascii="Calibri" w:eastAsiaTheme="minorEastAsia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DAD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Harvard University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Huiyi Chen</dc:creator>
  <cp:lastModifiedBy>Huiyi Chen</cp:lastModifiedBy>
  <cp:revision>2</cp:revision>
  <dcterms:created xsi:type="dcterms:W3CDTF">2014-12-02T03:48:00Z</dcterms:created>
  <dcterms:modified xsi:type="dcterms:W3CDTF">2014-12-04T02:16:00Z</dcterms:modified>
</cp:coreProperties>
</file>