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rPr/>
      </w:pPr>
      <w:r>
        <w:rPr/>
      </w:r>
    </w:p>
    <w:p>
      <w:pPr>
        <w:pStyle w:val="Normal"/>
        <w:widowControl w:val="false"/>
        <w:ind w:left="640" w:hanging="640"/>
        <w:rPr/>
      </w:pPr>
      <w:r>
        <w:rPr/>
      </w:r>
    </w:p>
    <w:tbl>
      <w:tblPr>
        <w:tblStyle w:val="PlainTable51"/>
        <w:tblpPr w:bottomFromText="0" w:horzAnchor="margin" w:leftFromText="180" w:rightFromText="180" w:tblpX="0" w:tblpY="129" w:topFromText="0" w:vertAnchor="text"/>
        <w:tblW w:w="999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3059"/>
        <w:gridCol w:w="2340"/>
        <w:gridCol w:w="2250"/>
        <w:gridCol w:w="234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059" w:type="dxa"/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Borders>
              <w:bottom w:val="single" w:sz="4" w:space="0" w:color="7F7F7F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b/>
                <w:b/>
                <w:i w:val="false"/>
                <w:i w:val="false"/>
              </w:rPr>
            </w:pPr>
            <w:r>
              <w:rPr>
                <w:rFonts w:eastAsia="等线 Light" w:cs="Times New Roman" w:cstheme="majorBidi" w:eastAsiaTheme="majorEastAsia" w:ascii="Calibri Light" w:hAnsi="Calibri Light"/>
                <w:b/>
                <w:i w:val="false"/>
                <w:iCs/>
                <w:sz w:val="26"/>
              </w:rPr>
              <w:t>Dataset EV2</w:t>
            </w:r>
          </w:p>
        </w:tc>
        <w:tc>
          <w:tcPr>
            <w:tcW w:w="2340" w:type="dxa"/>
            <w:tcBorders>
              <w:bottom w:val="single" w:sz="4" w:space="0" w:color="7F7F7F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/>
                <w:sz w:val="30"/>
                <w:szCs w:val="30"/>
              </w:rPr>
            </w:pPr>
            <w:r>
              <w:rPr>
                <w:rFonts w:eastAsia="等线 Light" w:cs="Calibri" w:eastAsiaTheme="majorEastAsia" w:ascii="Calibri" w:hAnsi="Calibri"/>
                <w:b/>
                <w:i/>
                <w:iCs/>
                <w:color w:val="538135" w:themeColor="accent6" w:themeShade="bf"/>
                <w:sz w:val="30"/>
                <w:szCs w:val="30"/>
              </w:rPr>
              <w:t>Pa</w:t>
            </w:r>
          </w:p>
        </w:tc>
        <w:tc>
          <w:tcPr>
            <w:tcW w:w="2250" w:type="dxa"/>
            <w:tcBorders>
              <w:bottom w:val="single" w:sz="4" w:space="0" w:color="7F7F7F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tabs>
                <w:tab w:val="clear" w:pos="720"/>
                <w:tab w:val="left" w:pos="644" w:leader="none"/>
              </w:tabs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/>
                <w:sz w:val="30"/>
                <w:szCs w:val="30"/>
              </w:rPr>
            </w:pPr>
            <w:r>
              <w:rPr>
                <w:rFonts w:eastAsia="等线 Light" w:cs="Calibri" w:eastAsiaTheme="majorEastAsia" w:ascii="Calibri" w:hAnsi="Calibri"/>
                <w:b/>
                <w:i/>
                <w:iCs/>
                <w:color w:val="ED7D31" w:themeColor="accent2"/>
                <w:sz w:val="30"/>
                <w:szCs w:val="30"/>
              </w:rPr>
              <w:t>Sm</w:t>
            </w:r>
          </w:p>
        </w:tc>
        <w:tc>
          <w:tcPr>
            <w:tcW w:w="2340" w:type="dxa"/>
            <w:tcBorders>
              <w:bottom w:val="single" w:sz="4" w:space="0" w:color="7F7F7F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tabs>
                <w:tab w:val="clear" w:pos="720"/>
                <w:tab w:val="left" w:pos="644" w:leader="none"/>
              </w:tabs>
              <w:spacing w:lineRule="auto" w:line="240"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/>
                <w:sz w:val="30"/>
                <w:szCs w:val="30"/>
              </w:rPr>
            </w:pPr>
            <w:r>
              <w:rPr>
                <w:rFonts w:eastAsia="等线 Light" w:cs="Calibri" w:eastAsiaTheme="majorEastAsia" w:ascii="Calibri" w:hAnsi="Calibri"/>
                <w:b/>
                <w:i/>
                <w:iCs/>
                <w:color w:val="7030A0"/>
                <w:sz w:val="30"/>
                <w:szCs w:val="30"/>
              </w:rPr>
              <w:t>Se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59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4" w:space="0" w:color="7F7F7F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Calibri Light" w:hAnsi="Calibri Light" w:eastAsia="等线 Light" w:cs="Times New Roman" w:asciiTheme="majorHAnsi" w:cstheme="majorBidi" w:eastAsiaTheme="majorEastAsia" w:hAnsiTheme="majorHAnsi"/>
                <w:i/>
                <w:i/>
                <w:iCs/>
                <w:sz w:val="26"/>
              </w:rPr>
            </w:pPr>
            <w:r>
              <w:rPr>
                <w:rFonts w:eastAsia="等线" w:cs="Calibri Light" w:ascii="Calibri Light" w:hAnsi="Calibri Light" w:cstheme="majorHAnsi" w:eastAsiaTheme="minorEastAsia"/>
                <w:i w:val="false"/>
                <w:iCs/>
                <w:sz w:val="26"/>
              </w:rPr>
              <w:t>Lethality time 50%,</w:t>
            </w:r>
            <w:r>
              <w:rPr>
                <w:rFonts w:eastAsia="等线" w:cs="Arial" w:ascii="Calibri" w:hAnsi="Calibri" w:asciiTheme="minorHAnsi" w:cstheme="minorBidi" w:eastAsiaTheme="minorEastAsia" w:hAnsiTheme="minorHAnsi"/>
                <w:i w:val="false"/>
                <w:iCs/>
                <w:sz w:val="26"/>
              </w:rPr>
              <w:t xml:space="preserve"> </w:t>
            </w:r>
            <w:r>
              <w:rPr>
                <w:rFonts w:eastAsia="等线 Light" w:cs="Times New Roman" w:cstheme="majorBidi" w:eastAsiaTheme="majorEastAsia" w:ascii="Calibri Light" w:hAnsi="Calibri Light"/>
                <w:i/>
                <w:iCs/>
                <w:sz w:val="26"/>
              </w:rPr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50</m:t>
              </m:r>
            </m:oMath>
            <w:r>
              <w:rPr>
                <w:rFonts w:eastAsia="等线 Light" w:cs="Times New Roman" w:cstheme="majorBidi" w:eastAsiaTheme="majorEastAsia" w:ascii="Calibri Light" w:hAnsi="Calibri Light"/>
                <w:i/>
                <w:iCs/>
                <w:sz w:val="26"/>
              </w:rPr>
              <w:t xml:space="preserve"> </w:t>
            </w:r>
          </w:p>
        </w:tc>
        <w:tc>
          <w:tcPr>
            <w:tcW w:w="23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/>
                <w:i/>
                <w:i/>
                <w:color w:val="538135" w:themeColor="accent6" w:themeShade="bf"/>
              </w:rPr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60</m:t>
              </m:r>
              <m:r>
                <w:rPr>
                  <w:rFonts w:ascii="Cambria Math" w:hAnsi="Cambria Math"/>
                </w:rPr>
                <m:t xml:space="preserve">hr</m:t>
              </m:r>
            </m:oMath>
          </w:p>
        </w:tc>
        <w:tc>
          <w:tcPr>
            <w:tcW w:w="225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tabs>
                <w:tab w:val="clear" w:pos="720"/>
                <w:tab w:val="left" w:pos="644" w:leader="none"/>
              </w:tabs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/>
                <w:i/>
                <w:i/>
                <w:color w:val="ED7D31" w:themeColor="accent2"/>
              </w:rPr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70</m:t>
              </m:r>
              <m:r>
                <w:rPr>
                  <w:rFonts w:ascii="Cambria Math" w:hAnsi="Cambria Math"/>
                </w:rPr>
                <m:t xml:space="preserve">hr</m:t>
              </m:r>
            </m:oMath>
          </w:p>
        </w:tc>
        <w:tc>
          <w:tcPr>
            <w:tcW w:w="23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tabs>
                <w:tab w:val="clear" w:pos="720"/>
                <w:tab w:val="left" w:pos="644" w:leader="none"/>
              </w:tabs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/>
                <w:i/>
                <w:i/>
                <w:color w:val="7030A0"/>
              </w:rPr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120</m:t>
              </m:r>
              <m:r>
                <w:rPr>
                  <w:rFonts w:ascii="Cambria Math" w:hAnsi="Cambria Math"/>
                </w:rPr>
                <m:t xml:space="preserve">hr</m:t>
              </m:r>
            </m:oMath>
          </w:p>
        </w:tc>
      </w:tr>
      <w:tr>
        <w:trPr/>
        <w:tc>
          <w:tcPr>
            <w:tcW w:w="3059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4" w:space="0" w:color="7F7F7F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Calibri Light" w:hAnsi="Calibri Light" w:eastAsia="等线 Light" w:cs="Times New Roman" w:asciiTheme="majorHAnsi" w:cstheme="majorBidi" w:eastAsiaTheme="majorEastAsia" w:hAnsiTheme="majorHAnsi"/>
                <w:i/>
                <w:i/>
                <w:iCs/>
                <w:sz w:val="26"/>
              </w:rPr>
            </w:pPr>
            <w:r>
              <w:rPr>
                <w:rFonts w:eastAsia="等线" w:cs="Calibri Light" w:ascii="Calibri Light" w:hAnsi="Calibri Light" w:cstheme="majorHAnsi" w:eastAsiaTheme="minorEastAsia"/>
                <w:i w:val="false"/>
                <w:iCs/>
                <w:sz w:val="26"/>
              </w:rPr>
              <w:t>Pathogen lethality,</w:t>
            </w:r>
            <w:r>
              <w:rPr>
                <w:rFonts w:eastAsia="等线" w:cs="Arial" w:ascii="Calibri" w:hAnsi="Calibri" w:asciiTheme="minorHAnsi" w:cstheme="minorBidi" w:eastAsiaTheme="minorEastAsia" w:hAnsiTheme="minorHAnsi"/>
                <w:i w:val="false"/>
                <w:iCs/>
                <w:sz w:val="26"/>
              </w:rPr>
              <w:t xml:space="preserve"> </w:t>
            </w:r>
            <w:r>
              <w:rPr>
                <w:rFonts w:eastAsia="等线 Light" w:cs="Times New Roman" w:cstheme="majorBidi" w:eastAsiaTheme="majorEastAsia" w:ascii="Calibri Light" w:hAnsi="Calibri Light"/>
                <w:i/>
                <w:iCs/>
                <w:sz w:val="26"/>
              </w:rPr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δ</m:t>
              </m:r>
            </m:oMath>
            <w:r>
              <w:rPr>
                <w:rFonts w:eastAsia="等线 Light" w:cs="Times New Roman" w:cstheme="majorBidi" w:eastAsiaTheme="majorEastAsia" w:ascii="Calibri Light" w:hAnsi="Calibri Light"/>
                <w:i/>
                <w:iCs/>
                <w:sz w:val="26"/>
              </w:rPr>
              <w:t xml:space="preserve"> </w:t>
            </w:r>
          </w:p>
        </w:tc>
        <w:tc>
          <w:tcPr>
            <w:tcW w:w="2340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0.057</m:t>
              </m:r>
              <m:r>
                <w:rPr>
                  <w:rFonts w:ascii="Cambria Math" w:hAnsi="Cambria Math"/>
                </w:rPr>
                <m:t xml:space="preserve">±</m:t>
              </m:r>
              <m:r>
                <w:rPr>
                  <w:rFonts w:ascii="Cambria Math" w:hAnsi="Cambria Math"/>
                </w:rPr>
                <m:t xml:space="preserve">0.014</m:t>
              </m:r>
              <m:sSup>
                <m:e>
                  <m:r>
                    <w:rPr>
                      <w:rFonts w:ascii="Cambria Math" w:hAnsi="Cambria Math"/>
                    </w:rPr>
                    <m:t xml:space="preserve">hr</m:t>
                  </m:r>
                </m:e>
                <m:sup>
                  <m:r>
                    <w:rPr>
                      <w:rFonts w:ascii="Cambria Math" w:hAnsi="Cambria Math"/>
                    </w:rPr>
                    <m:t xml:space="preserve">−</m:t>
                  </m:r>
                  <m:r>
                    <w:rPr>
                      <w:rFonts w:ascii="Cambria Math" w:hAnsi="Cambria Math"/>
                    </w:rPr>
                    <m:t xml:space="preserve">1</m:t>
                  </m:r>
                </m:sup>
              </m:sSup>
            </m:oMath>
          </w:p>
        </w:tc>
        <w:tc>
          <w:tcPr>
            <w:tcW w:w="2250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0.024</m:t>
              </m:r>
              <m:r>
                <w:rPr>
                  <w:rFonts w:ascii="Cambria Math" w:hAnsi="Cambria Math"/>
                </w:rPr>
                <m:t xml:space="preserve">±</m:t>
              </m:r>
              <m:r>
                <w:rPr>
                  <w:rFonts w:ascii="Cambria Math" w:hAnsi="Cambria Math"/>
                </w:rPr>
                <m:t xml:space="preserve">0.006</m:t>
              </m:r>
              <m:sSup>
                <m:e>
                  <m:r>
                    <w:rPr>
                      <w:rFonts w:ascii="Cambria Math" w:hAnsi="Cambria Math"/>
                    </w:rPr>
                    <m:t xml:space="preserve">hr</m:t>
                  </m:r>
                </m:e>
                <m:sup>
                  <m:r>
                    <w:rPr>
                      <w:rFonts w:ascii="Cambria Math" w:hAnsi="Cambria Math"/>
                    </w:rPr>
                    <m:t xml:space="preserve">−</m:t>
                  </m:r>
                  <m:r>
                    <w:rPr>
                      <w:rFonts w:ascii="Cambria Math" w:hAnsi="Cambria Math"/>
                    </w:rPr>
                    <m:t xml:space="preserve">1</m:t>
                  </m:r>
                </m:sup>
              </m:sSup>
            </m:oMath>
          </w:p>
        </w:tc>
        <w:tc>
          <w:tcPr>
            <w:tcW w:w="2340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0.028</m:t>
              </m:r>
              <m:r>
                <w:rPr>
                  <w:rFonts w:ascii="Cambria Math" w:hAnsi="Cambria Math"/>
                </w:rPr>
                <m:t xml:space="preserve">±</m:t>
              </m:r>
              <m:r>
                <w:rPr>
                  <w:rFonts w:ascii="Cambria Math" w:hAnsi="Cambria Math"/>
                </w:rPr>
                <m:t xml:space="preserve">0.007</m:t>
              </m:r>
              <m:sSup>
                <m:e>
                  <m:r>
                    <w:rPr>
                      <w:rFonts w:ascii="Cambria Math" w:hAnsi="Cambria Math"/>
                    </w:rPr>
                    <m:t xml:space="preserve">hr</m:t>
                  </m:r>
                </m:e>
                <m:sup>
                  <m:r>
                    <w:rPr>
                      <w:rFonts w:ascii="Cambria Math" w:hAnsi="Cambria Math"/>
                    </w:rPr>
                    <m:t xml:space="preserve">−</m:t>
                  </m:r>
                  <m:r>
                    <w:rPr>
                      <w:rFonts w:ascii="Cambria Math" w:hAnsi="Cambria Math"/>
                    </w:rPr>
                    <m:t xml:space="preserve">1</m:t>
                  </m:r>
                </m:sup>
              </m:sSup>
            </m:oMath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59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4" w:space="0" w:color="7F7F7F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cs="Calibri Light" w:cstheme="majorHAnsi"/>
              </w:rPr>
            </w:pPr>
            <w:r>
              <w:rPr>
                <w:rFonts w:eastAsia="等线" w:cs="Calibri Light" w:ascii="Calibri Light" w:hAnsi="Calibri Light" w:cstheme="majorHAnsi" w:eastAsiaTheme="minorEastAsia"/>
                <w:i w:val="false"/>
                <w:iCs/>
                <w:sz w:val="26"/>
              </w:rPr>
              <w:t xml:space="preserve">Pathogen growth rate, </w:t>
            </w:r>
            <w:r>
              <w:rPr>
                <w:rFonts w:eastAsia="等线 Light" w:cs="Times New Roman" w:cstheme="majorBidi" w:eastAsiaTheme="majorEastAsia" w:ascii="Calibri Light" w:hAnsi="Calibri Light"/>
                <w:i/>
                <w:iCs/>
                <w:sz w:val="26"/>
              </w:rPr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r</m:t>
              </m:r>
            </m:oMath>
          </w:p>
        </w:tc>
        <w:tc>
          <w:tcPr>
            <w:tcW w:w="23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0.13</m:t>
              </m:r>
              <m:r>
                <w:rPr>
                  <w:rFonts w:ascii="Cambria Math" w:hAnsi="Cambria Math"/>
                </w:rPr>
                <m:t xml:space="preserve">±</m:t>
              </m:r>
              <m:r>
                <w:rPr>
                  <w:rFonts w:ascii="Cambria Math" w:hAnsi="Cambria Math"/>
                </w:rPr>
                <m:t xml:space="preserve">0.037</m:t>
              </m:r>
              <m:sSup>
                <m:e>
                  <m:r>
                    <w:rPr>
                      <w:rFonts w:ascii="Cambria Math" w:hAnsi="Cambria Math"/>
                    </w:rPr>
                    <m:t xml:space="preserve">hr</m:t>
                  </m:r>
                </m:e>
                <m:sup>
                  <m:r>
                    <w:rPr>
                      <w:rFonts w:ascii="Cambria Math" w:hAnsi="Cambria Math"/>
                    </w:rPr>
                    <m:t xml:space="preserve">−</m:t>
                  </m:r>
                  <m:r>
                    <w:rPr>
                      <w:rFonts w:ascii="Cambria Math" w:hAnsi="Cambria Math"/>
                    </w:rPr>
                    <m:t xml:space="preserve">1</m:t>
                  </m:r>
                </m:sup>
              </m:sSup>
            </m:oMath>
          </w:p>
        </w:tc>
        <w:tc>
          <w:tcPr>
            <w:tcW w:w="225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0.082</m:t>
              </m:r>
              <m:r>
                <w:rPr>
                  <w:rFonts w:ascii="Cambria Math" w:hAnsi="Cambria Math"/>
                </w:rPr>
                <m:t xml:space="preserve">±</m:t>
              </m:r>
              <m:r>
                <w:rPr>
                  <w:rFonts w:ascii="Cambria Math" w:hAnsi="Cambria Math"/>
                </w:rPr>
                <m:t xml:space="preserve">0.017</m:t>
              </m:r>
              <m:sSup>
                <m:e>
                  <m:r>
                    <w:rPr>
                      <w:rFonts w:ascii="Cambria Math" w:hAnsi="Cambria Math"/>
                    </w:rPr>
                    <m:t xml:space="preserve">hr</m:t>
                  </m:r>
                </m:e>
                <m:sup>
                  <m:r>
                    <w:rPr>
                      <w:rFonts w:ascii="Cambria Math" w:hAnsi="Cambria Math"/>
                    </w:rPr>
                    <m:t xml:space="preserve">−</m:t>
                  </m:r>
                  <m:r>
                    <w:rPr>
                      <w:rFonts w:ascii="Cambria Math" w:hAnsi="Cambria Math"/>
                    </w:rPr>
                    <m:t xml:space="preserve">1</m:t>
                  </m:r>
                </m:sup>
              </m:sSup>
            </m:oMath>
          </w:p>
        </w:tc>
        <w:tc>
          <w:tcPr>
            <w:tcW w:w="23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0.079</m:t>
              </m:r>
              <m:r>
                <w:rPr>
                  <w:rFonts w:ascii="Cambria Math" w:hAnsi="Cambria Math"/>
                </w:rPr>
                <m:t xml:space="preserve">±</m:t>
              </m:r>
              <m:r>
                <w:rPr>
                  <w:rFonts w:ascii="Cambria Math" w:hAnsi="Cambria Math"/>
                </w:rPr>
                <m:t xml:space="preserve">0.006</m:t>
              </m:r>
              <m:sSup>
                <m:e>
                  <m:r>
                    <w:rPr>
                      <w:rFonts w:ascii="Cambria Math" w:hAnsi="Cambria Math"/>
                    </w:rPr>
                    <m:t xml:space="preserve">hr</m:t>
                  </m:r>
                </m:e>
                <m:sup>
                  <m:r>
                    <w:rPr>
                      <w:rFonts w:ascii="Cambria Math" w:hAnsi="Cambria Math"/>
                    </w:rPr>
                    <m:t xml:space="preserve">−</m:t>
                  </m:r>
                  <m:r>
                    <w:rPr>
                      <w:rFonts w:ascii="Cambria Math" w:hAnsi="Cambria Math"/>
                    </w:rPr>
                    <m:t xml:space="preserve">1</m:t>
                  </m:r>
                </m:sup>
              </m:sSup>
            </m:oMath>
          </w:p>
        </w:tc>
      </w:tr>
      <w:tr>
        <w:trPr/>
        <w:tc>
          <w:tcPr>
            <w:tcW w:w="3059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4" w:space="0" w:color="7F7F7F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cs="Calibri Light" w:cstheme="majorHAnsi"/>
              </w:rPr>
            </w:pPr>
            <w:r>
              <w:rPr>
                <w:rFonts w:eastAsia="等线" w:cs="Calibri Light" w:ascii="Calibri Light" w:hAnsi="Calibri Light" w:cstheme="majorHAnsi" w:eastAsiaTheme="minorEastAsia"/>
                <w:i w:val="false"/>
                <w:iCs/>
                <w:sz w:val="26"/>
              </w:rPr>
              <w:t xml:space="preserve">Pathogen colonization rate, </w:t>
            </w:r>
            <w:r>
              <w:rPr>
                <w:rFonts w:eastAsia="等线 Light" w:cs="Times New Roman" w:cstheme="majorBidi" w:eastAsiaTheme="majorEastAsia" w:ascii="Calibri Light" w:hAnsi="Calibri Light"/>
                <w:i/>
                <w:iCs/>
                <w:sz w:val="26"/>
              </w:rPr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c</m:t>
              </m:r>
            </m:oMath>
          </w:p>
        </w:tc>
        <w:tc>
          <w:tcPr>
            <w:tcW w:w="2340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118</m:t>
              </m:r>
              <m:r>
                <w:rPr>
                  <w:rFonts w:ascii="Cambria Math" w:hAnsi="Cambria Math"/>
                </w:rPr>
                <m:t xml:space="preserve">±</m:t>
              </m:r>
              <m:r>
                <w:rPr>
                  <w:rFonts w:ascii="Cambria Math" w:hAnsi="Cambria Math"/>
                </w:rPr>
                <m:t xml:space="preserve">73</m:t>
              </m:r>
              <m:sSup>
                <m:e>
                  <m:r>
                    <w:rPr>
                      <w:rFonts w:ascii="Cambria Math" w:hAnsi="Cambria Math"/>
                    </w:rPr>
                    <m:t xml:space="preserve">hr</m:t>
                  </m:r>
                </m:e>
                <m:sup>
                  <m:r>
                    <w:rPr>
                      <w:rFonts w:ascii="Cambria Math" w:hAnsi="Cambria Math"/>
                    </w:rPr>
                    <m:t xml:space="preserve">−</m:t>
                  </m:r>
                  <m:r>
                    <w:rPr>
                      <w:rFonts w:ascii="Cambria Math" w:hAnsi="Cambria Math"/>
                    </w:rPr>
                    <m:t xml:space="preserve">1</m:t>
                  </m:r>
                </m:sup>
              </m:sSup>
            </m:oMath>
            <w:r>
              <w:rPr>
                <w:rFonts w:eastAsia="等线" w:eastAsiaTheme="minorEastAsia"/>
              </w:rPr>
              <w:t>cells</w:t>
            </w:r>
          </w:p>
        </w:tc>
        <w:tc>
          <w:tcPr>
            <w:tcW w:w="2250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132</m:t>
              </m:r>
              <m:r>
                <w:rPr>
                  <w:rFonts w:ascii="Cambria Math" w:hAnsi="Cambria Math"/>
                </w:rPr>
                <m:t xml:space="preserve">±</m:t>
              </m:r>
              <m:r>
                <w:rPr>
                  <w:rFonts w:ascii="Cambria Math" w:hAnsi="Cambria Math"/>
                </w:rPr>
                <m:t xml:space="preserve">64</m:t>
              </m:r>
              <m:sSup>
                <m:e>
                  <m:r>
                    <w:rPr>
                      <w:rFonts w:ascii="Cambria Math" w:hAnsi="Cambria Math"/>
                    </w:rPr>
                    <m:t xml:space="preserve">hr</m:t>
                  </m:r>
                </m:e>
                <m:sup>
                  <m:r>
                    <w:rPr>
                      <w:rFonts w:ascii="Cambria Math" w:hAnsi="Cambria Math"/>
                    </w:rPr>
                    <m:t xml:space="preserve">−</m:t>
                  </m:r>
                  <m:r>
                    <w:rPr>
                      <w:rFonts w:ascii="Cambria Math" w:hAnsi="Cambria Math"/>
                    </w:rPr>
                    <m:t xml:space="preserve">1</m:t>
                  </m:r>
                </m:sup>
              </m:sSup>
            </m:oMath>
            <w:r>
              <w:rPr>
                <w:rFonts w:eastAsia="等线" w:eastAsiaTheme="minorEastAsia"/>
              </w:rPr>
              <w:t>cells</w:t>
            </w:r>
          </w:p>
        </w:tc>
        <w:tc>
          <w:tcPr>
            <w:tcW w:w="2340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56</m:t>
              </m:r>
              <m:r>
                <w:rPr>
                  <w:rFonts w:ascii="Cambria Math" w:hAnsi="Cambria Math"/>
                </w:rPr>
                <m:t xml:space="preserve">±</m:t>
              </m:r>
              <m:r>
                <w:rPr>
                  <w:rFonts w:ascii="Cambria Math" w:hAnsi="Cambria Math"/>
                </w:rPr>
                <m:t xml:space="preserve">17</m:t>
              </m:r>
              <m:sSup>
                <m:e>
                  <m:r>
                    <w:rPr>
                      <w:rFonts w:ascii="Cambria Math" w:hAnsi="Cambria Math"/>
                    </w:rPr>
                    <m:t xml:space="preserve">hr</m:t>
                  </m:r>
                </m:e>
                <m:sup>
                  <m:r>
                    <w:rPr>
                      <w:rFonts w:ascii="Cambria Math" w:hAnsi="Cambria Math"/>
                    </w:rPr>
                    <m:t xml:space="preserve">−</m:t>
                  </m:r>
                  <m:r>
                    <w:rPr>
                      <w:rFonts w:ascii="Cambria Math" w:hAnsi="Cambria Math"/>
                    </w:rPr>
                    <m:t xml:space="preserve">1</m:t>
                  </m:r>
                </m:sup>
              </m:sSup>
            </m:oMath>
            <w:r>
              <w:rPr>
                <w:rFonts w:eastAsia="等线" w:eastAsiaTheme="minorEastAsia"/>
              </w:rPr>
              <w:t>cells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59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4" w:space="0" w:color="7F7F7F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cs="Calibri Light" w:cstheme="majorHAnsi"/>
              </w:rPr>
            </w:pPr>
            <w:r>
              <w:rPr>
                <w:rFonts w:eastAsia="等线" w:cs="Calibri Light" w:ascii="Calibri Light" w:hAnsi="Calibri Light" w:cstheme="majorHAnsi" w:eastAsiaTheme="minorEastAsia"/>
                <w:i w:val="false"/>
                <w:iCs/>
                <w:sz w:val="26"/>
              </w:rPr>
              <w:t xml:space="preserve">Carrying capacity, </w:t>
            </w:r>
            <w:r>
              <w:rPr>
                <w:rFonts w:eastAsia="等线 Light" w:cs="Times New Roman" w:cstheme="majorBidi" w:eastAsiaTheme="majorEastAsia" w:ascii="Calibri Light" w:hAnsi="Calibri Light"/>
                <w:i/>
                <w:iCs/>
                <w:sz w:val="26"/>
              </w:rPr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K</m:t>
              </m:r>
            </m:oMath>
          </w:p>
        </w:tc>
        <w:tc>
          <w:tcPr>
            <w:tcW w:w="23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2.8</m:t>
              </m:r>
              <m:r>
                <w:rPr>
                  <w:rFonts w:ascii="Cambria Math" w:hAnsi="Cambria Math"/>
                </w:rPr>
                <m:t xml:space="preserve">×</m:t>
              </m:r>
              <m:sSup>
                <m:e>
                  <m:r>
                    <w:rPr>
                      <w:rFonts w:ascii="Cambria Math" w:hAnsi="Cambria Math"/>
                    </w:rPr>
                    <m:t xml:space="preserve">10</m:t>
                  </m:r>
                </m:e>
                <m:sup>
                  <m:r>
                    <w:rPr>
                      <w:rFonts w:ascii="Cambria Math" w:hAnsi="Cambria Math"/>
                    </w:rPr>
                    <m:t xml:space="preserve">5</m:t>
                  </m:r>
                </m:sup>
              </m:sSup>
            </m:oMath>
            <w:r>
              <w:rPr>
                <w:rFonts w:eastAsia="等线" w:eastAsiaTheme="minorEastAsia"/>
              </w:rPr>
              <w:t xml:space="preserve"> </w:t>
            </w:r>
            <w:r>
              <w:rPr>
                <w:rFonts w:eastAsia="等线" w:eastAsiaTheme="minorEastAsia"/>
              </w:rPr>
              <w:t>cells</w:t>
            </w:r>
          </w:p>
        </w:tc>
        <w:tc>
          <w:tcPr>
            <w:tcW w:w="225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1.1</m:t>
              </m:r>
              <m:r>
                <w:rPr>
                  <w:rFonts w:ascii="Cambria Math" w:hAnsi="Cambria Math"/>
                </w:rPr>
                <m:t xml:space="preserve">×</m:t>
              </m:r>
              <m:sSup>
                <m:e>
                  <m:r>
                    <w:rPr>
                      <w:rFonts w:ascii="Cambria Math" w:hAnsi="Cambria Math"/>
                    </w:rPr>
                    <m:t xml:space="preserve">10</m:t>
                  </m:r>
                </m:e>
                <m:sup>
                  <m:r>
                    <w:rPr>
                      <w:rFonts w:ascii="Cambria Math" w:hAnsi="Cambria Math"/>
                    </w:rPr>
                    <m:t xml:space="preserve">5</m:t>
                  </m:r>
                </m:sup>
              </m:sSup>
            </m:oMath>
            <w:r>
              <w:rPr>
                <w:rFonts w:eastAsia="等线" w:eastAsiaTheme="minorEastAsia"/>
              </w:rPr>
              <w:t xml:space="preserve"> </w:t>
            </w:r>
            <w:r>
              <w:rPr>
                <w:rFonts w:eastAsia="等线" w:eastAsiaTheme="minorEastAsia"/>
              </w:rPr>
              <w:t>cells</w:t>
            </w:r>
          </w:p>
        </w:tc>
        <w:tc>
          <w:tcPr>
            <w:tcW w:w="23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1.7</m:t>
              </m:r>
              <m:r>
                <w:rPr>
                  <w:rFonts w:ascii="Cambria Math" w:hAnsi="Cambria Math"/>
                </w:rPr>
                <m:t xml:space="preserve">×</m:t>
              </m:r>
              <m:sSup>
                <m:e>
                  <m:r>
                    <w:rPr>
                      <w:rFonts w:ascii="Cambria Math" w:hAnsi="Cambria Math"/>
                    </w:rPr>
                    <m:t xml:space="preserve">10</m:t>
                  </m:r>
                </m:e>
                <m:sup>
                  <m:r>
                    <w:rPr>
                      <w:rFonts w:ascii="Cambria Math" w:hAnsi="Cambria Math"/>
                    </w:rPr>
                    <m:t xml:space="preserve">6</m:t>
                  </m:r>
                </m:sup>
              </m:sSup>
            </m:oMath>
            <w:r>
              <w:rPr>
                <w:rFonts w:eastAsia="等线" w:eastAsiaTheme="minorEastAsia"/>
              </w:rPr>
              <w:t xml:space="preserve"> </w:t>
            </w:r>
            <w:r>
              <w:rPr>
                <w:rFonts w:eastAsia="等线" w:eastAsiaTheme="minorEastAsia"/>
              </w:rPr>
              <w:t>cells</w:t>
            </w:r>
          </w:p>
        </w:tc>
      </w:tr>
      <w:tr>
        <w:trPr/>
        <w:tc>
          <w:tcPr>
            <w:tcW w:w="3059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4" w:space="0" w:color="7F7F7F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eastAsia="Calibri" w:cs="Calibri Light" w:cstheme="majorHAnsi"/>
              </w:rPr>
            </w:pPr>
            <w:r>
              <w:rPr>
                <w:rFonts w:eastAsia="等线" w:cs="Calibri Light" w:ascii="Calibri Light" w:hAnsi="Calibri Light" w:cstheme="majorHAnsi" w:eastAsiaTheme="minorEastAsia"/>
                <w:i w:val="false"/>
                <w:iCs/>
                <w:sz w:val="26"/>
              </w:rPr>
              <w:t>Colonization threshold,</w:t>
            </w:r>
            <w:r>
              <w:rPr>
                <w:rFonts w:eastAsia="等线" w:cs="Arial" w:ascii="Calibri" w:hAnsi="Calibri" w:asciiTheme="minorHAnsi" w:cstheme="minorBidi" w:eastAsiaTheme="minorEastAsia" w:hAnsiTheme="minorHAnsi"/>
                <w:i w:val="false"/>
                <w:iCs/>
                <w:sz w:val="26"/>
              </w:rPr>
              <w:t xml:space="preserve"> </w:t>
            </w:r>
            <w:r>
              <w:rPr>
                <w:rFonts w:eastAsia="等线 Light" w:cs="Times New Roman" w:cstheme="majorBidi" w:eastAsiaTheme="majorEastAsia" w:ascii="Calibri Light" w:hAnsi="Calibri Light"/>
                <w:i/>
                <w:iCs/>
                <w:sz w:val="26"/>
              </w:rPr>
            </w:r>
            <m:oMath xmlns:m="http://schemas.openxmlformats.org/officeDocument/2006/math">
              <m:sSup>
                <m:e>
                  <m:r>
                    <w:rPr>
                      <w:rFonts w:ascii="Cambria Math" w:hAnsi="Cambria Math"/>
                    </w:rPr>
                    <m:t xml:space="preserve">N</m:t>
                  </m:r>
                </m:e>
                <m:sup/>
              </m:sSup>
            </m:oMath>
          </w:p>
        </w:tc>
        <w:tc>
          <w:tcPr>
            <w:tcW w:w="2340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910</m:t>
              </m:r>
              <m:r>
                <w:rPr>
                  <w:rFonts w:ascii="Cambria Math" w:hAnsi="Cambria Math"/>
                </w:rPr>
                <m:t xml:space="preserve">±</m:t>
              </m:r>
              <m:r>
                <w:rPr>
                  <w:rFonts w:ascii="Cambria Math" w:hAnsi="Cambria Math"/>
                </w:rPr>
                <m:t xml:space="preserve">620</m:t>
              </m:r>
            </m:oMath>
            <w:r>
              <w:rPr>
                <w:rFonts w:eastAsia="等线" w:eastAsiaTheme="minorEastAsia"/>
              </w:rPr>
              <w:t xml:space="preserve"> </w:t>
            </w:r>
            <w:r>
              <w:rPr>
                <w:rFonts w:eastAsia="等线" w:eastAsiaTheme="minorEastAsia"/>
              </w:rPr>
              <w:t>cells</w:t>
            </w:r>
          </w:p>
        </w:tc>
        <w:tc>
          <w:tcPr>
            <w:tcW w:w="2250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1610</m:t>
              </m:r>
              <m:r>
                <w:rPr>
                  <w:rFonts w:ascii="Cambria Math" w:hAnsi="Cambria Math"/>
                </w:rPr>
                <m:t xml:space="preserve">±</m:t>
              </m:r>
              <m:r>
                <w:rPr>
                  <w:rFonts w:ascii="Cambria Math" w:hAnsi="Cambria Math"/>
                </w:rPr>
                <m:t xml:space="preserve">850</m:t>
              </m:r>
            </m:oMath>
            <w:r>
              <w:rPr>
                <w:rFonts w:eastAsia="等线" w:eastAsiaTheme="minorEastAsia"/>
              </w:rPr>
              <w:t xml:space="preserve"> </w:t>
            </w:r>
            <w:r>
              <w:rPr>
                <w:rFonts w:eastAsia="等线" w:eastAsiaTheme="minorEastAsia"/>
              </w:rPr>
              <w:t>cells</w:t>
            </w:r>
          </w:p>
        </w:tc>
        <w:tc>
          <w:tcPr>
            <w:tcW w:w="2340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710</m:t>
              </m:r>
              <m:r>
                <w:rPr>
                  <w:rFonts w:ascii="Cambria Math" w:hAnsi="Cambria Math"/>
                </w:rPr>
                <m:t xml:space="preserve">±</m:t>
              </m:r>
              <m:r>
                <w:rPr>
                  <w:rFonts w:ascii="Cambria Math" w:hAnsi="Cambria Math"/>
                </w:rPr>
                <m:t xml:space="preserve">220</m:t>
              </m:r>
            </m:oMath>
            <w:r>
              <w:rPr>
                <w:rFonts w:eastAsia="等线" w:eastAsiaTheme="minorEastAsia"/>
              </w:rPr>
              <w:t xml:space="preserve"> </w:t>
            </w:r>
            <w:r>
              <w:rPr>
                <w:rFonts w:eastAsia="等线" w:eastAsiaTheme="minorEastAsia"/>
              </w:rPr>
              <w:t>cells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59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4" w:space="0" w:color="7F7F7F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eastAsia="Calibri" w:cs="Calibri Light" w:cstheme="majorHAnsi"/>
              </w:rPr>
            </w:pPr>
            <w:r>
              <w:rPr>
                <w:rFonts w:eastAsia="等线" w:cs="Calibri Light" w:ascii="Calibri Light" w:hAnsi="Calibri Light" w:cstheme="majorHAnsi" w:eastAsiaTheme="minorEastAsia"/>
                <w:i w:val="false"/>
                <w:iCs w:val="false"/>
                <w:sz w:val="26"/>
              </w:rPr>
              <w:t xml:space="preserve">Colonization time, </w:t>
            </w:r>
            <w:r>
              <w:rPr>
                <w:rFonts w:eastAsia="等线 Light" w:cs="Times New Roman" w:cstheme="majorBidi" w:eastAsiaTheme="majorEastAsia" w:ascii="Calibri Light" w:hAnsi="Calibri Light"/>
                <w:i/>
                <w:iCs/>
                <w:sz w:val="26"/>
              </w:rPr>
            </w:r>
            <m:oMath xmlns:m="http://schemas.openxmlformats.org/officeDocument/2006/math">
              <m:sSub>
                <m:e>
                  <m:r>
                    <w:rPr>
                      <w:rFonts w:ascii="Cambria Math" w:hAnsi="Cambria Math"/>
                    </w:rPr>
                    <m:t xml:space="preserve">τ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c</m:t>
                  </m:r>
                </m:sub>
              </m:sSub>
            </m:oMath>
          </w:p>
        </w:tc>
        <w:tc>
          <w:tcPr>
            <w:tcW w:w="23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5</m:t>
              </m:r>
              <m:r>
                <w:rPr>
                  <w:rFonts w:ascii="Cambria Math" w:hAnsi="Cambria Math"/>
                </w:rPr>
                <m:t xml:space="preserve">±</m:t>
              </m:r>
              <m:r>
                <w:rPr>
                  <w:rFonts w:ascii="Cambria Math" w:hAnsi="Cambria Math"/>
                </w:rPr>
                <m:t xml:space="preserve">2</m:t>
              </m:r>
              <m:r>
                <w:rPr>
                  <w:rFonts w:ascii="Cambria Math" w:hAnsi="Cambria Math"/>
                </w:rPr>
                <m:t xml:space="preserve">hr</m:t>
              </m:r>
            </m:oMath>
          </w:p>
        </w:tc>
        <w:tc>
          <w:tcPr>
            <w:tcW w:w="225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9</m:t>
              </m:r>
              <m:r>
                <w:rPr>
                  <w:rFonts w:ascii="Cambria Math" w:hAnsi="Cambria Math"/>
                </w:rPr>
                <m:t xml:space="preserve">±</m:t>
              </m:r>
              <m:r>
                <w:rPr>
                  <w:rFonts w:ascii="Cambria Math" w:hAnsi="Cambria Math"/>
                </w:rPr>
                <m:t xml:space="preserve">2</m:t>
              </m:r>
              <m:r>
                <w:rPr>
                  <w:rFonts w:ascii="Cambria Math" w:hAnsi="Cambria Math"/>
                </w:rPr>
                <m:t xml:space="preserve">hr</m:t>
              </m:r>
            </m:oMath>
          </w:p>
        </w:tc>
        <w:tc>
          <w:tcPr>
            <w:tcW w:w="23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9</m:t>
              </m:r>
              <m:r>
                <w:rPr>
                  <w:rFonts w:ascii="Cambria Math" w:hAnsi="Cambria Math"/>
                </w:rPr>
                <m:t xml:space="preserve">±</m:t>
              </m:r>
              <m:r>
                <w:rPr>
                  <w:rFonts w:ascii="Cambria Math" w:hAnsi="Cambria Math"/>
                </w:rPr>
                <m:t xml:space="preserve">1</m:t>
              </m:r>
              <m:r>
                <w:rPr>
                  <w:rFonts w:ascii="Cambria Math" w:hAnsi="Cambria Math"/>
                </w:rPr>
                <m:t xml:space="preserve">hr</m:t>
              </m:r>
            </m:oMath>
          </w:p>
        </w:tc>
      </w:tr>
      <w:tr>
        <w:trPr/>
        <w:tc>
          <w:tcPr>
            <w:tcW w:w="3059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4" w:space="0" w:color="7F7F7F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eastAsia="Calibri" w:cs="Calibri Light" w:cstheme="majorHAnsi"/>
              </w:rPr>
            </w:pPr>
            <w:r>
              <w:rPr>
                <w:rFonts w:eastAsia="等线" w:cs="Calibri Light" w:ascii="Calibri Light" w:hAnsi="Calibri Light" w:cstheme="majorHAnsi" w:eastAsiaTheme="minorEastAsia"/>
                <w:i w:val="false"/>
                <w:iCs w:val="false"/>
                <w:sz w:val="26"/>
              </w:rPr>
              <w:t xml:space="preserve">Replication time, </w:t>
            </w:r>
            <w:r>
              <w:rPr>
                <w:rFonts w:eastAsia="等线 Light" w:cs="Times New Roman" w:cstheme="majorBidi" w:eastAsiaTheme="majorEastAsia" w:ascii="Calibri Light" w:hAnsi="Calibri Light"/>
                <w:i/>
                <w:iCs/>
                <w:sz w:val="26"/>
              </w:rPr>
            </w:r>
            <m:oMath xmlns:m="http://schemas.openxmlformats.org/officeDocument/2006/math">
              <m:sSub>
                <m:e>
                  <m:r>
                    <w:rPr>
                      <w:rFonts w:ascii="Cambria Math" w:hAnsi="Cambria Math"/>
                    </w:rPr>
                    <m:t xml:space="preserve">τ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r</m:t>
                  </m:r>
                </m:sub>
              </m:sSub>
            </m:oMath>
          </w:p>
        </w:tc>
        <w:tc>
          <w:tcPr>
            <w:tcW w:w="2340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39</m:t>
              </m:r>
              <m:r>
                <w:rPr>
                  <w:rFonts w:ascii="Cambria Math" w:hAnsi="Cambria Math"/>
                </w:rPr>
                <m:t xml:space="preserve">±</m:t>
              </m:r>
              <m:r>
                <w:rPr>
                  <w:rFonts w:ascii="Cambria Math" w:hAnsi="Cambria Math"/>
                </w:rPr>
                <m:t xml:space="preserve">10</m:t>
              </m:r>
              <m:r>
                <w:rPr>
                  <w:rFonts w:ascii="Cambria Math" w:hAnsi="Cambria Math"/>
                </w:rPr>
                <m:t xml:space="preserve">hr</m:t>
              </m:r>
            </m:oMath>
          </w:p>
        </w:tc>
        <w:tc>
          <w:tcPr>
            <w:tcW w:w="2250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42</m:t>
              </m:r>
              <m:r>
                <w:rPr>
                  <w:rFonts w:ascii="Cambria Math" w:hAnsi="Cambria Math"/>
                </w:rPr>
                <m:t xml:space="preserve">±</m:t>
              </m:r>
              <m:r>
                <w:rPr>
                  <w:rFonts w:ascii="Cambria Math" w:hAnsi="Cambria Math"/>
                </w:rPr>
                <m:t xml:space="preserve">9</m:t>
              </m:r>
              <m:r>
                <w:rPr>
                  <w:rFonts w:ascii="Cambria Math" w:hAnsi="Cambria Math"/>
                </w:rPr>
                <m:t xml:space="preserve">hr</m:t>
              </m:r>
            </m:oMath>
          </w:p>
        </w:tc>
        <w:tc>
          <w:tcPr>
            <w:tcW w:w="2340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90</m:t>
              </m:r>
              <m:r>
                <w:rPr>
                  <w:rFonts w:ascii="Cambria Math" w:hAnsi="Cambria Math"/>
                </w:rPr>
                <m:t xml:space="preserve">±</m:t>
              </m:r>
              <m:r>
                <w:rPr>
                  <w:rFonts w:ascii="Cambria Math" w:hAnsi="Cambria Math"/>
                </w:rPr>
                <m:t xml:space="preserve">7</m:t>
              </m:r>
              <m:r>
                <w:rPr>
                  <w:rFonts w:ascii="Cambria Math" w:hAnsi="Cambria Math"/>
                </w:rPr>
                <m:t xml:space="preserve">hr</m:t>
              </m:r>
            </m:oMath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59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4" w:space="0" w:color="7F7F7F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eastAsia="Calibri" w:cs="Calibri Light" w:cstheme="majorHAnsi"/>
              </w:rPr>
            </w:pPr>
            <w:r>
              <w:rPr>
                <w:rFonts w:eastAsia="等线" w:cs="Calibri Light" w:ascii="Calibri Light" w:hAnsi="Calibri Light" w:cstheme="majorHAnsi" w:eastAsiaTheme="minorEastAsia"/>
                <w:i w:val="false"/>
                <w:iCs/>
                <w:sz w:val="26"/>
              </w:rPr>
              <w:t xml:space="preserve">Invasiveness, </w:t>
            </w:r>
            <w:r>
              <w:rPr>
                <w:rFonts w:eastAsia="等线 Light" w:cs="Times New Roman" w:cstheme="majorBidi" w:eastAsiaTheme="majorEastAsia" w:ascii="Calibri Light" w:hAnsi="Calibri Light"/>
                <w:i/>
                <w:iCs/>
                <w:sz w:val="26"/>
              </w:rPr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τ</m:t>
              </m:r>
            </m:oMath>
          </w:p>
        </w:tc>
        <w:tc>
          <w:tcPr>
            <w:tcW w:w="23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44</m:t>
              </m:r>
              <m:r>
                <w:rPr>
                  <w:rFonts w:ascii="Cambria Math" w:hAnsi="Cambria Math"/>
                </w:rPr>
                <m:t xml:space="preserve">±</m:t>
              </m:r>
              <m:r>
                <w:rPr>
                  <w:rFonts w:ascii="Cambria Math" w:hAnsi="Cambria Math"/>
                </w:rPr>
                <m:t xml:space="preserve">11</m:t>
              </m:r>
              <m:r>
                <w:rPr>
                  <w:rFonts w:ascii="Cambria Math" w:hAnsi="Cambria Math"/>
                </w:rPr>
                <m:t xml:space="preserve">hr</m:t>
              </m:r>
            </m:oMath>
          </w:p>
        </w:tc>
        <w:tc>
          <w:tcPr>
            <w:tcW w:w="225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51</m:t>
              </m:r>
              <m:r>
                <w:rPr>
                  <w:rFonts w:ascii="Cambria Math" w:hAnsi="Cambria Math"/>
                </w:rPr>
                <m:t xml:space="preserve">±</m:t>
              </m:r>
              <m:r>
                <w:rPr>
                  <w:rFonts w:ascii="Cambria Math" w:hAnsi="Cambria Math"/>
                </w:rPr>
                <m:t xml:space="preserve">10</m:t>
              </m:r>
              <m:r>
                <w:rPr>
                  <w:rFonts w:ascii="Cambria Math" w:hAnsi="Cambria Math"/>
                </w:rPr>
                <m:t xml:space="preserve">h</m:t>
              </m:r>
            </m:oMath>
            <w:r>
              <w:rPr>
                <w:rFonts w:eastAsia="等线" w:eastAsiaTheme="minorEastAsia"/>
              </w:rPr>
              <w:t>r</w:t>
            </w:r>
          </w:p>
        </w:tc>
        <w:tc>
          <w:tcPr>
            <w:tcW w:w="2340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  <m:oMath xmlns:m="http://schemas.openxmlformats.org/officeDocument/2006/math">
              <m:r>
                <w:rPr>
                  <w:rFonts w:ascii="Cambria Math" w:hAnsi="Cambria Math"/>
                </w:rPr>
                <m:t xml:space="preserve">98</m:t>
              </m:r>
              <m:r>
                <w:rPr>
                  <w:rFonts w:ascii="Cambria Math" w:hAnsi="Cambria Math"/>
                </w:rPr>
                <m:t xml:space="preserve">±</m:t>
              </m:r>
              <m:r>
                <w:rPr>
                  <w:rFonts w:ascii="Cambria Math" w:hAnsi="Cambria Math"/>
                </w:rPr>
                <m:t xml:space="preserve">8</m:t>
              </m:r>
              <m:r>
                <w:rPr>
                  <w:rFonts w:ascii="Cambria Math" w:hAnsi="Cambria Math"/>
                </w:rPr>
                <m:t xml:space="preserve">hr</m:t>
              </m:r>
            </m:oMath>
          </w:p>
        </w:tc>
      </w:tr>
    </w:tbl>
    <w:p>
      <w:pPr>
        <w:pStyle w:val="Normal"/>
        <w:widowControl w:val="false"/>
        <w:ind w:left="640" w:hanging="640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2" wp14:anchorId="5DDFC6B5">
                <wp:simplePos x="0" y="0"/>
                <wp:positionH relativeFrom="column">
                  <wp:posOffset>49530</wp:posOffset>
                </wp:positionH>
                <wp:positionV relativeFrom="paragraph">
                  <wp:posOffset>2169160</wp:posOffset>
                </wp:positionV>
                <wp:extent cx="6763385" cy="335915"/>
                <wp:effectExtent l="0" t="0" r="6985" b="7620"/>
                <wp:wrapNone/>
                <wp:docPr id="1" name="Text 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600" cy="335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widowControl w:val="false"/>
                              <w:cnfStyle w:val="101000000100" w:firstRow="1" w:lastRow="0" w:firstColumn="1" w:lastColumn="0" w:oddVBand="0" w:evenVBand="0" w:oddHBand="0" w:evenHBand="0" w:firstRowFirstColumn="1" w:firstRowLastColumn="0" w:lastRowFirstColumn="0" w:lastRowLastColumn="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b/>
                                <w:color w:val="auto"/>
                              </w:rPr>
                              <w:t>Dataset EV2</w:t>
                            </w:r>
                            <w:r>
                              <w:rPr>
                                <w:color w:val="auto"/>
                              </w:rPr>
                              <w:t xml:space="preserve"> refers to multi-pathogen experiments displayed in Figure 1B/C, Figure 3B/C and Figure 4B.</w:t>
                            </w:r>
                          </w:p>
                          <w:p>
                            <w:pPr>
                              <w:pStyle w:val="FrameContents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</w:r>
                          </w:p>
                        </w:txbxContent>
                      </wps:txbx>
                      <wps:bodyPr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" fillcolor="white" stroked="t" style="position:absolute;margin-left:3.9pt;margin-top:170.8pt;width:532.45pt;height:26.35pt" wp14:anchorId="5DDFC6B5">
                <w10:wrap type="square"/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FrameContents"/>
                        <w:widowControl w:val="false"/>
                        <w:cnfStyle w:val="101000000100" w:firstRow="1" w:lastRow="0" w:firstColumn="1" w:lastColumn="0" w:oddVBand="0" w:evenVBand="0" w:oddHBand="0" w:evenHBand="0" w:firstRowFirstColumn="1" w:firstRowLastColumn="0" w:lastRowFirstColumn="0" w:lastRowLastColumn="0"/>
                        <w:rPr>
                          <w:color w:val="auto"/>
                        </w:rPr>
                      </w:pPr>
                      <w:r>
                        <w:rPr>
                          <w:b/>
                          <w:color w:val="auto"/>
                        </w:rPr>
                        <w:t>Dataset EV2</w:t>
                      </w:r>
                      <w:r>
                        <w:rPr>
                          <w:color w:val="auto"/>
                        </w:rPr>
                        <w:t xml:space="preserve"> refers to multi-pathogen experiments displayed in Figure 1B/C, Figure 3B/C and Figure 4B.</w:t>
                      </w:r>
                    </w:p>
                    <w:p>
                      <w:pPr>
                        <w:pStyle w:val="FrameContents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</w:r>
                    </w:p>
                  </w:txbxContent>
                </v:textbox>
              </v:rect>
            </w:pict>
          </mc:Fallback>
        </mc:AlternateContent>
      </w:r>
      <w:r>
        <w:rPr/>
        <w:t xml:space="preserve">    </w:t>
      </w:r>
    </w:p>
    <w:sectPr>
      <w:type w:val="nextPage"/>
      <w:pgSz w:w="12240" w:h="15840"/>
      <w:pgMar w:left="720" w:right="2880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74"/>
  <w:trackRevisions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zh-CN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071da2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1b2b"/>
    <w:pPr>
      <w:keepNext w:val="true"/>
      <w:keepLines/>
      <w:spacing w:before="480" w:after="0"/>
      <w:outlineLvl w:val="0"/>
    </w:pPr>
    <w:rPr>
      <w:rFonts w:ascii="Calibri Light" w:hAnsi="Calibri Light" w:eastAsia="等线 Light" w:cs="Times New Roman" w:asciiTheme="majorHAnsi" w:cstheme="majorBidi" w:eastAsiaTheme="majorEastAsia" w:hAnsiTheme="majorHAns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1b2b"/>
    <w:pPr>
      <w:keepNext w:val="true"/>
      <w:keepLines/>
      <w:spacing w:before="200" w:after="0"/>
      <w:outlineLvl w:val="1"/>
    </w:pPr>
    <w:rPr>
      <w:rFonts w:ascii="Calibri Light" w:hAnsi="Calibri Light" w:eastAsia="等线 Light" w:cs="Times New Roman"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0128"/>
    <w:pPr>
      <w:keepNext w:val="true"/>
      <w:keepLines/>
      <w:spacing w:before="200" w:after="0"/>
      <w:outlineLvl w:val="2"/>
    </w:pPr>
    <w:rPr>
      <w:rFonts w:ascii="Calibri Light" w:hAnsi="Calibri Light" w:eastAsia="等线 Light" w:cs="Times New Roman" w:asciiTheme="majorHAnsi" w:cstheme="majorBidi" w:eastAsiaTheme="majorEastAsia" w:hAnsiTheme="majorHAns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924d9"/>
    <w:pPr>
      <w:keepNext w:val="true"/>
      <w:keepLines/>
      <w:spacing w:before="40" w:after="0"/>
      <w:outlineLvl w:val="3"/>
    </w:pPr>
    <w:rPr>
      <w:rFonts w:ascii="Calibri Light" w:hAnsi="Calibri Light" w:eastAsia="等线 Light" w:cs="Times New Roman" w:asciiTheme="majorHAnsi" w:cstheme="majorBidi" w:eastAsiaTheme="majorEastAsia" w:hAnsiTheme="majorHAns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924d9"/>
    <w:pPr>
      <w:keepNext w:val="true"/>
      <w:keepLines/>
      <w:spacing w:before="40" w:after="0"/>
      <w:outlineLvl w:val="4"/>
    </w:pPr>
    <w:rPr>
      <w:rFonts w:ascii="Calibri Light" w:hAnsi="Calibri Light" w:eastAsia="等线 Light" w:cs="Times New Roman" w:asciiTheme="majorHAnsi" w:cstheme="majorBidi" w:eastAsiaTheme="majorEastAsia" w:hAnsiTheme="majorHAnsi"/>
      <w:color w:val="2E74B5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dc2543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dc2543"/>
    <w:rPr/>
  </w:style>
  <w:style w:type="character" w:styleId="NoSpacingChar" w:customStyle="1">
    <w:name w:val="No Spacing Char"/>
    <w:basedOn w:val="DefaultParagraphFont"/>
    <w:link w:val="NoSpacing"/>
    <w:uiPriority w:val="1"/>
    <w:qFormat/>
    <w:rsid w:val="00dc2543"/>
    <w:rPr>
      <w:rFonts w:eastAsia="等线" w:eastAsiaTheme="minorEastAsia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dc2543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a61b2b"/>
    <w:rPr>
      <w:rFonts w:ascii="Calibri Light" w:hAnsi="Calibri Light" w:eastAsia="等线 Light" w:cs="Times New Roman" w:asciiTheme="majorHAnsi" w:cstheme="majorBidi" w:eastAsiaTheme="majorEastAsia" w:hAnsiTheme="majorHAnsi"/>
      <w:b/>
      <w:bCs/>
      <w:color w:val="2E74B5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a61b2b"/>
    <w:rPr>
      <w:rFonts w:ascii="Calibri Light" w:hAnsi="Calibri Light" w:eastAsia="等线 Light" w:cs="Times New Roman"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qFormat/>
    <w:rsid w:val="00ae793b"/>
    <w:rPr>
      <w:color w:val="808080"/>
    </w:rPr>
  </w:style>
  <w:style w:type="character" w:styleId="FootnoteTextChar" w:customStyle="1">
    <w:name w:val="Footnote Text Char"/>
    <w:basedOn w:val="DefaultParagraphFont"/>
    <w:link w:val="FootnoteText"/>
    <w:uiPriority w:val="99"/>
    <w:qFormat/>
    <w:rsid w:val="006d1174"/>
    <w:rPr>
      <w:sz w:val="20"/>
      <w:szCs w:val="20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6d1174"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63336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qFormat/>
    <w:rsid w:val="00463336"/>
    <w:rPr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qFormat/>
    <w:rsid w:val="00463336"/>
    <w:rPr>
      <w:b/>
      <w:bCs/>
      <w:sz w:val="20"/>
      <w:szCs w:val="20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7c7c8a"/>
    <w:rPr>
      <w:vertAlign w:val="superscript"/>
    </w:rPr>
  </w:style>
  <w:style w:type="character" w:styleId="EndnoteAnchor">
    <w:name w:val="Endnote Anchor"/>
    <w:rPr>
      <w:vertAlign w:val="superscript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b80128"/>
    <w:rPr>
      <w:rFonts w:ascii="Calibri Light" w:hAnsi="Calibri Light" w:eastAsia="等线 Light" w:cs="Times New Roman" w:asciiTheme="majorHAnsi" w:cstheme="majorBidi" w:eastAsiaTheme="majorEastAsia" w:hAnsiTheme="majorHAnsi"/>
      <w:b/>
      <w:bCs/>
      <w:color w:val="5B9BD5" w:themeColor="accent1"/>
    </w:rPr>
  </w:style>
  <w:style w:type="character" w:styleId="Appleconvertedspace" w:customStyle="1">
    <w:name w:val="apple-converted-space"/>
    <w:basedOn w:val="DefaultParagraphFont"/>
    <w:qFormat/>
    <w:rsid w:val="00e82d5e"/>
    <w:rPr/>
  </w:style>
  <w:style w:type="character" w:styleId="Appletabspan" w:customStyle="1">
    <w:name w:val="apple-tab-span"/>
    <w:basedOn w:val="DefaultParagraphFont"/>
    <w:qFormat/>
    <w:rsid w:val="00d71ff9"/>
    <w:rPr/>
  </w:style>
  <w:style w:type="character" w:styleId="TitleChar" w:customStyle="1">
    <w:name w:val="Title Char"/>
    <w:basedOn w:val="DefaultParagraphFont"/>
    <w:link w:val="Title"/>
    <w:uiPriority w:val="10"/>
    <w:qFormat/>
    <w:rsid w:val="00d71ff9"/>
    <w:rPr>
      <w:rFonts w:ascii="Calibri Light" w:hAnsi="Calibri Light" w:eastAsia="等线 Light" w:cs="Times New Roman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d71ff9"/>
    <w:rPr>
      <w:rFonts w:eastAsia="等线"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1924d9"/>
    <w:rPr>
      <w:i/>
      <w:iCs/>
      <w:color w:val="404040" w:themeColor="text1" w:themeTint="bf"/>
    </w:rPr>
  </w:style>
  <w:style w:type="character" w:styleId="Heading4Char" w:customStyle="1">
    <w:name w:val="Heading 4 Char"/>
    <w:basedOn w:val="DefaultParagraphFont"/>
    <w:link w:val="Heading4"/>
    <w:uiPriority w:val="9"/>
    <w:qFormat/>
    <w:rsid w:val="001924d9"/>
    <w:rPr>
      <w:rFonts w:ascii="Calibri Light" w:hAnsi="Calibri Light" w:eastAsia="等线 Light" w:cs="Times New Roman" w:asciiTheme="majorHAnsi" w:cstheme="majorBidi" w:eastAsiaTheme="majorEastAsia" w:hAnsiTheme="majorHAns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qFormat/>
    <w:rsid w:val="001924d9"/>
    <w:rPr>
      <w:rFonts w:ascii="Calibri Light" w:hAnsi="Calibri Light" w:eastAsia="等线 Light" w:cs="Times New Roman" w:asciiTheme="majorHAnsi" w:cstheme="majorBidi" w:eastAsiaTheme="majorEastAsia" w:hAnsiTheme="majorHAnsi"/>
      <w:color w:val="2E74B5" w:themeColor="accent1" w:themeShade="bf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eastAsia="Calibri" w:cs="Times New Roman"/>
      <w:color w:val="000000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eastAsia="Calibri" w:cs="Arial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eastAsia="Times New Roman" w:cs="Times New Roman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Caption1">
    <w:name w:val="caption"/>
    <w:basedOn w:val="Normal"/>
    <w:next w:val="Normal"/>
    <w:uiPriority w:val="35"/>
    <w:unhideWhenUsed/>
    <w:qFormat/>
    <w:rsid w:val="005617d5"/>
    <w:pPr>
      <w:spacing w:before="0" w:after="200"/>
    </w:pPr>
    <w:rPr>
      <w:b/>
      <w:bCs/>
      <w:color w:val="5B9BD5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2543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rsid w:val="00dc2543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NoSpacing">
    <w:name w:val="No Spacing"/>
    <w:link w:val="NoSpacingChar"/>
    <w:uiPriority w:val="1"/>
    <w:qFormat/>
    <w:rsid w:val="00dc2543"/>
    <w:pPr>
      <w:widowControl/>
      <w:bidi w:val="0"/>
      <w:spacing w:lineRule="auto" w:line="240" w:before="0" w:after="0"/>
      <w:jc w:val="left"/>
    </w:pPr>
    <w:rPr>
      <w:rFonts w:eastAsia="等线" w:eastAsiaTheme="minorEastAsia" w:ascii="Calibri" w:hAnsi="Calibri" w:cs="Arial"/>
      <w:color w:val="auto"/>
      <w:kern w:val="0"/>
      <w:sz w:val="24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c254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28d0"/>
    <w:pPr>
      <w:spacing w:before="0" w:after="0"/>
      <w:ind w:left="720" w:hanging="0"/>
      <w:contextualSpacing/>
    </w:pPr>
    <w:rPr/>
  </w:style>
  <w:style w:type="paragraph" w:styleId="Footnote">
    <w:name w:val="Footnote Text"/>
    <w:basedOn w:val="Normal"/>
    <w:link w:val="FootnoteTextChar"/>
    <w:uiPriority w:val="99"/>
    <w:unhideWhenUsed/>
    <w:rsid w:val="006d1174"/>
    <w:pPr/>
    <w:rPr>
      <w:sz w:val="20"/>
      <w:szCs w:val="20"/>
    </w:rPr>
  </w:style>
  <w:style w:type="paragraph" w:styleId="Annotationtext">
    <w:name w:val="annotation text"/>
    <w:basedOn w:val="Normal"/>
    <w:link w:val="CommentTextChar"/>
    <w:uiPriority w:val="99"/>
    <w:semiHidden/>
    <w:unhideWhenUsed/>
    <w:qFormat/>
    <w:rsid w:val="00463336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CommentSubjectChar"/>
    <w:uiPriority w:val="99"/>
    <w:semiHidden/>
    <w:unhideWhenUsed/>
    <w:qFormat/>
    <w:rsid w:val="00463336"/>
    <w:pPr/>
    <w:rPr>
      <w:b/>
      <w:bCs/>
    </w:rPr>
  </w:style>
  <w:style w:type="paragraph" w:styleId="NormalWeb">
    <w:name w:val="Normal (Web)"/>
    <w:basedOn w:val="Normal"/>
    <w:uiPriority w:val="99"/>
    <w:semiHidden/>
    <w:unhideWhenUsed/>
    <w:qFormat/>
    <w:rsid w:val="00b16e24"/>
    <w:pPr>
      <w:spacing w:beforeAutospacing="1" w:afterAutospacing="1"/>
    </w:pPr>
    <w:rPr>
      <w:rFonts w:eastAsia="等线" w:eastAsiaTheme="minorEastAsia"/>
    </w:rPr>
  </w:style>
  <w:style w:type="paragraph" w:styleId="Bibliography">
    <w:name w:val="Bibliography"/>
    <w:basedOn w:val="Normal"/>
    <w:next w:val="Normal"/>
    <w:uiPriority w:val="37"/>
    <w:unhideWhenUsed/>
    <w:qFormat/>
    <w:rsid w:val="008c4dda"/>
    <w:pPr>
      <w:tabs>
        <w:tab w:val="clear" w:pos="720"/>
        <w:tab w:val="left" w:pos="260" w:leader="none"/>
        <w:tab w:val="left" w:pos="380" w:leader="none"/>
      </w:tabs>
      <w:spacing w:before="0" w:after="240"/>
      <w:ind w:left="384" w:hanging="384"/>
    </w:pPr>
    <w:rPr/>
  </w:style>
  <w:style w:type="paragraph" w:styleId="Title">
    <w:name w:val="Title"/>
    <w:basedOn w:val="Normal"/>
    <w:next w:val="Normal"/>
    <w:link w:val="TitleChar"/>
    <w:uiPriority w:val="10"/>
    <w:qFormat/>
    <w:rsid w:val="00d71ff9"/>
    <w:pPr>
      <w:spacing w:before="0" w:after="0"/>
      <w:contextualSpacing/>
    </w:pPr>
    <w:rPr>
      <w:rFonts w:ascii="Calibri Light" w:hAnsi="Calibri Light" w:eastAsia="等线 Light" w:cs="Times New Roman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1ff9"/>
    <w:pPr/>
    <w:rPr>
      <w:rFonts w:eastAsia="等线" w:eastAsiaTheme="minorEastAsia"/>
      <w:color w:val="5A5A5A" w:themeColor="text1" w:themeTint="a5"/>
      <w:spacing w:val="15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d10e0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PlainTable31">
    <w:name w:val="Plain Table 31"/>
    <w:basedOn w:val="TableNormal"/>
    <w:uiPriority w:val="43"/>
    <w:rsid w:val="00010c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010c3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</w:tblStylePr>
    <w:tblStylePr w:type="lastRow">
      <w:rPr>
        <w:b/>
        <w:bCs/>
      </w:rPr>
      <w:tblPr/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010c3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sz w:val="26"/>
      </w:rPr>
      <w:tblPr/>
      <w:tcPr>
        <w:tcBorders>
          <w:bottom w:val="single" w:color="7F7F7F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sz w:val="26"/>
      </w:rPr>
      <w:tblPr/>
      <w:tcPr>
        <w:tcBorders>
          <w:top w:val="single" w:color="7F7F7F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sz w:val="26"/>
      </w:rPr>
      <w:tblPr/>
      <w:tcPr>
        <w:tcBorders>
          <w:right w:val="single" w:color="7F7F7F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sz w:val="26"/>
      </w:rPr>
      <w:tblPr/>
      <w:tcPr>
        <w:tcBorders>
          <w:left w:val="single" w:color="7F7F7F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Relationship Id="rId6" Type="http://schemas.openxmlformats.org/officeDocument/2006/relationships/customXml" Target="../customXml/item2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overPageProperties xmlns="http://schemas.microsoft.com/office/2006/coverPageProps">
  <PublishDate>Research statement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13C85180-6AA4-8E4E-8A2A-F5B44BAA54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LibreOffice/6.2.2.2$MacOSX_X86_64 LibreOffice_project/2b840030fec2aae0fd2658d8d4f9548af4e3518d</Application>
  <Pages>1</Pages>
  <Words>50</Words>
  <Characters>313</Characters>
  <CharactersWithSpaces>360</CharactersWithSpaces>
  <Paragraphs>42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2019-02-26T00:22:00Z</dcterms:created>
  <dc:creator>Alfonso</dc:creator>
  <dc:description/>
  <dc:language>en-US</dc:language>
  <cp:lastModifiedBy/>
  <cp:lastPrinted>2018-05-11T17:15:00Z</cp:lastPrinted>
  <dcterms:modified xsi:type="dcterms:W3CDTF">2019-05-15T10:00:01Z</dcterms:modified>
  <cp:revision>7</cp:revision>
  <dc:subject/>
  <dc:title> Tommaso Biancalani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Mendeley Citation Style_1">
    <vt:lpwstr>http://www.zotero.org/styles/pnas</vt:lpwstr>
  </property>
  <property fmtid="{D5CDD505-2E9C-101B-9397-08002B2CF9AE}" pid="8" name="Mendeley Document_1">
    <vt:lpwstr>True</vt:lpwstr>
  </property>
  <property fmtid="{D5CDD505-2E9C-101B-9397-08002B2CF9AE}" pid="9" name="Mendeley Recent Style Id 0_1">
    <vt:lpwstr>http://www.zotero.org/styles/american-medical-association</vt:lpwstr>
  </property>
  <property fmtid="{D5CDD505-2E9C-101B-9397-08002B2CF9AE}" pid="10" name="Mendeley Recent Style Id 1_1">
    <vt:lpwstr>http://www.zotero.org/styles/american-political-science-association</vt:lpwstr>
  </property>
  <property fmtid="{D5CDD505-2E9C-101B-9397-08002B2CF9AE}" pid="11" name="Mendeley Recent Style Id 2_1">
    <vt:lpwstr>http://www.zotero.org/styles/apa</vt:lpwstr>
  </property>
  <property fmtid="{D5CDD505-2E9C-101B-9397-08002B2CF9AE}" pid="12" name="Mendeley Recent Style Id 3_1">
    <vt:lpwstr>http://www.zotero.org/styles/american-sociological-association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Id 5_1">
    <vt:lpwstr>http://www.zotero.org/styles/harvard1</vt:lpwstr>
  </property>
  <property fmtid="{D5CDD505-2E9C-101B-9397-08002B2CF9AE}" pid="15" name="Mendeley Recent Style Id 6_1">
    <vt:lpwstr>http://www.zotero.org/styles/ieee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Id 8_1">
    <vt:lpwstr>http://www.zotero.org/styles/nature</vt:lpwstr>
  </property>
  <property fmtid="{D5CDD505-2E9C-101B-9397-08002B2CF9AE}" pid="18" name="Mendeley Recent Style Id 9_1">
    <vt:lpwstr>http://www.zotero.org/styles/pnas</vt:lpwstr>
  </property>
  <property fmtid="{D5CDD505-2E9C-101B-9397-08002B2CF9AE}" pid="19" name="Mendeley Recent Style Name 0_1">
    <vt:lpwstr>American Medical Association</vt:lpwstr>
  </property>
  <property fmtid="{D5CDD505-2E9C-101B-9397-08002B2CF9AE}" pid="20" name="Mendeley Recent Style Name 1_1">
    <vt:lpwstr>American Political Science Association</vt:lpwstr>
  </property>
  <property fmtid="{D5CDD505-2E9C-101B-9397-08002B2CF9AE}" pid="21" name="Mendeley Recent Style Name 2_1">
    <vt:lpwstr>American Psychological Association 6th edition</vt:lpwstr>
  </property>
  <property fmtid="{D5CDD505-2E9C-101B-9397-08002B2CF9AE}" pid="22" name="Mendeley Recent Style Name 3_1">
    <vt:lpwstr>American Sociological Association</vt:lpwstr>
  </property>
  <property fmtid="{D5CDD505-2E9C-101B-9397-08002B2CF9AE}" pid="23" name="Mendeley Recent Style Name 4_1">
    <vt:lpwstr>Chicago Manual of Style 16th edition (author-date)</vt:lpwstr>
  </property>
  <property fmtid="{D5CDD505-2E9C-101B-9397-08002B2CF9AE}" pid="24" name="Mendeley Recent Style Name 5_1">
    <vt:lpwstr>Harvard Reference format 1 (author-date)</vt:lpwstr>
  </property>
  <property fmtid="{D5CDD505-2E9C-101B-9397-08002B2CF9AE}" pid="25" name="Mendeley Recent Style Name 6_1">
    <vt:lpwstr>IEEE</vt:lpwstr>
  </property>
  <property fmtid="{D5CDD505-2E9C-101B-9397-08002B2CF9AE}" pid="26" name="Mendeley Recent Style Name 7_1">
    <vt:lpwstr>Modern Humanities Research Association 3rd edition (note with bibliography)</vt:lpwstr>
  </property>
  <property fmtid="{D5CDD505-2E9C-101B-9397-08002B2CF9AE}" pid="27" name="Mendeley Recent Style Name 8_1">
    <vt:lpwstr>Nature</vt:lpwstr>
  </property>
  <property fmtid="{D5CDD505-2E9C-101B-9397-08002B2CF9AE}" pid="28" name="Mendeley Recent Style Name 9_1">
    <vt:lpwstr>Proceedings of the National Academy of Sciences of the United States of America</vt:lpwstr>
  </property>
  <property fmtid="{D5CDD505-2E9C-101B-9397-08002B2CF9AE}" pid="29" name="Mendeley Unique User Id_1">
    <vt:lpwstr>f5617963-1ca2-3072-aa1f-11b6bfb88019</vt:lpwstr>
  </property>
  <property fmtid="{D5CDD505-2E9C-101B-9397-08002B2CF9AE}" pid="30" name="ScaleCrop">
    <vt:bool>0</vt:bool>
  </property>
  <property fmtid="{D5CDD505-2E9C-101B-9397-08002B2CF9AE}" pid="31" name="ShareDoc">
    <vt:bool>0</vt:bool>
  </property>
  <property fmtid="{D5CDD505-2E9C-101B-9397-08002B2CF9AE}" pid="32" name="ZOTERO_PREF_1">
    <vt:lpwstr>&lt;data data-version="3" zotero-version="5.0.47"&gt;&lt;session id="6DGjeyFu"/&gt;&lt;style id="http://www.zotero.org/styles/plos-biology" hasBibliography="1" bibliographyStyleHasBeenSet="1"/&gt;&lt;prefs&gt;&lt;pref name="fieldType" value="Field"/&gt;&lt;pref name="automaticJournalAbbr</vt:lpwstr>
  </property>
  <property fmtid="{D5CDD505-2E9C-101B-9397-08002B2CF9AE}" pid="33" name="ZOTERO_PREF_2">
    <vt:lpwstr>eviations" value="true"/&gt;&lt;/prefs&gt;&lt;/data&gt;</vt:lpwstr>
  </property>
</Properties>
</file>