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0C" w:rsidRDefault="00CA1A39">
      <w:pPr>
        <w:spacing w:before="240"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Table EV1.</w:t>
      </w:r>
      <w:r>
        <w:rPr>
          <w:rFonts w:ascii="Times New Roman" w:eastAsia="Times New Roman" w:hAnsi="Times New Roman" w:cs="Times New Roman"/>
        </w:rPr>
        <w:t xml:space="preserve"> Summary of the computational VEPs </w:t>
      </w:r>
      <w:proofErr w:type="spellStart"/>
      <w:r>
        <w:rPr>
          <w:rFonts w:ascii="Times New Roman" w:eastAsia="Times New Roman" w:hAnsi="Times New Roman" w:cs="Times New Roman"/>
        </w:rPr>
        <w:t>usedd</w:t>
      </w:r>
      <w:proofErr w:type="spellEnd"/>
      <w:r>
        <w:rPr>
          <w:rFonts w:ascii="Times New Roman" w:eastAsia="Times New Roman" w:hAnsi="Times New Roman" w:cs="Times New Roman"/>
        </w:rPr>
        <w:t xml:space="preserve"> in this analysis, along with a description of utilised predictive features and the total number of DMS datasets each method generated predictions for in the format human/yeast/bacterial/viral.</w:t>
      </w:r>
    </w:p>
    <w:tbl>
      <w:tblPr>
        <w:tblStyle w:val="a"/>
        <w:tblW w:w="14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5528"/>
        <w:gridCol w:w="2659"/>
        <w:gridCol w:w="1190"/>
        <w:gridCol w:w="1428"/>
      </w:tblGrid>
      <w:tr w:rsidR="00BE610C">
        <w:tc>
          <w:tcPr>
            <w:tcW w:w="1696" w:type="dxa"/>
          </w:tcPr>
          <w:p w:rsidR="00BE610C" w:rsidRDefault="00CA1A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Predictor</w:t>
            </w:r>
          </w:p>
        </w:tc>
        <w:tc>
          <w:tcPr>
            <w:tcW w:w="1560" w:type="dxa"/>
          </w:tcPr>
          <w:p w:rsidR="00BE610C" w:rsidRDefault="00CA1A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Category</w:t>
            </w:r>
          </w:p>
        </w:tc>
        <w:tc>
          <w:tcPr>
            <w:tcW w:w="5528" w:type="dxa"/>
          </w:tcPr>
          <w:p w:rsidR="00BE610C" w:rsidRDefault="00CA1A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Features</w:t>
            </w:r>
          </w:p>
        </w:tc>
        <w:tc>
          <w:tcPr>
            <w:tcW w:w="2659" w:type="dxa"/>
          </w:tcPr>
          <w:p w:rsidR="00BE610C" w:rsidRDefault="00CA1A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Data Source, method source or online predictor.</w:t>
            </w:r>
          </w:p>
        </w:tc>
        <w:tc>
          <w:tcPr>
            <w:tcW w:w="1190" w:type="dxa"/>
          </w:tcPr>
          <w:p w:rsidR="00BE610C" w:rsidRDefault="00CA1A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prediction sets</w:t>
            </w:r>
          </w:p>
          <w:p w:rsidR="00BE610C" w:rsidRDefault="00CA1A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(h/y/b/v)</w:t>
            </w:r>
          </w:p>
        </w:tc>
        <w:tc>
          <w:tcPr>
            <w:tcW w:w="1428" w:type="dxa"/>
          </w:tcPr>
          <w:p w:rsidR="00BE610C" w:rsidRDefault="00CA1A3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Reference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DEOGEN2</w:t>
            </w:r>
          </w:p>
        </w:tc>
        <w:tc>
          <w:tcPr>
            <w:tcW w:w="1560" w:type="dxa"/>
          </w:tcPr>
          <w:p w:rsidR="00BE610C" w:rsidRDefault="00CA1A39" w:rsidP="000063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PROVEAN, sequence conservation, pathway features, early folding predictions, interface annotations from 3D structures.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https://deogen2.mutaframe.com/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(Raimondi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2017)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Envision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DMS measurements.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https://envision.gs.washington.edu/shiny/envision_new/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13/3/0/0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Gray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2018)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FATHMM (weighted)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HMM alignments, per-domain mutation consequences.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http://fathmm.biocompute.org.uk/inherited.html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Shihab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2013)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Fathmm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-MKL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Sequence conservation, epigenetic features, genome site features,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DNA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footprints.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Shihab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FathmmXF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residue features, gene expression, RNA interactions, segmentation features.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http://fathmm.biocompute.org.uk/fathmm-xf/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(Rogers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2018)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MPC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PolyPhen2, ‘missense badness’, 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Samocha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2017)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MutationTaster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Regulatory features,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PhyloP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phastCons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splice sites, sequence conservation, functional and domain annotations.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(Schwarz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2014)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MutPred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biophysical features, and sequence-based features.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Pejaver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2017)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NetDiseaseSNP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Predicted structural features, SIFT, 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http://www.cbs.dtu.dk/services/NetDiseaseSNP/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(Johansen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2013)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PhD_SNP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sequence features.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http://snps.biofold.org/snps-and-go/snps-and-go.html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Capriotti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2006)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PolyPhen2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HumDiv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sequence features, residue-level structural features.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http://genetics.bwh.harvard.edu/pph2/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13/5/9/2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Adzhubei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2010)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PolyPhen2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HumVar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sequence features, residue-level structural features.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http://genetics.bwh.harvard.edu/pph2/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Adzhubei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2010)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PonPS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PonP2, sequence conservation, biophysical features, sequence features, co-evolution, predicted stability.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http://structure.bmc.lu.se/PON-PS/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Niroula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Vihinen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2017)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PonP2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Biophysical features, GO terms, 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http://structure.bmc.lu.se/PON-P2/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Niroula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PrimateAI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based features, predicted structural features.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Sundaram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2018)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S3D-PROF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Structural environment, 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http://snps.biofold.org/snps-and-go/snps-and-go-3d.html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12/5/7/2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Capriotti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Altman, 2011)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SNAP2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Biophysical features, sequence conservation, </w:t>
            </w:r>
            <w:r>
              <w:rPr>
                <w:rFonts w:ascii="Times New Roman" w:eastAsia="Times New Roman" w:hAnsi="Times New Roman" w:cs="Times New Roman"/>
                <w:i/>
              </w:rPr>
              <w:t>predicted</w:t>
            </w:r>
            <w:r>
              <w:rPr>
                <w:rFonts w:ascii="Times New Roman" w:eastAsia="Times New Roman" w:hAnsi="Times New Roman" w:cs="Times New Roman"/>
              </w:rPr>
              <w:t xml:space="preserve"> structural features, co-evolution, residue annotations.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https://www.rostlab.org/services/snap/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(Hecht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SNPs&amp;GO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sequence features, PANTHER output, GO terms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http://snps.biofold.org/snps-and-go/snps-and-go.html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Capriotti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2013)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SNP&amp;GOs3D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PANTHER, GO terms, structural environment, 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http://snps.biofold.org/snps-and-go/snps-and-go-3d.html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12/5/7/2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Capriotti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Altman, 2011)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SuSPect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Network centrality,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uniprot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annotations, sequence conservation, predicted surface accessibility.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http://www.sbg.bio.ic.ac.uk/suspect/about.html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(Yates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2014)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VEST4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86 pre-calculated features from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SNVBox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https://www.cravat.us/CRAVAT/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(Carter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2013)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DeepSequence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https://github.com/debbiemarkslab/DeepSequence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13/5/9/3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Riesselman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2018)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fitCons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DNA accessibility, transcription, epigenetic features.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Gulko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GenoCanyon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biochemical signal.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(Lu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phastCons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Siepel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Haussler, 2005)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PROVEAN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http://provean.jcvi.org/index.php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(Choi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2012)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MutationAssessor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conservation, conservation between subfamilies.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2011)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BLOSUM62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Empirical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(substitution matrix)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https://www.ncbi.nlm.nih.g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ov/Class/FieldGuide/BLOSUM62.txt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Henikoff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Henikoff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1992)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GERP++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Empirical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Davydov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2010)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Grantham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Empirical (substitution matrix)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Amino acid property differences.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Matrix available in reference.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(Grantham, 1974)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LRT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Empirical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(Chun &amp; Fay, 2009)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PANTHER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Unsupervised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Alignment scores from protein subfamilies.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http://snps.biofold.org/snps-and-go/snps-and-go.html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13/4/1/0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(Thomas &amp;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Kejariwal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phyloP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Empirical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http://papi.unipv.it/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(Pollard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2010)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SIFT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Empirical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https://sift.bii.a-star.edu.sg/www/code.html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13/5/9/4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2012)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SIFT4G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Empirical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Vaser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2016)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SiPhy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Empirical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Sequence conservation.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(Garber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2009)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CADD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 features including numerous other predictors. Uses the same feature set as DANN.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https://cadd.gs.washington.edu/snv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Kircher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2014)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CONDEL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Mutation Assessor, SIFT, PolyPhen2, MAPP,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Pfam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E-value,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Fathmm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http://bbglab.irbbarcelona.org/fannsdb/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(González-Pérez &amp;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López-Bigas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2011)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DANN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 features including numerous other predictors. Uses the same feature set as CADD.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Quang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Eigen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Metapredictor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SIFT, PolyPhen2,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MutationAssessor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conservation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metrics.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Ionita-Laza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2016)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M-CAP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SIFT, PolyPhen2, CADD,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MetaLR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MutationTaster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MutationAssessor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Fathmm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LRT, evolutionary conservation metrics, substitution matrices.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http://bejerano.stanford.edu/mcap/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Jagadeesh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2016)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MetaLR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SIFT, PolyPhen2, GERP++,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MutationTaster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MutationAssessor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Fathmm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LRT,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SiPhy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PhyloP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(Dong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MetaSVM</w:t>
            </w:r>
            <w:proofErr w:type="spellEnd"/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SIFT, PolyPhen2, GERP++,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MutationTaster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MutationAssessor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Fathmm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LRT,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SiPhy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PhyloP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(Dong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MVP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Sequence context, sequence conservation, conservation metrics, predicted structural features, mutational tolerance, Eigen, VEST3,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MutationTaster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PolyPhen2, SIFT, PROVEAN,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fathmm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-MKL, FATHMM,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MutationAssessor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LRT.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dbNSFP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database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(Qi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2018)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PAPI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PolyPhen2, SIFT,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PseAA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RF model (evolutionary conservation metrics, sequence environment).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http://papi.unipv.it/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Limongelli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2015)</w:t>
            </w:r>
          </w:p>
        </w:tc>
      </w:tr>
      <w:tr w:rsidR="00BE610C">
        <w:tc>
          <w:tcPr>
            <w:tcW w:w="1696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REVEL</w:t>
            </w:r>
          </w:p>
        </w:tc>
        <w:tc>
          <w:tcPr>
            <w:tcW w:w="156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Metapredictor</w:t>
            </w:r>
            <w:proofErr w:type="spellEnd"/>
          </w:p>
        </w:tc>
        <w:tc>
          <w:tcPr>
            <w:tcW w:w="55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MutPred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PROVEAN, SIFT, PolyPhen2, LRT,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MutationTaster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MutationAssessor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Fathmm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VEST3, GERP++,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SiPhy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PhyloP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https://sites.google.com/site/revelgenomics/</w:t>
            </w:r>
          </w:p>
        </w:tc>
        <w:tc>
          <w:tcPr>
            <w:tcW w:w="1190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13/0/0/0</w:t>
            </w:r>
          </w:p>
        </w:tc>
        <w:tc>
          <w:tcPr>
            <w:tcW w:w="1428" w:type="dxa"/>
          </w:tcPr>
          <w:p w:rsidR="00BE610C" w:rsidRDefault="00CA1A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(Ioannidis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, 2016)</w:t>
            </w:r>
          </w:p>
        </w:tc>
      </w:tr>
    </w:tbl>
    <w:p w:rsidR="00BE610C" w:rsidRDefault="00CA1A39">
      <w:pPr>
        <w:rPr>
          <w:rFonts w:ascii="Times New Roman" w:eastAsia="Times New Roman" w:hAnsi="Times New Roman" w:cs="Times New Roman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Envision is a supervised method, but trained on DMS data, thus not used for calculating the </w:t>
      </w:r>
      <w:proofErr w:type="spellStart"/>
      <w:r>
        <w:rPr>
          <w:rFonts w:ascii="Times New Roman" w:eastAsia="Times New Roman" w:hAnsi="Times New Roman" w:cs="Times New Roman"/>
        </w:rPr>
        <w:t>RankScore</w:t>
      </w:r>
      <w:proofErr w:type="spellEnd"/>
      <w:r>
        <w:rPr>
          <w:rFonts w:ascii="Times New Roman" w:eastAsia="Times New Roman" w:hAnsi="Times New Roman" w:cs="Times New Roman"/>
        </w:rPr>
        <w:t xml:space="preserve"> in table EV7.</w:t>
      </w:r>
    </w:p>
    <w:p w:rsidR="00BE610C" w:rsidRDefault="00CA1A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Unlike the other </w:t>
      </w:r>
      <w:proofErr w:type="spellStart"/>
      <w:r>
        <w:rPr>
          <w:rFonts w:ascii="Times New Roman" w:eastAsia="Times New Roman" w:hAnsi="Times New Roman" w:cs="Times New Roman"/>
        </w:rPr>
        <w:t>metapredictors</w:t>
      </w:r>
      <w:proofErr w:type="spellEnd"/>
      <w:r>
        <w:rPr>
          <w:rFonts w:ascii="Times New Roman" w:eastAsia="Times New Roman" w:hAnsi="Times New Roman" w:cs="Times New Roman"/>
        </w:rPr>
        <w:t>, Eigen uses an unsupervised machine learning method.</w:t>
      </w:r>
    </w:p>
    <w:p w:rsidR="00927E5B" w:rsidRDefault="00927E5B">
      <w:pPr>
        <w:rPr>
          <w:rFonts w:ascii="Times New Roman" w:eastAsia="Times New Roman" w:hAnsi="Times New Roman" w:cs="Times New Roman"/>
        </w:rPr>
      </w:pPr>
    </w:p>
    <w:p w:rsidR="00927E5B" w:rsidRPr="00927E5B" w:rsidRDefault="00927E5B">
      <w:pPr>
        <w:rPr>
          <w:rFonts w:ascii="Arial" w:eastAsia="Times New Roman" w:hAnsi="Arial" w:cs="Arial"/>
          <w:sz w:val="20"/>
          <w:szCs w:val="20"/>
        </w:rPr>
      </w:pPr>
    </w:p>
    <w:p w:rsidR="00927E5B" w:rsidRPr="00927E5B" w:rsidRDefault="00927E5B" w:rsidP="00927E5B">
      <w:pPr>
        <w:rPr>
          <w:rFonts w:ascii="Arial" w:hAnsi="Arial" w:cs="Arial"/>
          <w:b/>
          <w:color w:val="000000"/>
          <w:sz w:val="20"/>
          <w:szCs w:val="20"/>
        </w:rPr>
      </w:pPr>
      <w:r w:rsidRPr="00927E5B">
        <w:rPr>
          <w:rFonts w:ascii="Arial" w:hAnsi="Arial" w:cs="Arial"/>
          <w:b/>
          <w:color w:val="000000"/>
          <w:sz w:val="20"/>
          <w:szCs w:val="20"/>
        </w:rPr>
        <w:t>References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Capriotti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E, Calabrese R,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Casadio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R (2006) Predicting the insurgence of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human genetic diseases associated to single point protein mutations with</w:t>
      </w:r>
    </w:p>
    <w:p w:rsidR="00927E5B" w:rsidRP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support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vector machines and evolutionary information. Bioinformatics 22: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2729 – 2734</w:t>
      </w:r>
    </w:p>
    <w:p w:rsidR="002B4B78" w:rsidRDefault="002B4B78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000000"/>
          <w:sz w:val="20"/>
          <w:szCs w:val="20"/>
        </w:rPr>
        <w:t>Choi Y, Sims GE, Murphy S, Miller JR, Chan AP (2012) Predicting the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 xml:space="preserve">functional effect of amino acid substitutions and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indels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PLoS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ONE 7: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e46688</w:t>
      </w:r>
    </w:p>
    <w:p w:rsidR="002B4B78" w:rsidRDefault="002B4B78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000000"/>
          <w:sz w:val="20"/>
          <w:szCs w:val="20"/>
        </w:rPr>
        <w:t xml:space="preserve">Chun S, Fay JC (2009) Identification of deleterious mutations within </w:t>
      </w: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three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human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genomes. Genome Res 19: 1553 – 1561</w:t>
      </w:r>
    </w:p>
    <w:p w:rsidR="002B4B78" w:rsidRDefault="002B4B78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27E5B">
        <w:rPr>
          <w:rFonts w:ascii="Arial" w:hAnsi="Arial" w:cs="Arial"/>
          <w:sz w:val="20"/>
          <w:szCs w:val="20"/>
        </w:rPr>
        <w:t xml:space="preserve">Dong C, Wei P, </w:t>
      </w:r>
      <w:proofErr w:type="spellStart"/>
      <w:r w:rsidRPr="00927E5B">
        <w:rPr>
          <w:rFonts w:ascii="Arial" w:hAnsi="Arial" w:cs="Arial"/>
          <w:sz w:val="20"/>
          <w:szCs w:val="20"/>
        </w:rPr>
        <w:t>Jian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X, Gibbs R, </w:t>
      </w:r>
      <w:proofErr w:type="spellStart"/>
      <w:r w:rsidRPr="00927E5B">
        <w:rPr>
          <w:rFonts w:ascii="Arial" w:hAnsi="Arial" w:cs="Arial"/>
          <w:sz w:val="20"/>
          <w:szCs w:val="20"/>
        </w:rPr>
        <w:t>Boerwinkle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E, Wang K, Liu X (2015)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>Comparison and integration of deleteriousness prediction methods for</w:t>
      </w:r>
    </w:p>
    <w:p w:rsid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927E5B">
        <w:rPr>
          <w:rFonts w:ascii="Arial" w:hAnsi="Arial" w:cs="Arial"/>
          <w:sz w:val="20"/>
          <w:szCs w:val="20"/>
        </w:rPr>
        <w:t>nonsynonymous</w:t>
      </w:r>
      <w:proofErr w:type="spellEnd"/>
      <w:proofErr w:type="gramEnd"/>
      <w:r w:rsidRPr="00927E5B">
        <w:rPr>
          <w:rFonts w:ascii="Arial" w:hAnsi="Arial" w:cs="Arial"/>
          <w:sz w:val="20"/>
          <w:szCs w:val="20"/>
        </w:rPr>
        <w:t xml:space="preserve"> SNVs in whole </w:t>
      </w:r>
      <w:proofErr w:type="spellStart"/>
      <w:r w:rsidRPr="00927E5B">
        <w:rPr>
          <w:rFonts w:ascii="Arial" w:hAnsi="Arial" w:cs="Arial"/>
          <w:sz w:val="20"/>
          <w:szCs w:val="20"/>
        </w:rPr>
        <w:t>exome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sequencing studies. Hum </w:t>
      </w:r>
      <w:proofErr w:type="spellStart"/>
      <w:r w:rsidRPr="00927E5B">
        <w:rPr>
          <w:rFonts w:ascii="Arial" w:hAnsi="Arial" w:cs="Arial"/>
          <w:sz w:val="20"/>
          <w:szCs w:val="20"/>
        </w:rPr>
        <w:t>Mol</w:t>
      </w:r>
      <w:proofErr w:type="spellEnd"/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>Genet 24: 2125 – 2137</w:t>
      </w:r>
    </w:p>
    <w:p w:rsidR="002B4B78" w:rsidRPr="00927E5B" w:rsidRDefault="002B4B78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27E5B">
        <w:rPr>
          <w:rFonts w:ascii="Arial" w:hAnsi="Arial" w:cs="Arial"/>
          <w:sz w:val="20"/>
          <w:szCs w:val="20"/>
        </w:rPr>
        <w:t xml:space="preserve">González-Pérez A, </w:t>
      </w:r>
      <w:proofErr w:type="spellStart"/>
      <w:r w:rsidRPr="00927E5B">
        <w:rPr>
          <w:rFonts w:ascii="Arial" w:hAnsi="Arial" w:cs="Arial"/>
          <w:sz w:val="20"/>
          <w:szCs w:val="20"/>
        </w:rPr>
        <w:t>López-Bigas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N (2011) Improving the assessment of the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 xml:space="preserve">outcome of </w:t>
      </w:r>
      <w:proofErr w:type="spellStart"/>
      <w:r w:rsidRPr="00927E5B">
        <w:rPr>
          <w:rFonts w:ascii="Arial" w:hAnsi="Arial" w:cs="Arial"/>
          <w:sz w:val="20"/>
          <w:szCs w:val="20"/>
        </w:rPr>
        <w:t>nonsynonymous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SNVs with a consensus deleteriousness score,</w:t>
      </w:r>
    </w:p>
    <w:p w:rsidR="00927E5B" w:rsidRPr="00927E5B" w:rsidRDefault="00927E5B" w:rsidP="00927E5B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927E5B">
        <w:rPr>
          <w:rFonts w:ascii="Arial" w:hAnsi="Arial" w:cs="Arial"/>
          <w:sz w:val="20"/>
          <w:szCs w:val="20"/>
        </w:rPr>
        <w:t>Condel</w:t>
      </w:r>
      <w:proofErr w:type="spellEnd"/>
      <w:r w:rsidRPr="00927E5B">
        <w:rPr>
          <w:rFonts w:ascii="Arial" w:hAnsi="Arial" w:cs="Arial"/>
          <w:sz w:val="20"/>
          <w:szCs w:val="20"/>
        </w:rPr>
        <w:t>.</w:t>
      </w:r>
      <w:proofErr w:type="gramEnd"/>
      <w:r w:rsidRPr="00927E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27E5B">
        <w:rPr>
          <w:rFonts w:ascii="Arial" w:hAnsi="Arial" w:cs="Arial"/>
          <w:sz w:val="20"/>
          <w:szCs w:val="20"/>
        </w:rPr>
        <w:t>Am</w:t>
      </w:r>
      <w:proofErr w:type="gramEnd"/>
      <w:r w:rsidRPr="00927E5B">
        <w:rPr>
          <w:rFonts w:ascii="Arial" w:hAnsi="Arial" w:cs="Arial"/>
          <w:sz w:val="20"/>
          <w:szCs w:val="20"/>
        </w:rPr>
        <w:t xml:space="preserve"> J Hum Genet 88: 440 – 449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Jagadeesh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KA, Wenger AM, Berger MJ,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Guturu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H,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Stenson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PD, Cooper DN,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 xml:space="preserve">Bernstein JA,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Bejerano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G (2016) M-CAP eliminates a majority of variants of</w:t>
      </w:r>
    </w:p>
    <w:p w:rsidR="00927E5B" w:rsidRP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uncertain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significance in clinical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exomes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at high sensitivity. Nat Genet 48:</w:t>
      </w: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1581 – 1586</w:t>
      </w:r>
    </w:p>
    <w:p w:rsidR="00927E5B" w:rsidRPr="00927E5B" w:rsidRDefault="00927E5B" w:rsidP="00927E5B">
      <w:pPr>
        <w:rPr>
          <w:rFonts w:ascii="Arial" w:hAnsi="Arial" w:cs="Arial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000000"/>
          <w:sz w:val="20"/>
          <w:szCs w:val="20"/>
        </w:rPr>
        <w:t xml:space="preserve">Johansen MB,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Izarzugaza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JMG,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Brunak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S, Petersen TN, Gupta R (2013)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Prediction of disease causing non-synonymous SNPs by the artificial</w:t>
      </w:r>
    </w:p>
    <w:p w:rsidR="00927E5B" w:rsidRPr="00927E5B" w:rsidRDefault="00927E5B" w:rsidP="00927E5B">
      <w:pPr>
        <w:rPr>
          <w:rFonts w:ascii="Arial" w:hAnsi="Arial" w:cs="Arial"/>
          <w:sz w:val="20"/>
          <w:szCs w:val="20"/>
        </w:rPr>
      </w:pP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lastRenderedPageBreak/>
        <w:t>neural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network predictor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NetDiseaseSNP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PLoS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ONE 8: e68370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Kircher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M, Witten DM, Jain P,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O’Roak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BJ, Cooper GM,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Shendure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J (2014) A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general framework for estimating the relative pathogenicity of human</w:t>
      </w:r>
    </w:p>
    <w:p w:rsidR="00927E5B" w:rsidRPr="00927E5B" w:rsidRDefault="00927E5B" w:rsidP="00927E5B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genetic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variants. Nat Genet 46: 310 – 315</w:t>
      </w:r>
    </w:p>
    <w:p w:rsidR="00927E5B" w:rsidRP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27E5B">
        <w:rPr>
          <w:rFonts w:ascii="Arial" w:hAnsi="Arial" w:cs="Arial"/>
          <w:sz w:val="20"/>
          <w:szCs w:val="20"/>
        </w:rPr>
        <w:t>Limongelli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I, Marini S, </w:t>
      </w:r>
      <w:proofErr w:type="spellStart"/>
      <w:r w:rsidRPr="00927E5B">
        <w:rPr>
          <w:rFonts w:ascii="Arial" w:hAnsi="Arial" w:cs="Arial"/>
          <w:sz w:val="20"/>
          <w:szCs w:val="20"/>
        </w:rPr>
        <w:t>Bellazzi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R (2015) </w:t>
      </w:r>
      <w:proofErr w:type="spellStart"/>
      <w:r w:rsidRPr="00927E5B">
        <w:rPr>
          <w:rFonts w:ascii="Arial" w:hAnsi="Arial" w:cs="Arial"/>
          <w:sz w:val="20"/>
          <w:szCs w:val="20"/>
        </w:rPr>
        <w:t>PaPI</w:t>
      </w:r>
      <w:proofErr w:type="spellEnd"/>
      <w:r w:rsidRPr="00927E5B">
        <w:rPr>
          <w:rFonts w:ascii="Arial" w:hAnsi="Arial" w:cs="Arial"/>
          <w:sz w:val="20"/>
          <w:szCs w:val="20"/>
        </w:rPr>
        <w:t>: pseudo amino acid composition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>to score human protein-coding variants. BMC Bioinformatics 16: 123</w:t>
      </w:r>
    </w:p>
    <w:p w:rsidR="002B4B78" w:rsidRDefault="002B4B78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27E5B">
        <w:rPr>
          <w:rFonts w:ascii="Arial" w:hAnsi="Arial" w:cs="Arial"/>
          <w:sz w:val="20"/>
          <w:szCs w:val="20"/>
        </w:rPr>
        <w:t>Lu Q, Hu Y, Sun J, Cheng Y, Cheung K-H, Zhao H (2015) A statistical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>framework to predict functional non-coding regions in the human</w:t>
      </w:r>
    </w:p>
    <w:p w:rsidR="00927E5B" w:rsidRPr="00927E5B" w:rsidRDefault="00927E5B" w:rsidP="00927E5B">
      <w:pPr>
        <w:rPr>
          <w:rFonts w:ascii="Arial" w:hAnsi="Arial" w:cs="Arial"/>
          <w:sz w:val="20"/>
          <w:szCs w:val="20"/>
        </w:rPr>
      </w:pPr>
      <w:proofErr w:type="gramStart"/>
      <w:r w:rsidRPr="00927E5B">
        <w:rPr>
          <w:rFonts w:ascii="Arial" w:hAnsi="Arial" w:cs="Arial"/>
          <w:sz w:val="20"/>
          <w:szCs w:val="20"/>
        </w:rPr>
        <w:t>genome</w:t>
      </w:r>
      <w:proofErr w:type="gramEnd"/>
      <w:r w:rsidRPr="00927E5B">
        <w:rPr>
          <w:rFonts w:ascii="Arial" w:hAnsi="Arial" w:cs="Arial"/>
          <w:sz w:val="20"/>
          <w:szCs w:val="20"/>
        </w:rPr>
        <w:t xml:space="preserve"> through integrated analysis of annotation data. </w:t>
      </w:r>
      <w:proofErr w:type="spellStart"/>
      <w:r w:rsidRPr="00927E5B">
        <w:rPr>
          <w:rFonts w:ascii="Arial" w:hAnsi="Arial" w:cs="Arial"/>
          <w:sz w:val="20"/>
          <w:szCs w:val="20"/>
        </w:rPr>
        <w:t>Sci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Rep 5: 1 – 13</w:t>
      </w:r>
    </w:p>
    <w:p w:rsidR="00927E5B" w:rsidRP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27E5B">
        <w:rPr>
          <w:rFonts w:ascii="Arial" w:hAnsi="Arial" w:cs="Arial"/>
          <w:sz w:val="20"/>
          <w:szCs w:val="20"/>
        </w:rPr>
        <w:t>Niroula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A, </w:t>
      </w:r>
      <w:proofErr w:type="spellStart"/>
      <w:r w:rsidRPr="00927E5B">
        <w:rPr>
          <w:rFonts w:ascii="Arial" w:hAnsi="Arial" w:cs="Arial"/>
          <w:sz w:val="20"/>
          <w:szCs w:val="20"/>
        </w:rPr>
        <w:t>Urolagin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927E5B">
        <w:rPr>
          <w:rFonts w:ascii="Arial" w:hAnsi="Arial" w:cs="Arial"/>
          <w:sz w:val="20"/>
          <w:szCs w:val="20"/>
        </w:rPr>
        <w:t>Vihinen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M (2015) PON-P2: prediction method for fast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 xml:space="preserve">and reliable identification of harmful variants. </w:t>
      </w:r>
      <w:proofErr w:type="spellStart"/>
      <w:r w:rsidRPr="00927E5B">
        <w:rPr>
          <w:rFonts w:ascii="Arial" w:hAnsi="Arial" w:cs="Arial"/>
          <w:sz w:val="20"/>
          <w:szCs w:val="20"/>
        </w:rPr>
        <w:t>PLoS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ONE 10: e0117380</w:t>
      </w:r>
    </w:p>
    <w:p w:rsidR="002B4B78" w:rsidRDefault="002B4B78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27E5B">
        <w:rPr>
          <w:rFonts w:ascii="Arial" w:hAnsi="Arial" w:cs="Arial"/>
          <w:sz w:val="20"/>
          <w:szCs w:val="20"/>
        </w:rPr>
        <w:t>Niroula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A, </w:t>
      </w:r>
      <w:proofErr w:type="spellStart"/>
      <w:r w:rsidRPr="00927E5B">
        <w:rPr>
          <w:rFonts w:ascii="Arial" w:hAnsi="Arial" w:cs="Arial"/>
          <w:sz w:val="20"/>
          <w:szCs w:val="20"/>
        </w:rPr>
        <w:t>Vihinen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M (2017) Predicting severity of disease-causing variants.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 xml:space="preserve">Hum </w:t>
      </w:r>
      <w:proofErr w:type="spellStart"/>
      <w:r w:rsidRPr="00927E5B">
        <w:rPr>
          <w:rFonts w:ascii="Arial" w:hAnsi="Arial" w:cs="Arial"/>
          <w:sz w:val="20"/>
          <w:szCs w:val="20"/>
        </w:rPr>
        <w:t>Mutat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38: 357 – 364</w:t>
      </w:r>
    </w:p>
    <w:p w:rsidR="002B4B78" w:rsidRPr="00927E5B" w:rsidRDefault="002B4B78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27E5B">
        <w:rPr>
          <w:rFonts w:ascii="Arial" w:hAnsi="Arial" w:cs="Arial"/>
          <w:sz w:val="20"/>
          <w:szCs w:val="20"/>
        </w:rPr>
        <w:t>Pejaver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V, </w:t>
      </w:r>
      <w:proofErr w:type="spellStart"/>
      <w:r w:rsidRPr="00927E5B">
        <w:rPr>
          <w:rFonts w:ascii="Arial" w:hAnsi="Arial" w:cs="Arial"/>
          <w:sz w:val="20"/>
          <w:szCs w:val="20"/>
        </w:rPr>
        <w:t>Urresti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J, Lugo-Martinez J, </w:t>
      </w:r>
      <w:proofErr w:type="spellStart"/>
      <w:r w:rsidRPr="00927E5B">
        <w:rPr>
          <w:rFonts w:ascii="Arial" w:hAnsi="Arial" w:cs="Arial"/>
          <w:sz w:val="20"/>
          <w:szCs w:val="20"/>
        </w:rPr>
        <w:t>Pagel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KA, Lin GN, Nam H-J, Mort M,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 xml:space="preserve">Cooper DN, </w:t>
      </w:r>
      <w:proofErr w:type="spellStart"/>
      <w:r w:rsidRPr="00927E5B">
        <w:rPr>
          <w:rFonts w:ascii="Arial" w:hAnsi="Arial" w:cs="Arial"/>
          <w:sz w:val="20"/>
          <w:szCs w:val="20"/>
        </w:rPr>
        <w:t>Sebat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927E5B">
        <w:rPr>
          <w:rFonts w:ascii="Arial" w:hAnsi="Arial" w:cs="Arial"/>
          <w:sz w:val="20"/>
          <w:szCs w:val="20"/>
        </w:rPr>
        <w:t>Iakoucheva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LM et al (2017) MutPred2: inferring the</w:t>
      </w:r>
    </w:p>
    <w:p w:rsidR="00927E5B" w:rsidRPr="00927E5B" w:rsidRDefault="00927E5B" w:rsidP="002B4B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927E5B">
        <w:rPr>
          <w:rFonts w:ascii="Arial" w:hAnsi="Arial" w:cs="Arial"/>
          <w:sz w:val="20"/>
          <w:szCs w:val="20"/>
        </w:rPr>
        <w:t>molecular</w:t>
      </w:r>
      <w:proofErr w:type="gramEnd"/>
      <w:r w:rsidRPr="00927E5B">
        <w:rPr>
          <w:rFonts w:ascii="Arial" w:hAnsi="Arial" w:cs="Arial"/>
          <w:sz w:val="20"/>
          <w:szCs w:val="20"/>
        </w:rPr>
        <w:t xml:space="preserve"> and phenotypic impact of amino acid variants. </w:t>
      </w:r>
      <w:proofErr w:type="spellStart"/>
      <w:proofErr w:type="gramStart"/>
      <w:r w:rsidRPr="00927E5B">
        <w:rPr>
          <w:rFonts w:ascii="Arial" w:hAnsi="Arial" w:cs="Arial"/>
          <w:sz w:val="20"/>
          <w:szCs w:val="20"/>
        </w:rPr>
        <w:t>bioRxiv</w:t>
      </w:r>
      <w:proofErr w:type="spellEnd"/>
      <w:proofErr w:type="gramEnd"/>
      <w:r w:rsidRPr="00927E5B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2B4B78" w:rsidRPr="00F71D50">
          <w:rPr>
            <w:rStyle w:val="Hyperlink"/>
            <w:rFonts w:ascii="Arial" w:hAnsi="Arial" w:cs="Arial"/>
            <w:sz w:val="20"/>
            <w:szCs w:val="20"/>
          </w:rPr>
          <w:t>https://d</w:t>
        </w:r>
      </w:hyperlink>
      <w:r w:rsidRPr="00927E5B">
        <w:rPr>
          <w:rFonts w:ascii="Arial" w:hAnsi="Arial" w:cs="Arial"/>
          <w:sz w:val="20"/>
          <w:szCs w:val="20"/>
        </w:rPr>
        <w:t>oi.org/10.1101/134981 [PREPRINT]</w:t>
      </w:r>
    </w:p>
    <w:p w:rsidR="002B4B78" w:rsidRDefault="002B4B78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27E5B">
        <w:rPr>
          <w:rFonts w:ascii="Arial" w:hAnsi="Arial" w:cs="Arial"/>
          <w:sz w:val="20"/>
          <w:szCs w:val="20"/>
        </w:rPr>
        <w:t xml:space="preserve">Pollard KS, </w:t>
      </w:r>
      <w:proofErr w:type="spellStart"/>
      <w:r w:rsidRPr="00927E5B">
        <w:rPr>
          <w:rFonts w:ascii="Arial" w:hAnsi="Arial" w:cs="Arial"/>
          <w:sz w:val="20"/>
          <w:szCs w:val="20"/>
        </w:rPr>
        <w:t>Hubisz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MJ, </w:t>
      </w:r>
      <w:proofErr w:type="spellStart"/>
      <w:r w:rsidRPr="00927E5B">
        <w:rPr>
          <w:rFonts w:ascii="Arial" w:hAnsi="Arial" w:cs="Arial"/>
          <w:sz w:val="20"/>
          <w:szCs w:val="20"/>
        </w:rPr>
        <w:t>Rosenbloom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KR, </w:t>
      </w:r>
      <w:proofErr w:type="spellStart"/>
      <w:r w:rsidRPr="00927E5B">
        <w:rPr>
          <w:rFonts w:ascii="Arial" w:hAnsi="Arial" w:cs="Arial"/>
          <w:sz w:val="20"/>
          <w:szCs w:val="20"/>
        </w:rPr>
        <w:t>Siepel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A (2010) Detection of</w:t>
      </w:r>
      <w:r w:rsidR="002B4B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7E5B">
        <w:rPr>
          <w:rFonts w:ascii="Arial" w:hAnsi="Arial" w:cs="Arial"/>
          <w:sz w:val="20"/>
          <w:szCs w:val="20"/>
        </w:rPr>
        <w:t>nonneutral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substitution rates on mammalian phylogenies. Genome Res 20:</w:t>
      </w:r>
    </w:p>
    <w:p w:rsidR="00927E5B" w:rsidRPr="00927E5B" w:rsidRDefault="00927E5B" w:rsidP="00927E5B">
      <w:pPr>
        <w:rPr>
          <w:rFonts w:ascii="Arial" w:hAnsi="Arial" w:cs="Arial"/>
          <w:sz w:val="20"/>
          <w:szCs w:val="20"/>
        </w:rPr>
      </w:pPr>
      <w:r w:rsidRPr="00927E5B">
        <w:rPr>
          <w:rFonts w:ascii="Arial" w:hAnsi="Arial" w:cs="Arial"/>
          <w:sz w:val="20"/>
          <w:szCs w:val="20"/>
        </w:rPr>
        <w:t>110 – 121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000000"/>
          <w:sz w:val="20"/>
          <w:szCs w:val="20"/>
        </w:rPr>
        <w:t xml:space="preserve">Qi H, Chen C, Zhang H, Long JJ, Chung WK, Guan Y,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Shen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Y (2018) 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MVP: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 xml:space="preserve">predicting pathogenicity of missense variants by deep learning. </w:t>
      </w:r>
      <w:proofErr w:type="spellStart"/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bioRxiv</w:t>
      </w:r>
      <w:proofErr w:type="spellEnd"/>
      <w:proofErr w:type="gramEnd"/>
    </w:p>
    <w:p w:rsidR="00927E5B" w:rsidRPr="00927E5B" w:rsidRDefault="00927E5B" w:rsidP="00927E5B">
      <w:pPr>
        <w:rPr>
          <w:rFonts w:ascii="Arial" w:hAnsi="Arial" w:cs="Arial"/>
          <w:sz w:val="20"/>
          <w:szCs w:val="20"/>
        </w:rPr>
      </w:pP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https://doi.org/10.1101/259390 [PREPRINT]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Quang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D, Chen Y,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Xie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X (2015) DANN: a deep learning approach for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annotating the pathogenicity of genetic variants. Bioinformatics 31: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761 – 763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Reva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B,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Antipin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Y, Sander C (2011) Predicting the functional impact of </w:t>
      </w: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protein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mutations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>: application to cancer genomics. Nucleic Acids Res 39: e118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000000"/>
          <w:sz w:val="20"/>
          <w:szCs w:val="20"/>
        </w:rPr>
        <w:t xml:space="preserve">Rogers MF,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Shihab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HA, Mort M, Cooper DN, Gaunt TR, Campbell C (2018)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FATHMM-XF: accurate prediction of pathogenic point mutations via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FFFFFF"/>
          <w:sz w:val="20"/>
          <w:szCs w:val="20"/>
        </w:rPr>
        <w:t xml:space="preserve"> </w:t>
      </w: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extended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features. Bioinformatics 34: 511 – 513</w:t>
      </w:r>
    </w:p>
    <w:p w:rsidR="002B4B78" w:rsidRDefault="002B4B78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Samocha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KE,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Kosmicki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JA,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Karczewski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KJ, O’Donnell-Luria AH, Pierce-Hoffman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E, MacArthur DG, Neale BM, Daly MJ (2017) Regional missense constraint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improves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variant deleteriousness prediction. </w:t>
      </w:r>
      <w:proofErr w:type="spellStart"/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bioRxiv</w:t>
      </w:r>
      <w:proofErr w:type="spellEnd"/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 w:history="1">
        <w:r w:rsidR="002B4B78" w:rsidRPr="00F71D50">
          <w:rPr>
            <w:rStyle w:val="Hyperlink"/>
            <w:rFonts w:ascii="Arial" w:hAnsi="Arial" w:cs="Arial"/>
            <w:sz w:val="20"/>
            <w:szCs w:val="20"/>
          </w:rPr>
          <w:t>https://doi.org/10</w:t>
        </w:r>
      </w:hyperlink>
      <w:r w:rsidRPr="00927E5B">
        <w:rPr>
          <w:rFonts w:ascii="Arial" w:hAnsi="Arial" w:cs="Arial"/>
          <w:color w:val="000000"/>
          <w:sz w:val="20"/>
          <w:szCs w:val="20"/>
        </w:rPr>
        <w:t>.101/148353 [PREPRINT]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27E5B">
        <w:rPr>
          <w:rFonts w:ascii="Arial" w:hAnsi="Arial" w:cs="Arial"/>
          <w:color w:val="000000"/>
          <w:sz w:val="20"/>
          <w:szCs w:val="20"/>
        </w:rPr>
        <w:t xml:space="preserve">Schwarz JM, Cooper DN,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Schuelke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M, </w:t>
      </w: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Seelow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D (2014) MutationTaster2: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 </w:t>
      </w:r>
      <w:r w:rsidRPr="00927E5B">
        <w:rPr>
          <w:rFonts w:ascii="Arial" w:hAnsi="Arial" w:cs="Arial"/>
          <w:color w:val="000000"/>
          <w:sz w:val="20"/>
          <w:szCs w:val="20"/>
        </w:rPr>
        <w:t>mutation prediction for the deep-sequencing age. Nat Methods 11: 361 – 362</w:t>
      </w:r>
    </w:p>
    <w:p w:rsidR="00927E5B" w:rsidRPr="00927E5B" w:rsidRDefault="002B4B78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7E5B">
        <w:rPr>
          <w:rFonts w:ascii="Arial" w:hAnsi="Arial" w:cs="Arial"/>
          <w:color w:val="000000"/>
          <w:sz w:val="20"/>
          <w:szCs w:val="20"/>
        </w:rPr>
        <w:t>Shihab</w:t>
      </w:r>
      <w:proofErr w:type="spellEnd"/>
      <w:r w:rsidRPr="00927E5B">
        <w:rPr>
          <w:rFonts w:ascii="Arial" w:hAnsi="Arial" w:cs="Arial"/>
          <w:color w:val="000000"/>
          <w:sz w:val="20"/>
          <w:szCs w:val="20"/>
        </w:rPr>
        <w:t xml:space="preserve"> HA, Rogers MF, Gough J, Mort M, Cooper DN, Day INM, Gaunt TR,</w:t>
      </w:r>
      <w:r w:rsidR="002B4B78">
        <w:rPr>
          <w:rFonts w:ascii="Arial" w:hAnsi="Arial" w:cs="Arial"/>
          <w:color w:val="000000"/>
          <w:sz w:val="20"/>
          <w:szCs w:val="20"/>
        </w:rPr>
        <w:t xml:space="preserve"> </w:t>
      </w:r>
      <w:r w:rsidRPr="00927E5B">
        <w:rPr>
          <w:rFonts w:ascii="Arial" w:hAnsi="Arial" w:cs="Arial"/>
          <w:color w:val="000000"/>
          <w:sz w:val="20"/>
          <w:szCs w:val="20"/>
        </w:rPr>
        <w:t>Campbell C (2015) An integrative approach to predicting the functional effects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927E5B">
        <w:rPr>
          <w:rFonts w:ascii="Arial" w:hAnsi="Arial" w:cs="Arial"/>
          <w:color w:val="000000"/>
          <w:sz w:val="20"/>
          <w:szCs w:val="20"/>
        </w:rPr>
        <w:t>of</w:t>
      </w:r>
      <w:proofErr w:type="gramEnd"/>
      <w:r w:rsidRPr="00927E5B">
        <w:rPr>
          <w:rFonts w:ascii="Arial" w:hAnsi="Arial" w:cs="Arial"/>
          <w:color w:val="000000"/>
          <w:sz w:val="20"/>
          <w:szCs w:val="20"/>
        </w:rPr>
        <w:t xml:space="preserve"> non-coding and coding sequence variation. Bioinformatics 31: 1536 – 1543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27E5B">
        <w:rPr>
          <w:rFonts w:ascii="Arial" w:hAnsi="Arial" w:cs="Arial"/>
          <w:sz w:val="20"/>
          <w:szCs w:val="20"/>
        </w:rPr>
        <w:t>Sundaram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L, </w:t>
      </w:r>
      <w:proofErr w:type="spellStart"/>
      <w:r w:rsidRPr="00927E5B">
        <w:rPr>
          <w:rFonts w:ascii="Arial" w:hAnsi="Arial" w:cs="Arial"/>
          <w:sz w:val="20"/>
          <w:szCs w:val="20"/>
        </w:rPr>
        <w:t>Gao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H, </w:t>
      </w:r>
      <w:proofErr w:type="spellStart"/>
      <w:r w:rsidRPr="00927E5B">
        <w:rPr>
          <w:rFonts w:ascii="Arial" w:hAnsi="Arial" w:cs="Arial"/>
          <w:sz w:val="20"/>
          <w:szCs w:val="20"/>
        </w:rPr>
        <w:t>Padigepati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SR, McRae JF, Li Y, </w:t>
      </w:r>
      <w:proofErr w:type="spellStart"/>
      <w:r w:rsidRPr="00927E5B">
        <w:rPr>
          <w:rFonts w:ascii="Arial" w:hAnsi="Arial" w:cs="Arial"/>
          <w:sz w:val="20"/>
          <w:szCs w:val="20"/>
        </w:rPr>
        <w:t>Kosmicki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JA, </w:t>
      </w:r>
      <w:proofErr w:type="spellStart"/>
      <w:r w:rsidRPr="00927E5B">
        <w:rPr>
          <w:rFonts w:ascii="Arial" w:hAnsi="Arial" w:cs="Arial"/>
          <w:sz w:val="20"/>
          <w:szCs w:val="20"/>
        </w:rPr>
        <w:t>Fritzilas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N,</w:t>
      </w:r>
      <w:r w:rsidR="002B4B7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7E5B">
        <w:rPr>
          <w:rFonts w:ascii="Arial" w:hAnsi="Arial" w:cs="Arial"/>
          <w:sz w:val="20"/>
          <w:szCs w:val="20"/>
        </w:rPr>
        <w:t>Hakenberg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927E5B">
        <w:rPr>
          <w:rFonts w:ascii="Arial" w:hAnsi="Arial" w:cs="Arial"/>
          <w:sz w:val="20"/>
          <w:szCs w:val="20"/>
        </w:rPr>
        <w:t>Dutta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A, </w:t>
      </w:r>
      <w:proofErr w:type="spellStart"/>
      <w:r w:rsidRPr="00927E5B">
        <w:rPr>
          <w:rFonts w:ascii="Arial" w:hAnsi="Arial" w:cs="Arial"/>
          <w:sz w:val="20"/>
          <w:szCs w:val="20"/>
        </w:rPr>
        <w:t>Shon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J et al (2018) Predicting the clinical impact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927E5B">
        <w:rPr>
          <w:rFonts w:ascii="Arial" w:hAnsi="Arial" w:cs="Arial"/>
          <w:sz w:val="20"/>
          <w:szCs w:val="20"/>
        </w:rPr>
        <w:t>of</w:t>
      </w:r>
      <w:proofErr w:type="gramEnd"/>
      <w:r w:rsidRPr="00927E5B">
        <w:rPr>
          <w:rFonts w:ascii="Arial" w:hAnsi="Arial" w:cs="Arial"/>
          <w:sz w:val="20"/>
          <w:szCs w:val="20"/>
        </w:rPr>
        <w:t xml:space="preserve"> human mutation with deep neural networks. Nat Genet 50: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>1161 – 1170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27E5B">
        <w:rPr>
          <w:rFonts w:ascii="Arial" w:hAnsi="Arial" w:cs="Arial"/>
          <w:sz w:val="20"/>
          <w:szCs w:val="20"/>
        </w:rPr>
        <w:t xml:space="preserve">Thomas PD, </w:t>
      </w:r>
      <w:proofErr w:type="spellStart"/>
      <w:r w:rsidRPr="00927E5B">
        <w:rPr>
          <w:rFonts w:ascii="Arial" w:hAnsi="Arial" w:cs="Arial"/>
          <w:sz w:val="20"/>
          <w:szCs w:val="20"/>
        </w:rPr>
        <w:t>Kejariwal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27E5B">
        <w:rPr>
          <w:rFonts w:ascii="Arial" w:hAnsi="Arial" w:cs="Arial"/>
          <w:sz w:val="20"/>
          <w:szCs w:val="20"/>
        </w:rPr>
        <w:t>A</w:t>
      </w:r>
      <w:proofErr w:type="gramEnd"/>
      <w:r w:rsidRPr="00927E5B">
        <w:rPr>
          <w:rFonts w:ascii="Arial" w:hAnsi="Arial" w:cs="Arial"/>
          <w:sz w:val="20"/>
          <w:szCs w:val="20"/>
        </w:rPr>
        <w:t xml:space="preserve"> (2004) Coding single-nucleotide polymorphisms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 xml:space="preserve">associated with complex vs. </w:t>
      </w:r>
      <w:proofErr w:type="spellStart"/>
      <w:r w:rsidRPr="00927E5B">
        <w:rPr>
          <w:rFonts w:ascii="Arial" w:hAnsi="Arial" w:cs="Arial"/>
          <w:sz w:val="20"/>
          <w:szCs w:val="20"/>
        </w:rPr>
        <w:t>Mendelian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disease: evolutionary evidence for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927E5B">
        <w:rPr>
          <w:rFonts w:ascii="Arial" w:hAnsi="Arial" w:cs="Arial"/>
          <w:sz w:val="20"/>
          <w:szCs w:val="20"/>
        </w:rPr>
        <w:t>differences</w:t>
      </w:r>
      <w:proofErr w:type="gramEnd"/>
      <w:r w:rsidRPr="00927E5B">
        <w:rPr>
          <w:rFonts w:ascii="Arial" w:hAnsi="Arial" w:cs="Arial"/>
          <w:sz w:val="20"/>
          <w:szCs w:val="20"/>
        </w:rPr>
        <w:t xml:space="preserve"> in molecular effects. </w:t>
      </w:r>
      <w:proofErr w:type="spellStart"/>
      <w:r w:rsidRPr="00927E5B">
        <w:rPr>
          <w:rFonts w:ascii="Arial" w:hAnsi="Arial" w:cs="Arial"/>
          <w:sz w:val="20"/>
          <w:szCs w:val="20"/>
        </w:rPr>
        <w:t>Proc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7E5B">
        <w:rPr>
          <w:rFonts w:ascii="Arial" w:hAnsi="Arial" w:cs="Arial"/>
          <w:sz w:val="20"/>
          <w:szCs w:val="20"/>
        </w:rPr>
        <w:t>Natl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7E5B">
        <w:rPr>
          <w:rFonts w:ascii="Arial" w:hAnsi="Arial" w:cs="Arial"/>
          <w:sz w:val="20"/>
          <w:szCs w:val="20"/>
        </w:rPr>
        <w:t>Acad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7E5B">
        <w:rPr>
          <w:rFonts w:ascii="Arial" w:hAnsi="Arial" w:cs="Arial"/>
          <w:sz w:val="20"/>
          <w:szCs w:val="20"/>
        </w:rPr>
        <w:t>Sci</w:t>
      </w:r>
      <w:proofErr w:type="spellEnd"/>
      <w:r w:rsidRPr="00927E5B">
        <w:rPr>
          <w:rFonts w:ascii="Arial" w:hAnsi="Arial" w:cs="Arial"/>
          <w:sz w:val="20"/>
          <w:szCs w:val="20"/>
        </w:rPr>
        <w:t xml:space="preserve"> USA 101:</w:t>
      </w:r>
      <w:r w:rsidR="002B4B78">
        <w:rPr>
          <w:rFonts w:ascii="Arial" w:hAnsi="Arial" w:cs="Arial"/>
          <w:sz w:val="20"/>
          <w:szCs w:val="20"/>
        </w:rPr>
        <w:t xml:space="preserve"> </w:t>
      </w:r>
      <w:r w:rsidRPr="00927E5B">
        <w:rPr>
          <w:rFonts w:ascii="Arial" w:hAnsi="Arial" w:cs="Arial"/>
          <w:sz w:val="20"/>
          <w:szCs w:val="20"/>
        </w:rPr>
        <w:t>15</w:t>
      </w:r>
      <w:bookmarkStart w:id="1" w:name="_GoBack"/>
      <w:bookmarkEnd w:id="1"/>
      <w:r w:rsidRPr="00927E5B">
        <w:rPr>
          <w:rFonts w:ascii="Arial" w:hAnsi="Arial" w:cs="Arial"/>
          <w:sz w:val="20"/>
          <w:szCs w:val="20"/>
        </w:rPr>
        <w:t>398 – 15403</w:t>
      </w: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 w:rsidP="00927E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27E5B" w:rsidRPr="00927E5B" w:rsidRDefault="00927E5B">
      <w:pPr>
        <w:rPr>
          <w:rFonts w:ascii="Arial" w:eastAsia="Times New Roman" w:hAnsi="Arial" w:cs="Arial"/>
          <w:sz w:val="20"/>
          <w:szCs w:val="20"/>
        </w:rPr>
      </w:pPr>
    </w:p>
    <w:sectPr w:rsidR="00927E5B" w:rsidRPr="00927E5B">
      <w:pgSz w:w="16838" w:h="11906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E610C"/>
    <w:rsid w:val="0000639C"/>
    <w:rsid w:val="002B4B78"/>
    <w:rsid w:val="00927E5B"/>
    <w:rsid w:val="00BE610C"/>
    <w:rsid w:val="00CA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ainTitle">
    <w:name w:val="Main Title"/>
    <w:basedOn w:val="Normal"/>
    <w:link w:val="MainTitleChar"/>
    <w:autoRedefine/>
    <w:qFormat/>
    <w:rsid w:val="008233E6"/>
    <w:pPr>
      <w:jc w:val="center"/>
    </w:pPr>
    <w:rPr>
      <w:rFonts w:asciiTheme="majorHAnsi" w:eastAsiaTheme="majorEastAsia" w:hAnsiTheme="majorHAnsi" w:cstheme="majorBidi"/>
      <w:b/>
      <w:iCs/>
      <w:color w:val="272727" w:themeColor="text1" w:themeTint="D8"/>
      <w:sz w:val="28"/>
      <w:szCs w:val="28"/>
    </w:rPr>
  </w:style>
  <w:style w:type="character" w:customStyle="1" w:styleId="MainTitleChar">
    <w:name w:val="Main Title Char"/>
    <w:basedOn w:val="DefaultParagraphFont"/>
    <w:link w:val="MainTitle"/>
    <w:rsid w:val="008233E6"/>
    <w:rPr>
      <w:rFonts w:asciiTheme="majorHAnsi" w:eastAsiaTheme="majorEastAsia" w:hAnsiTheme="majorHAnsi" w:cstheme="majorBidi"/>
      <w:b/>
      <w:iCs/>
      <w:color w:val="272727" w:themeColor="text1" w:themeTint="D8"/>
      <w:sz w:val="28"/>
      <w:szCs w:val="28"/>
    </w:rPr>
  </w:style>
  <w:style w:type="table" w:styleId="TableGrid">
    <w:name w:val="Table Grid"/>
    <w:basedOn w:val="TableNormal"/>
    <w:uiPriority w:val="39"/>
    <w:rsid w:val="00A6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B4B7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ainTitle">
    <w:name w:val="Main Title"/>
    <w:basedOn w:val="Normal"/>
    <w:link w:val="MainTitleChar"/>
    <w:autoRedefine/>
    <w:qFormat/>
    <w:rsid w:val="008233E6"/>
    <w:pPr>
      <w:jc w:val="center"/>
    </w:pPr>
    <w:rPr>
      <w:rFonts w:asciiTheme="majorHAnsi" w:eastAsiaTheme="majorEastAsia" w:hAnsiTheme="majorHAnsi" w:cstheme="majorBidi"/>
      <w:b/>
      <w:iCs/>
      <w:color w:val="272727" w:themeColor="text1" w:themeTint="D8"/>
      <w:sz w:val="28"/>
      <w:szCs w:val="28"/>
    </w:rPr>
  </w:style>
  <w:style w:type="character" w:customStyle="1" w:styleId="MainTitleChar">
    <w:name w:val="Main Title Char"/>
    <w:basedOn w:val="DefaultParagraphFont"/>
    <w:link w:val="MainTitle"/>
    <w:rsid w:val="008233E6"/>
    <w:rPr>
      <w:rFonts w:asciiTheme="majorHAnsi" w:eastAsiaTheme="majorEastAsia" w:hAnsiTheme="majorHAnsi" w:cstheme="majorBidi"/>
      <w:b/>
      <w:iCs/>
      <w:color w:val="272727" w:themeColor="text1" w:themeTint="D8"/>
      <w:sz w:val="28"/>
      <w:szCs w:val="28"/>
    </w:rPr>
  </w:style>
  <w:style w:type="table" w:styleId="TableGrid">
    <w:name w:val="Table Grid"/>
    <w:basedOn w:val="TableNormal"/>
    <w:uiPriority w:val="39"/>
    <w:rsid w:val="00A6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B4B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qkDH6IL5QERdqWiFs1psDtt5Dg==">AMUW2mWYuHXV3LAyiGef5GVHDeB04qiko9wwlKV3IH1THSpDShHwfEhjQOAZDCWJ6PnVVze4OovmANB6+iELmT4aSF/c2jhgX930nXUztr4ioXZO6XndTD5dBw6HliQLMNJ3t9LJWPRA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1759</Words>
  <Characters>10031</Characters>
  <Application>Microsoft Office Word</Application>
  <DocSecurity>0</DocSecurity>
  <Lines>83</Lines>
  <Paragraphs>23</Paragraphs>
  <ScaleCrop>false</ScaleCrop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LIVESEY Ben</dc:creator>
  <cp:lastModifiedBy>Sudharsanan R.</cp:lastModifiedBy>
  <cp:revision>5</cp:revision>
  <dcterms:created xsi:type="dcterms:W3CDTF">2020-03-19T16:14:00Z</dcterms:created>
  <dcterms:modified xsi:type="dcterms:W3CDTF">2020-06-15T13:43:00Z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zotero-version="5.0.82"&gt;&lt;session id="drsKkOd0"/&gt;&lt;style id="http://www.zotero.org/styles/molecular-systems-biology" hasBibliography="1" bibliographyStyleHasBeenSet="0"/&gt;&lt;prefs&gt;&lt;pref name="fieldType" value="Field"/&gt;&lt;/prefs&gt;&lt;/data&gt;</vt:lpwstr>
  </property>
</Properties>
</file>