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1721"/>
        <w:gridCol w:w="1754"/>
        <w:gridCol w:w="2062"/>
        <w:gridCol w:w="1740"/>
        <w:gridCol w:w="1739"/>
      </w:tblGrid>
      <w:tr w:rsidR="00DE40D1" w:rsidRPr="00DE40D1" w14:paraId="6401199E" w14:textId="77777777" w:rsidTr="007C38FB">
        <w:tc>
          <w:tcPr>
            <w:tcW w:w="1721" w:type="dxa"/>
          </w:tcPr>
          <w:p w14:paraId="2A34DB1D" w14:textId="77777777" w:rsidR="00DE40D1" w:rsidRPr="00DE40D1" w:rsidRDefault="00DE40D1" w:rsidP="00DE40D1">
            <w:pPr>
              <w:rPr>
                <w:b/>
              </w:rPr>
            </w:pPr>
            <w:r w:rsidRPr="00DE40D1">
              <w:rPr>
                <w:b/>
              </w:rPr>
              <w:t>Protein (Uniprot)</w:t>
            </w:r>
          </w:p>
        </w:tc>
        <w:tc>
          <w:tcPr>
            <w:tcW w:w="1754" w:type="dxa"/>
          </w:tcPr>
          <w:p w14:paraId="48C6A19B" w14:textId="77777777" w:rsidR="00DE40D1" w:rsidRPr="00DE40D1" w:rsidRDefault="00DE40D1" w:rsidP="00DE40D1">
            <w:pPr>
              <w:rPr>
                <w:b/>
              </w:rPr>
            </w:pPr>
            <w:r w:rsidRPr="00DE40D1">
              <w:rPr>
                <w:b/>
              </w:rPr>
              <w:t>Functional assay</w:t>
            </w:r>
          </w:p>
        </w:tc>
        <w:tc>
          <w:tcPr>
            <w:tcW w:w="2062" w:type="dxa"/>
          </w:tcPr>
          <w:p w14:paraId="07328863" w14:textId="77777777" w:rsidR="00DE40D1" w:rsidRPr="00DE40D1" w:rsidRDefault="00DE40D1" w:rsidP="00DE40D1">
            <w:pPr>
              <w:rPr>
                <w:b/>
              </w:rPr>
            </w:pPr>
            <w:r w:rsidRPr="00DE40D1">
              <w:rPr>
                <w:b/>
              </w:rPr>
              <w:t>Selected score (internal name)</w:t>
            </w:r>
          </w:p>
        </w:tc>
        <w:tc>
          <w:tcPr>
            <w:tcW w:w="1740" w:type="dxa"/>
          </w:tcPr>
          <w:p w14:paraId="38A6DF9C" w14:textId="77777777" w:rsidR="00DE40D1" w:rsidRPr="00DE40D1" w:rsidRDefault="00DE40D1" w:rsidP="00DE40D1">
            <w:pPr>
              <w:rPr>
                <w:b/>
              </w:rPr>
            </w:pPr>
            <w:r w:rsidRPr="00DE40D1">
              <w:rPr>
                <w:b/>
              </w:rPr>
              <w:t>Percentage coverage of all amino acid variants (%)</w:t>
            </w:r>
          </w:p>
        </w:tc>
        <w:tc>
          <w:tcPr>
            <w:tcW w:w="1739" w:type="dxa"/>
          </w:tcPr>
          <w:p w14:paraId="74DD2C80" w14:textId="77777777" w:rsidR="00DE40D1" w:rsidRPr="00DE40D1" w:rsidRDefault="00DE40D1" w:rsidP="00DE40D1">
            <w:pPr>
              <w:rPr>
                <w:b/>
              </w:rPr>
            </w:pPr>
            <w:r w:rsidRPr="00DE40D1">
              <w:rPr>
                <w:b/>
              </w:rPr>
              <w:t xml:space="preserve">Reference </w:t>
            </w:r>
          </w:p>
        </w:tc>
      </w:tr>
      <w:tr w:rsidR="00DE40D1" w:rsidRPr="00DE40D1" w14:paraId="2C119384" w14:textId="77777777" w:rsidTr="007C38FB">
        <w:tc>
          <w:tcPr>
            <w:tcW w:w="1721" w:type="dxa"/>
          </w:tcPr>
          <w:p w14:paraId="1940AAA0" w14:textId="77777777" w:rsidR="00DE40D1" w:rsidRPr="00DE40D1" w:rsidRDefault="00DE40D1" w:rsidP="00DE40D1">
            <w:r w:rsidRPr="00DE40D1">
              <w:rPr>
                <w:b/>
                <w:i/>
              </w:rPr>
              <w:t>CALM1</w:t>
            </w:r>
            <w:r w:rsidRPr="00DE40D1">
              <w:rPr>
                <w:b/>
              </w:rPr>
              <w:t xml:space="preserve"> </w:t>
            </w:r>
            <w:r w:rsidRPr="00DE40D1">
              <w:t>(P0DP23)</w:t>
            </w:r>
          </w:p>
        </w:tc>
        <w:tc>
          <w:tcPr>
            <w:tcW w:w="1754" w:type="dxa"/>
            <w:vMerge w:val="restart"/>
          </w:tcPr>
          <w:p w14:paraId="60DE8900" w14:textId="77777777" w:rsidR="00DE40D1" w:rsidRPr="00DE40D1" w:rsidRDefault="00DE40D1" w:rsidP="00DE40D1">
            <w:r w:rsidRPr="00DE40D1">
              <w:t>Competitive growth assay in yeast</w:t>
            </w:r>
          </w:p>
        </w:tc>
        <w:tc>
          <w:tcPr>
            <w:tcW w:w="2062" w:type="dxa"/>
          </w:tcPr>
          <w:p w14:paraId="543AACC6" w14:textId="77777777" w:rsidR="00DE40D1" w:rsidRPr="00DE40D1" w:rsidRDefault="00DE40D1" w:rsidP="00DE40D1">
            <w:r w:rsidRPr="00DE40D1">
              <w:t>DMS_flipped</w:t>
            </w:r>
          </w:p>
        </w:tc>
        <w:tc>
          <w:tcPr>
            <w:tcW w:w="1740" w:type="dxa"/>
          </w:tcPr>
          <w:p w14:paraId="6A0317B8" w14:textId="77777777" w:rsidR="00DE40D1" w:rsidRPr="00DE40D1" w:rsidRDefault="00DE40D1" w:rsidP="00DE40D1">
            <w:r w:rsidRPr="00DE40D1">
              <w:t>64.04</w:t>
            </w:r>
          </w:p>
        </w:tc>
        <w:tc>
          <w:tcPr>
            <w:tcW w:w="1739" w:type="dxa"/>
            <w:vMerge w:val="restart"/>
          </w:tcPr>
          <w:p w14:paraId="13B1EE59" w14:textId="77777777" w:rsidR="00DE40D1" w:rsidRPr="00DE40D1" w:rsidRDefault="00DE40D1" w:rsidP="00DE40D1">
            <w:r w:rsidRPr="00DE40D1">
              <w:fldChar w:fldCharType="begin"/>
            </w:r>
            <w:r w:rsidRPr="00DE40D1">
              <w:instrText xml:space="preserve"> ADDIN ZOTERO_ITEM CSL_CITATION {"citationID":"tzP6Ra5D","properties":{"formattedCitation":"(Weile {\\i{}et al}, 2017)","plainCitation":"(Weile et al, 2017)","noteIndex":0},"citationItems":[{"id":122,"uris":["http://zotero.org/users/local/fXdzxoIk/items/FNINYDG9"],"itemData":{"id":122,"type":"article-journal","abstract":"Although we now routinely sequence human genomes, we can confidently identify only a fraction of the sequence variants that have a functional impact. Here, we developed a deep mutational scanning framework that produces exhaustive maps for human missense variants by combining random codon mutagenesis and multiplexed functional variation assays with computational imputation and refinement. We applied this framework to four proteins corresponding to six human genes: UBE2I (encoding SUMO E2 conjugase), SUMO1 (small ubiquitin‐like modifier), TPK1 (thiamin pyrophosphokinase), and CALM1/2/3 (three genes encoding the protein calmodulin). The resulting maps recapitulate known protein features and confidently identify pathogenic variation. Assays potentially amenable to deep mutational scanning are already available for 57% of human disease genes, suggesting that DMS could ultimately map functional variation for all human disease genes.","container-title":"Molecular Systems Biology","DOI":"10.15252/msb.20177908","ISSN":"1744-4292","issue":"12","journalAbbreviation":"Mol Syst Biol","note":"PMID: 29269382\nPMCID: PMC5740498","page":"957","source":"PubMed Central","title":"A framework for exhaustively mapping functional missense variants","volume":"13","author":[{"family":"Weile","given":"Jochen"},{"family":"Sun","given":"Song"},{"family":"Cote","given":"Atina G"},{"family":"Knapp","given":"Jennifer"},{"family":"Verby","given":"Marta"},{"family":"Mellor","given":"Joseph C"},{"family":"Wu","given":"Yingzhou"},{"family":"Pons","given":"Carles"},{"family":"Wong","given":"Cassandra"},{"family":"Lieshout","given":"Natascha","non-dropping-particle":"van"},{"family":"Yang","given":"Fan"},{"family":"Tasan","given":"Murat"},{"family":"Tan","given":"Guihong"},{"family":"Yang","given":"Shan"},{"family":"Fowler","given":"Douglas M"},{"family":"Nussbaum","given":"Robert"},{"family":"Bloom","given":"Jesse D"},{"family":"Vidal","given":"Marc"},{"family":"Hill","given":"David E"},{"family":"Aloy","given":"Patrick"},{"family":"Roth","given":"Frederick P"}],"issued":{"date-parts":[["2017",12,21]]}}}],"schema":"https://github.com/citation-style-language/schema/raw/master/csl-citation.json"} </w:instrText>
            </w:r>
            <w:r w:rsidRPr="00DE40D1">
              <w:fldChar w:fldCharType="separate"/>
            </w:r>
            <w:r w:rsidRPr="00DE40D1">
              <w:rPr>
                <w:rFonts w:ascii="Calibri" w:hAnsi="Calibri" w:cs="Calibri"/>
                <w:szCs w:val="24"/>
              </w:rPr>
              <w:t xml:space="preserve">(Weile </w:t>
            </w:r>
            <w:r w:rsidRPr="00DE40D1">
              <w:rPr>
                <w:rFonts w:ascii="Calibri" w:hAnsi="Calibri" w:cs="Calibri"/>
                <w:i/>
                <w:iCs/>
                <w:szCs w:val="24"/>
              </w:rPr>
              <w:t>et al</w:t>
            </w:r>
            <w:r w:rsidRPr="00DE40D1">
              <w:rPr>
                <w:rFonts w:ascii="Calibri" w:hAnsi="Calibri" w:cs="Calibri"/>
                <w:szCs w:val="24"/>
              </w:rPr>
              <w:t>, 2017)</w:t>
            </w:r>
            <w:r w:rsidRPr="00DE40D1">
              <w:fldChar w:fldCharType="end"/>
            </w:r>
          </w:p>
        </w:tc>
      </w:tr>
      <w:tr w:rsidR="00DE40D1" w:rsidRPr="00DE40D1" w14:paraId="7E3D1C14" w14:textId="77777777" w:rsidTr="007C38FB">
        <w:tc>
          <w:tcPr>
            <w:tcW w:w="1721" w:type="dxa"/>
          </w:tcPr>
          <w:p w14:paraId="3954F7DC" w14:textId="77777777" w:rsidR="00DE40D1" w:rsidRPr="00DE40D1" w:rsidRDefault="00DE40D1" w:rsidP="00DE40D1">
            <w:r w:rsidRPr="00DE40D1">
              <w:rPr>
                <w:b/>
                <w:i/>
              </w:rPr>
              <w:t>TPK1</w:t>
            </w:r>
            <w:r w:rsidRPr="00DE40D1">
              <w:t xml:space="preserve"> (Q9H3S4)</w:t>
            </w:r>
          </w:p>
        </w:tc>
        <w:tc>
          <w:tcPr>
            <w:tcW w:w="1754" w:type="dxa"/>
            <w:vMerge/>
          </w:tcPr>
          <w:p w14:paraId="0BB582A6" w14:textId="77777777" w:rsidR="00DE40D1" w:rsidRPr="00DE40D1" w:rsidRDefault="00DE40D1" w:rsidP="00DE40D1"/>
        </w:tc>
        <w:tc>
          <w:tcPr>
            <w:tcW w:w="2062" w:type="dxa"/>
          </w:tcPr>
          <w:p w14:paraId="4D61D7F8" w14:textId="77777777" w:rsidR="00DE40D1" w:rsidRPr="00DE40D1" w:rsidRDefault="00DE40D1" w:rsidP="00DE40D1">
            <w:r w:rsidRPr="00DE40D1">
              <w:t>DMS_flipped</w:t>
            </w:r>
          </w:p>
        </w:tc>
        <w:tc>
          <w:tcPr>
            <w:tcW w:w="1740" w:type="dxa"/>
          </w:tcPr>
          <w:p w14:paraId="3DA731BE" w14:textId="77777777" w:rsidR="00DE40D1" w:rsidRPr="00DE40D1" w:rsidRDefault="00DE40D1" w:rsidP="00DE40D1">
            <w:r w:rsidRPr="00DE40D1">
              <w:t>68.90</w:t>
            </w:r>
          </w:p>
        </w:tc>
        <w:tc>
          <w:tcPr>
            <w:tcW w:w="1739" w:type="dxa"/>
            <w:vMerge/>
          </w:tcPr>
          <w:p w14:paraId="522C0809" w14:textId="77777777" w:rsidR="00DE40D1" w:rsidRPr="00DE40D1" w:rsidRDefault="00DE40D1" w:rsidP="00DE40D1"/>
        </w:tc>
      </w:tr>
      <w:tr w:rsidR="00DE40D1" w:rsidRPr="00DE40D1" w14:paraId="2E98DB24" w14:textId="77777777" w:rsidTr="007C38FB">
        <w:tc>
          <w:tcPr>
            <w:tcW w:w="1721" w:type="dxa"/>
          </w:tcPr>
          <w:p w14:paraId="096B312B" w14:textId="77777777" w:rsidR="00DE40D1" w:rsidRPr="00DE40D1" w:rsidRDefault="00DE40D1" w:rsidP="00DE40D1">
            <w:r w:rsidRPr="00DE40D1">
              <w:rPr>
                <w:b/>
                <w:i/>
              </w:rPr>
              <w:t>SUMO1</w:t>
            </w:r>
            <w:r w:rsidRPr="00DE40D1">
              <w:t xml:space="preserve"> (P63165)</w:t>
            </w:r>
          </w:p>
        </w:tc>
        <w:tc>
          <w:tcPr>
            <w:tcW w:w="1754" w:type="dxa"/>
            <w:vMerge/>
          </w:tcPr>
          <w:p w14:paraId="7049E282" w14:textId="77777777" w:rsidR="00DE40D1" w:rsidRPr="00DE40D1" w:rsidRDefault="00DE40D1" w:rsidP="00DE40D1"/>
        </w:tc>
        <w:tc>
          <w:tcPr>
            <w:tcW w:w="2062" w:type="dxa"/>
          </w:tcPr>
          <w:p w14:paraId="5D8395A7" w14:textId="77777777" w:rsidR="00DE40D1" w:rsidRPr="00DE40D1" w:rsidRDefault="00DE40D1" w:rsidP="00DE40D1">
            <w:r w:rsidRPr="00DE40D1">
              <w:t>DMS_flipped</w:t>
            </w:r>
          </w:p>
        </w:tc>
        <w:tc>
          <w:tcPr>
            <w:tcW w:w="1740" w:type="dxa"/>
          </w:tcPr>
          <w:p w14:paraId="1C110E66" w14:textId="77777777" w:rsidR="00DE40D1" w:rsidRPr="00DE40D1" w:rsidRDefault="00DE40D1" w:rsidP="00DE40D1">
            <w:r w:rsidRPr="00DE40D1">
              <w:t>88.59</w:t>
            </w:r>
          </w:p>
        </w:tc>
        <w:tc>
          <w:tcPr>
            <w:tcW w:w="1739" w:type="dxa"/>
            <w:vMerge/>
          </w:tcPr>
          <w:p w14:paraId="556213A7" w14:textId="77777777" w:rsidR="00DE40D1" w:rsidRPr="00DE40D1" w:rsidRDefault="00DE40D1" w:rsidP="00DE40D1"/>
        </w:tc>
      </w:tr>
      <w:tr w:rsidR="00DE40D1" w:rsidRPr="00DE40D1" w14:paraId="6D2BB731" w14:textId="77777777" w:rsidTr="007C38FB">
        <w:tc>
          <w:tcPr>
            <w:tcW w:w="1721" w:type="dxa"/>
          </w:tcPr>
          <w:p w14:paraId="391BB604" w14:textId="77777777" w:rsidR="00DE40D1" w:rsidRPr="00DE40D1" w:rsidRDefault="00DE40D1" w:rsidP="00DE40D1">
            <w:r w:rsidRPr="00DE40D1">
              <w:rPr>
                <w:b/>
                <w:i/>
              </w:rPr>
              <w:t>UBE2I</w:t>
            </w:r>
            <w:r w:rsidRPr="00DE40D1">
              <w:t xml:space="preserve"> (P63279)</w:t>
            </w:r>
          </w:p>
        </w:tc>
        <w:tc>
          <w:tcPr>
            <w:tcW w:w="1754" w:type="dxa"/>
            <w:vMerge/>
          </w:tcPr>
          <w:p w14:paraId="77228B4B" w14:textId="77777777" w:rsidR="00DE40D1" w:rsidRPr="00DE40D1" w:rsidRDefault="00DE40D1" w:rsidP="00DE40D1"/>
        </w:tc>
        <w:tc>
          <w:tcPr>
            <w:tcW w:w="2062" w:type="dxa"/>
          </w:tcPr>
          <w:p w14:paraId="0346C645" w14:textId="77777777" w:rsidR="00DE40D1" w:rsidRPr="00DE40D1" w:rsidRDefault="00DE40D1" w:rsidP="00DE40D1">
            <w:r w:rsidRPr="00DE40D1">
              <w:t>DMS_flipped</w:t>
            </w:r>
          </w:p>
        </w:tc>
        <w:tc>
          <w:tcPr>
            <w:tcW w:w="1740" w:type="dxa"/>
          </w:tcPr>
          <w:p w14:paraId="4D30E8A8" w14:textId="77777777" w:rsidR="00DE40D1" w:rsidRPr="00DE40D1" w:rsidRDefault="00DE40D1" w:rsidP="00DE40D1">
            <w:r w:rsidRPr="00DE40D1">
              <w:t>85.38</w:t>
            </w:r>
          </w:p>
        </w:tc>
        <w:tc>
          <w:tcPr>
            <w:tcW w:w="1739" w:type="dxa"/>
            <w:vMerge/>
          </w:tcPr>
          <w:p w14:paraId="685A5996" w14:textId="77777777" w:rsidR="00DE40D1" w:rsidRPr="00DE40D1" w:rsidRDefault="00DE40D1" w:rsidP="00DE40D1"/>
        </w:tc>
      </w:tr>
      <w:tr w:rsidR="00DE40D1" w:rsidRPr="00DE40D1" w14:paraId="59012945" w14:textId="77777777" w:rsidTr="007C38FB">
        <w:tc>
          <w:tcPr>
            <w:tcW w:w="1721" w:type="dxa"/>
          </w:tcPr>
          <w:p w14:paraId="411FBBA0" w14:textId="77777777" w:rsidR="00DE40D1" w:rsidRPr="00DE40D1" w:rsidRDefault="00DE40D1" w:rsidP="00DE40D1">
            <w:r w:rsidRPr="00DE40D1">
              <w:rPr>
                <w:b/>
                <w:i/>
              </w:rPr>
              <w:t>CBS</w:t>
            </w:r>
            <w:r w:rsidRPr="00DE40D1">
              <w:t xml:space="preserve"> (P35520)</w:t>
            </w:r>
          </w:p>
        </w:tc>
        <w:tc>
          <w:tcPr>
            <w:tcW w:w="1754" w:type="dxa"/>
          </w:tcPr>
          <w:p w14:paraId="796DC775" w14:textId="77777777" w:rsidR="00DE40D1" w:rsidRPr="00DE40D1" w:rsidRDefault="00DE40D1" w:rsidP="00DE40D1">
            <w:r w:rsidRPr="00DE40D1">
              <w:t>Competitive growth assay in yeast</w:t>
            </w:r>
          </w:p>
        </w:tc>
        <w:tc>
          <w:tcPr>
            <w:tcW w:w="2062" w:type="dxa"/>
          </w:tcPr>
          <w:p w14:paraId="0389C7A6" w14:textId="77777777" w:rsidR="00DE40D1" w:rsidRPr="00DE40D1" w:rsidRDefault="00DE40D1" w:rsidP="00DE40D1">
            <w:r w:rsidRPr="00DE40D1">
              <w:t>DMS_refined_lowB6</w:t>
            </w:r>
          </w:p>
        </w:tc>
        <w:tc>
          <w:tcPr>
            <w:tcW w:w="1740" w:type="dxa"/>
          </w:tcPr>
          <w:p w14:paraId="57BCCD65" w14:textId="77777777" w:rsidR="00DE40D1" w:rsidRPr="00DE40D1" w:rsidRDefault="00DE40D1" w:rsidP="00DE40D1">
            <w:r w:rsidRPr="00DE40D1">
              <w:t>64.41</w:t>
            </w:r>
          </w:p>
        </w:tc>
        <w:tc>
          <w:tcPr>
            <w:tcW w:w="1739" w:type="dxa"/>
          </w:tcPr>
          <w:p w14:paraId="01208E56" w14:textId="77777777" w:rsidR="00DE40D1" w:rsidRPr="00DE40D1" w:rsidRDefault="00DE40D1" w:rsidP="00DE40D1">
            <w:r w:rsidRPr="00DE40D1">
              <w:fldChar w:fldCharType="begin"/>
            </w:r>
            <w:r w:rsidRPr="00DE40D1">
              <w:instrText xml:space="preserve"> ADDIN ZOTERO_ITEM CSL_CITATION {"citationID":"gQuuWLdI","properties":{"formattedCitation":"(Sun {\\i{}et al}, 2020)","plainCitation":"(Sun et al, 2020)","noteIndex":0},"citationItems":[{"id":1126,"uris":["http://zotero.org/users/local/fXdzxoIk/items/AVJQUF9K"],"itemData":{"id":1126,"type":"article-journal","abstract":"For the majority of rare clinical missense variants, pathogenicity status cannot currently be classified. Classical homocystinuria, characterized by elevated homocysteine in plasma and urine, is caused by variants in the cystathionine beta-synthase (CBS) gene, most of which are rare. With early detection, existing therapies are highly effective.","container-title":"Genome Medicine","DOI":"10.1186/s13073-020-0711-1","ISSN":"1756-994X","issue":"1","journalAbbreviation":"Genome Med.","page":"13","source":"BioMed Central","title":"A proactive genotype-to-patient-phenotype map for cystathionine beta-synthase","volume":"12","author":[{"family":"Sun","given":"Song"},{"family":"Weile","given":"Jochen"},{"family":"Verby","given":"Marta"},{"family":"Wu","given":"Yingzhou"},{"family":"Wang","given":"Yang"},{"family":"Cote","given":"Atina G."},{"family":"Fotiadou","given":"Iosifina"},{"family":"Kitaygorodsky","given":"Julia"},{"family":"Vidal","given":"Marc"},{"family":"Rine","given":"Jasper"},{"family":"Ješina","given":"Pavel"},{"family":"Kožich","given":"Viktor"},{"family":"Roth","given":"Frederick P."}],"issued":{"date-parts":[["2020",1,30]]}}}],"schema":"https://github.com/citation-style-language/schema/raw/master/csl-citation.json"} </w:instrText>
            </w:r>
            <w:r w:rsidRPr="00DE40D1">
              <w:fldChar w:fldCharType="separate"/>
            </w:r>
            <w:r w:rsidRPr="00DE40D1">
              <w:rPr>
                <w:rFonts w:ascii="Calibri" w:hAnsi="Calibri" w:cs="Calibri"/>
                <w:szCs w:val="24"/>
              </w:rPr>
              <w:t xml:space="preserve">(Sun </w:t>
            </w:r>
            <w:r w:rsidRPr="00DE40D1">
              <w:rPr>
                <w:rFonts w:ascii="Calibri" w:hAnsi="Calibri" w:cs="Calibri"/>
                <w:i/>
                <w:iCs/>
                <w:szCs w:val="24"/>
              </w:rPr>
              <w:t>et al</w:t>
            </w:r>
            <w:r w:rsidRPr="00DE40D1">
              <w:rPr>
                <w:rFonts w:ascii="Calibri" w:hAnsi="Calibri" w:cs="Calibri"/>
                <w:szCs w:val="24"/>
              </w:rPr>
              <w:t>, 2020)</w:t>
            </w:r>
            <w:r w:rsidRPr="00DE40D1">
              <w:fldChar w:fldCharType="end"/>
            </w:r>
          </w:p>
        </w:tc>
      </w:tr>
      <w:tr w:rsidR="00DE40D1" w:rsidRPr="00DE40D1" w14:paraId="05441692" w14:textId="77777777" w:rsidTr="007C38FB">
        <w:tc>
          <w:tcPr>
            <w:tcW w:w="1721" w:type="dxa"/>
          </w:tcPr>
          <w:p w14:paraId="1C992678" w14:textId="77777777" w:rsidR="00DE40D1" w:rsidRPr="00DE40D1" w:rsidRDefault="00DE40D1" w:rsidP="00DE40D1">
            <w:r w:rsidRPr="00DE40D1">
              <w:rPr>
                <w:b/>
                <w:i/>
              </w:rPr>
              <w:t>GDI1</w:t>
            </w:r>
            <w:r w:rsidRPr="00DE40D1">
              <w:t xml:space="preserve"> (P31150)</w:t>
            </w:r>
          </w:p>
        </w:tc>
        <w:tc>
          <w:tcPr>
            <w:tcW w:w="1754" w:type="dxa"/>
          </w:tcPr>
          <w:p w14:paraId="3A6585D6" w14:textId="77777777" w:rsidR="00DE40D1" w:rsidRPr="00DE40D1" w:rsidRDefault="00DE40D1" w:rsidP="00DE40D1">
            <w:r w:rsidRPr="00DE40D1">
              <w:t>Competitive growth assay in yeast</w:t>
            </w:r>
          </w:p>
        </w:tc>
        <w:tc>
          <w:tcPr>
            <w:tcW w:w="2062" w:type="dxa"/>
          </w:tcPr>
          <w:p w14:paraId="63CC3E14" w14:textId="77777777" w:rsidR="00DE40D1" w:rsidRPr="00DE40D1" w:rsidRDefault="00DE40D1" w:rsidP="00DE40D1">
            <w:r w:rsidRPr="00DE40D1">
              <w:t>DMS</w:t>
            </w:r>
          </w:p>
        </w:tc>
        <w:tc>
          <w:tcPr>
            <w:tcW w:w="1740" w:type="dxa"/>
          </w:tcPr>
          <w:p w14:paraId="2D766F37" w14:textId="77777777" w:rsidR="00DE40D1" w:rsidRPr="00DE40D1" w:rsidRDefault="00DE40D1" w:rsidP="00DE40D1">
            <w:r w:rsidRPr="00DE40D1">
              <w:t>51.40</w:t>
            </w:r>
          </w:p>
        </w:tc>
        <w:tc>
          <w:tcPr>
            <w:tcW w:w="1739" w:type="dxa"/>
          </w:tcPr>
          <w:p w14:paraId="339564AD" w14:textId="77777777" w:rsidR="00DE40D1" w:rsidRPr="00DE40D1" w:rsidRDefault="00DE40D1" w:rsidP="00DE40D1">
            <w:r w:rsidRPr="00DE40D1">
              <w:fldChar w:fldCharType="begin"/>
            </w:r>
            <w:r w:rsidRPr="00DE40D1">
              <w:instrText xml:space="preserve"> ADDIN ZOTERO_ITEM CSL_CITATION {"citationID":"8M9xUNgd","properties":{"formattedCitation":"(Silverstein {\\i{}et al}, 2021)","plainCitation":"(Silverstein et al, 2021)","noteIndex":0},"citationItems":[{"id":1132,"uris":["http://zotero.org/users/local/fXdzxoIk/items/W5P83ZCC"],"itemData":{"id":1132,"type":"article-journal","abstract":"Next generation sequencing has become a common tool in the diagnosis of genetic diseases. However, for the vast majority of genetic variants that are discovered, a clinical interpretation is not available. Variant effect mapping allows the functional effects of large numbers of single amino acid variants to be characterized in parallel. Here, we employ a variant effect mapping framework, combining functional assays with machine learning, to assess the effects of 89% of all possible amino acid substitutions in the human intellectual disability-associated gene, GDI1. We show that the resulting variant effect map can be used to discriminate pathogenic from benign variants at levels of precision higher than those achieved by current computational prediction tools. Our variant effect map recovers known biochemical and structural features of GDI1 and reveals new structural regions which may be important for GDI1 function. We explore how this variant effect map can be used to aid in the interpretation of novel GDI1 variants as they are discovered, and to re-classify previously observed variants of unknown significance.","container-title":"bioRxiv","DOI":"10.1101/2021.10.06.463360","language":"en","license":"© 2021, Posted by Cold Spring Harbor Laboratory. This pre-print is available under a Creative Commons License (Attribution 4.0 International), CC BY 4.0, as described at http://creativecommons.org/licenses/by/4.0/","note":"section: New Results\ntype: article","page":"2021.10.06.463360","source":"bioRxiv","title":"A systematic genotype-phenotype map for missense variants in the human intellectual disability-associated gene GDI1","author":[{"family":"Silverstein","given":"Rachel A."},{"family":"Sun","given":"Song"},{"family":"Verby","given":"Marta"},{"family":"Weile","given":"Jochen"},{"family":"Wu","given":"Yingzhou"},{"family":"Roth","given":"Frederick P."}],"issued":{"date-parts":[["2021",10,6]]}}}],"schema":"https://github.com/citation-style-language/schema/raw/master/csl-citation.json"} </w:instrText>
            </w:r>
            <w:r w:rsidRPr="00DE40D1">
              <w:fldChar w:fldCharType="separate"/>
            </w:r>
            <w:r w:rsidRPr="00DE40D1">
              <w:rPr>
                <w:rFonts w:ascii="Calibri" w:hAnsi="Calibri" w:cs="Calibri"/>
                <w:szCs w:val="24"/>
              </w:rPr>
              <w:t xml:space="preserve">(Silverstein </w:t>
            </w:r>
            <w:r w:rsidRPr="00DE40D1">
              <w:rPr>
                <w:rFonts w:ascii="Calibri" w:hAnsi="Calibri" w:cs="Calibri"/>
                <w:i/>
                <w:iCs/>
                <w:szCs w:val="24"/>
              </w:rPr>
              <w:t>et al</w:t>
            </w:r>
            <w:r w:rsidRPr="00DE40D1">
              <w:rPr>
                <w:rFonts w:ascii="Calibri" w:hAnsi="Calibri" w:cs="Calibri"/>
                <w:szCs w:val="24"/>
              </w:rPr>
              <w:t>, 2021)</w:t>
            </w:r>
            <w:r w:rsidRPr="00DE40D1">
              <w:fldChar w:fldCharType="end"/>
            </w:r>
          </w:p>
        </w:tc>
      </w:tr>
      <w:tr w:rsidR="00DE40D1" w:rsidRPr="00DE40D1" w14:paraId="31235AF0" w14:textId="77777777" w:rsidTr="007C38FB">
        <w:tc>
          <w:tcPr>
            <w:tcW w:w="1721" w:type="dxa"/>
          </w:tcPr>
          <w:p w14:paraId="20228AB9" w14:textId="77777777" w:rsidR="00DE40D1" w:rsidRPr="00DE40D1" w:rsidRDefault="00DE40D1" w:rsidP="00DE40D1">
            <w:r w:rsidRPr="00DE40D1">
              <w:rPr>
                <w:b/>
                <w:i/>
              </w:rPr>
              <w:t>HMGCR</w:t>
            </w:r>
            <w:r w:rsidRPr="00DE40D1">
              <w:t xml:space="preserve"> (P04035)</w:t>
            </w:r>
          </w:p>
        </w:tc>
        <w:tc>
          <w:tcPr>
            <w:tcW w:w="1754" w:type="dxa"/>
          </w:tcPr>
          <w:p w14:paraId="6830B113" w14:textId="77777777" w:rsidR="00DE40D1" w:rsidRPr="00DE40D1" w:rsidRDefault="00DE40D1" w:rsidP="00DE40D1">
            <w:r w:rsidRPr="00DE40D1">
              <w:t>Competitive growth assay in yeast</w:t>
            </w:r>
          </w:p>
        </w:tc>
        <w:tc>
          <w:tcPr>
            <w:tcW w:w="2062" w:type="dxa"/>
          </w:tcPr>
          <w:p w14:paraId="2F0605E3" w14:textId="77777777" w:rsidR="00DE40D1" w:rsidRPr="00DE40D1" w:rsidRDefault="00DE40D1" w:rsidP="00DE40D1">
            <w:r w:rsidRPr="00DE40D1">
              <w:t>DMS_no_statin</w:t>
            </w:r>
          </w:p>
        </w:tc>
        <w:tc>
          <w:tcPr>
            <w:tcW w:w="1740" w:type="dxa"/>
          </w:tcPr>
          <w:p w14:paraId="151CA318" w14:textId="77777777" w:rsidR="00DE40D1" w:rsidRPr="00DE40D1" w:rsidRDefault="00DE40D1" w:rsidP="00DE40D1">
            <w:r w:rsidRPr="00DE40D1">
              <w:t>99.89</w:t>
            </w:r>
          </w:p>
        </w:tc>
        <w:tc>
          <w:tcPr>
            <w:tcW w:w="1739" w:type="dxa"/>
            <w:vMerge w:val="restart"/>
          </w:tcPr>
          <w:p w14:paraId="06A98A17" w14:textId="77777777" w:rsidR="00DE40D1" w:rsidRPr="00DE40D1" w:rsidRDefault="00DE40D1" w:rsidP="00DE40D1">
            <w:r w:rsidRPr="00DE40D1">
              <w:fldChar w:fldCharType="begin"/>
            </w:r>
            <w:r w:rsidRPr="00DE40D1">
              <w:instrText xml:space="preserve"> ADDIN ZOTERO_ITEM CSL_CITATION {"citationID":"FuG462y6","properties":{"formattedCitation":"(Jiang, 2019)","plainCitation":"(Jiang, 2019)","noteIndex":0},"citationItems":[{"id":1135,"uris":["http://zotero.org/users/local/fXdzxoIk/items/Y9XITIWN"],"itemData":{"id":1135,"type":"thesis","abstract":"Coronary heart disease (CHD) is a leading cause of death worldwide. A major risk factor of CHD is high low-density lipoprotein cholesterol (LDL-C), which is the defining feature of familial hypercholesterolemia, a genetic disorder characterized by mutations in genes involved in cholesterol uptake, such as LDLRAP1. The risk of CHD can be reduced by LDL-C-lowering medications called statins that potently inhibit HMG-CoA reductase (HMGCR), the enzyme that catalyzes the rate-limiting reaction of the mevalonate pathway. The study of genetic variation in CHD-related genes may contribute to early detection or prevention of CHD. I exhaustively mapped missense variant effects of two CHD-related genes, HMGCR and LDLRAP1. Proactive maps of human HMGCR may be able to model patient response to statins and identify the statin with the greatest likelihood of efficacy. Proactive maps of LDLRAP1 may identify pathogenic variation of autosomal recessive hypercholesterolemia (ARH) for early diagnosis of ARH.","genre":"Thesis","language":"en","note":"Accepted: 2019-11-20T21:00:27Z","publisher":"University of Toronto","source":"tspace.library.utoronto.ca","title":"Exhaustive Mapping of Missense Variation in Coronary Heart Disease-related Genes","URL":"https://tspace.library.utoronto.ca/handle/1807/98076","author":[{"family":"Jiang","given":"Rosanna Junchen"}],"accessed":{"date-parts":[["2022",4,1]]},"issued":{"date-parts":[["2019",11]]}}}],"schema":"https://github.com/citation-style-language/schema/raw/master/csl-citation.json"} </w:instrText>
            </w:r>
            <w:r w:rsidRPr="00DE40D1">
              <w:fldChar w:fldCharType="separate"/>
            </w:r>
            <w:r w:rsidRPr="00DE40D1">
              <w:rPr>
                <w:rFonts w:ascii="Calibri" w:hAnsi="Calibri" w:cs="Calibri"/>
              </w:rPr>
              <w:t>(Jiang, 2019)</w:t>
            </w:r>
            <w:r w:rsidRPr="00DE40D1">
              <w:fldChar w:fldCharType="end"/>
            </w:r>
          </w:p>
        </w:tc>
      </w:tr>
      <w:tr w:rsidR="00DE40D1" w:rsidRPr="00DE40D1" w14:paraId="49F6836F" w14:textId="77777777" w:rsidTr="007C38FB">
        <w:tc>
          <w:tcPr>
            <w:tcW w:w="1721" w:type="dxa"/>
          </w:tcPr>
          <w:p w14:paraId="34648713" w14:textId="77777777" w:rsidR="00DE40D1" w:rsidRPr="00DE40D1" w:rsidRDefault="00DE40D1" w:rsidP="00DE40D1">
            <w:r w:rsidRPr="00DE40D1">
              <w:rPr>
                <w:b/>
                <w:i/>
              </w:rPr>
              <w:t>LDLRAP1</w:t>
            </w:r>
            <w:r w:rsidRPr="00DE40D1">
              <w:t xml:space="preserve"> (Q5SW96)</w:t>
            </w:r>
          </w:p>
        </w:tc>
        <w:tc>
          <w:tcPr>
            <w:tcW w:w="1754" w:type="dxa"/>
          </w:tcPr>
          <w:p w14:paraId="0F9EAE3C" w14:textId="77777777" w:rsidR="00DE40D1" w:rsidRPr="00DE40D1" w:rsidRDefault="00DE40D1" w:rsidP="00DE40D1">
            <w:r w:rsidRPr="00DE40D1">
              <w:t>Yeast two-hybrid</w:t>
            </w:r>
          </w:p>
        </w:tc>
        <w:tc>
          <w:tcPr>
            <w:tcW w:w="2062" w:type="dxa"/>
          </w:tcPr>
          <w:p w14:paraId="558EEE77" w14:textId="77777777" w:rsidR="00DE40D1" w:rsidRPr="00DE40D1" w:rsidRDefault="00DE40D1" w:rsidP="00DE40D1">
            <w:r w:rsidRPr="00DE40D1">
              <w:t>DMS_OBFC1</w:t>
            </w:r>
          </w:p>
        </w:tc>
        <w:tc>
          <w:tcPr>
            <w:tcW w:w="1740" w:type="dxa"/>
          </w:tcPr>
          <w:p w14:paraId="675F2DAF" w14:textId="77777777" w:rsidR="00DE40D1" w:rsidRPr="00DE40D1" w:rsidRDefault="00DE40D1" w:rsidP="00DE40D1">
            <w:r w:rsidRPr="00DE40D1">
              <w:t>99.03</w:t>
            </w:r>
          </w:p>
        </w:tc>
        <w:tc>
          <w:tcPr>
            <w:tcW w:w="1739" w:type="dxa"/>
            <w:vMerge/>
          </w:tcPr>
          <w:p w14:paraId="49688657" w14:textId="77777777" w:rsidR="00DE40D1" w:rsidRPr="00DE40D1" w:rsidRDefault="00DE40D1" w:rsidP="00DE40D1"/>
        </w:tc>
      </w:tr>
      <w:tr w:rsidR="00DE40D1" w:rsidRPr="00DE40D1" w14:paraId="289BD902" w14:textId="77777777" w:rsidTr="007C38FB">
        <w:tc>
          <w:tcPr>
            <w:tcW w:w="1721" w:type="dxa"/>
          </w:tcPr>
          <w:p w14:paraId="111D0C46" w14:textId="77777777" w:rsidR="00DE40D1" w:rsidRPr="00DE40D1" w:rsidRDefault="00DE40D1" w:rsidP="00DE40D1">
            <w:r w:rsidRPr="00DE40D1">
              <w:rPr>
                <w:b/>
                <w:i/>
              </w:rPr>
              <w:t>MTHFR</w:t>
            </w:r>
            <w:r w:rsidRPr="00DE40D1">
              <w:t xml:space="preserve"> (P42898)</w:t>
            </w:r>
          </w:p>
        </w:tc>
        <w:tc>
          <w:tcPr>
            <w:tcW w:w="1754" w:type="dxa"/>
          </w:tcPr>
          <w:p w14:paraId="226C8FD4" w14:textId="77777777" w:rsidR="00DE40D1" w:rsidRPr="00DE40D1" w:rsidRDefault="00DE40D1" w:rsidP="00DE40D1">
            <w:r w:rsidRPr="00DE40D1">
              <w:t>Competitive growth assay in yeast</w:t>
            </w:r>
          </w:p>
        </w:tc>
        <w:tc>
          <w:tcPr>
            <w:tcW w:w="2062" w:type="dxa"/>
          </w:tcPr>
          <w:p w14:paraId="39D68CE9" w14:textId="77777777" w:rsidR="00DE40D1" w:rsidRPr="00DE40D1" w:rsidRDefault="00DE40D1" w:rsidP="00DE40D1">
            <w:r w:rsidRPr="00DE40D1">
              <w:t>DMS_25_A222V</w:t>
            </w:r>
          </w:p>
          <w:p w14:paraId="76E898C3" w14:textId="77777777" w:rsidR="00DE40D1" w:rsidRPr="00DE40D1" w:rsidRDefault="00DE40D1" w:rsidP="00DE40D1"/>
        </w:tc>
        <w:tc>
          <w:tcPr>
            <w:tcW w:w="1740" w:type="dxa"/>
          </w:tcPr>
          <w:p w14:paraId="5439740A" w14:textId="77777777" w:rsidR="00DE40D1" w:rsidRPr="00DE40D1" w:rsidRDefault="00DE40D1" w:rsidP="00DE40D1">
            <w:r w:rsidRPr="00DE40D1">
              <w:t>99.85</w:t>
            </w:r>
          </w:p>
        </w:tc>
        <w:tc>
          <w:tcPr>
            <w:tcW w:w="1739" w:type="dxa"/>
          </w:tcPr>
          <w:p w14:paraId="3B257F92" w14:textId="77777777" w:rsidR="00DE40D1" w:rsidRPr="00DE40D1" w:rsidRDefault="00DE40D1" w:rsidP="00DE40D1">
            <w:r w:rsidRPr="00DE40D1">
              <w:fldChar w:fldCharType="begin"/>
            </w:r>
            <w:r w:rsidRPr="00DE40D1">
              <w:instrText xml:space="preserve"> ADDIN ZOTERO_ITEM CSL_CITATION {"citationID":"R9Ox495A","properties":{"formattedCitation":"(Weile {\\i{}et al}, 2021)","plainCitation":"(Weile et al, 2021)","noteIndex":0},"citationItems":[{"id":1141,"uris":["http://zotero.org/users/local/fXdzxoIk/items/QGJAWV4F"],"itemData":{"id":1141,"type":"article-journal","abstract":"Most rare clinical missense variants cannot currently be classified as pathogenic or benign. Deficiency in human 5,10-methylenetetrahydrofolate reductase (MTHFR), the most common inherited disorder of folate metabolism, is caused primarily by rare missense variants. Further complicating variant interpretation, variant impacts often depend on environment. An important example of this phenomenon is the MTHFR variant p.Ala222Val (c.665C&gt;T), which is carried by half of all humans and has a phenotypic impact that depends on dietary folate. Here we describe the results of 98,336 variant functional-impact assays, covering nearly all possible MTHFR amino acid substitutions in four folinate environments, each in the presence and absence of p.Ala222Val. The resulting atlas of MTHFR variant effects reveals many complex dependencies on both folinate and p.Ala222Val. MTHFR atlas scores can distinguish pathogenic from benign variants and, among individuals with severe MTHFR deficiency, correlate with age of disease onset. Providing a powerful tool for understanding structure-function relationships, the atlas suggests a role for a disordered loop in retaining cofactor at the active site and identifies variants that enable escape of inhibition by S-adenosylmethionine. Thus, a model based on eight MTHFR variant effect maps illustrates how shifting landscapes of environment- and genetic-background-dependent missense variation can inform our clinical, structural, and functional understanding of MTHFR deficiency.","container-title":"American Journal of Human Genetics","DOI":"10.1016/j.ajhg.2021.05.009","ISSN":"0002-9297","issue":"7","journalAbbreviation":"Am J Hum Genet","note":"PMID: 34214447\nPMCID: PMC8322931","page":"1283-1300","source":"PubMed Central","title":"Shifting landscapes of human MTHFR missense-variant effects","volume":"108","author":[{"family":"Weile","given":"Jochen"},{"family":"Kishore","given":"Nishka"},{"family":"Sun","given":"Song"},{"family":"Maaieh","given":"Ranim"},{"family":"Verby","given":"Marta"},{"family":"Li","given":"Roujia"},{"family":"Fotiadou","given":"Iosifina"},{"family":"Kitaygorodsky","given":"Julia"},{"family":"Wu","given":"Yingzhou"},{"family":"Holenstein","given":"Alexander"},{"family":"Bürer","given":"Céline"},{"family":"Blomgren","given":"Linnea"},{"family":"Yang","given":"Shan"},{"family":"Nussbaum","given":"Robert"},{"family":"Rozen","given":"Rima"},{"family":"Watkins","given":"David"},{"family":"Gebbia","given":"Marinella"},{"family":"Kozich","given":"Viktor"},{"family":"Garton","given":"Michael"},{"family":"Froese","given":"D. Sean"},{"family":"Roth","given":"Frederick P."}],"issued":{"date-parts":[["2021",7,1]]}}}],"schema":"https://github.com/citation-style-language/schema/raw/master/csl-citation.json"} </w:instrText>
            </w:r>
            <w:r w:rsidRPr="00DE40D1">
              <w:fldChar w:fldCharType="separate"/>
            </w:r>
            <w:r w:rsidRPr="00DE40D1">
              <w:rPr>
                <w:rFonts w:ascii="Calibri" w:hAnsi="Calibri" w:cs="Calibri"/>
                <w:szCs w:val="24"/>
              </w:rPr>
              <w:t xml:space="preserve">(Weile </w:t>
            </w:r>
            <w:r w:rsidRPr="00DE40D1">
              <w:rPr>
                <w:rFonts w:ascii="Calibri" w:hAnsi="Calibri" w:cs="Calibri"/>
                <w:i/>
                <w:iCs/>
                <w:szCs w:val="24"/>
              </w:rPr>
              <w:t>et al</w:t>
            </w:r>
            <w:r w:rsidRPr="00DE40D1">
              <w:rPr>
                <w:rFonts w:ascii="Calibri" w:hAnsi="Calibri" w:cs="Calibri"/>
                <w:szCs w:val="24"/>
              </w:rPr>
              <w:t>, 2021)</w:t>
            </w:r>
            <w:r w:rsidRPr="00DE40D1">
              <w:fldChar w:fldCharType="end"/>
            </w:r>
          </w:p>
        </w:tc>
      </w:tr>
      <w:tr w:rsidR="00DE40D1" w:rsidRPr="00DE40D1" w14:paraId="18F878EC" w14:textId="77777777" w:rsidTr="007C38FB">
        <w:tc>
          <w:tcPr>
            <w:tcW w:w="1721" w:type="dxa"/>
          </w:tcPr>
          <w:p w14:paraId="7DE0FAD0" w14:textId="77777777" w:rsidR="00DE40D1" w:rsidRPr="00DE40D1" w:rsidRDefault="00DE40D1" w:rsidP="00DE40D1">
            <w:r w:rsidRPr="00DE40D1">
              <w:rPr>
                <w:b/>
                <w:i/>
              </w:rPr>
              <w:t>BRCA1</w:t>
            </w:r>
            <w:r w:rsidRPr="00DE40D1">
              <w:t>(a) (P38398)</w:t>
            </w:r>
          </w:p>
        </w:tc>
        <w:tc>
          <w:tcPr>
            <w:tcW w:w="1754" w:type="dxa"/>
          </w:tcPr>
          <w:p w14:paraId="3B02FCA4" w14:textId="77777777" w:rsidR="00DE40D1" w:rsidRPr="00DE40D1" w:rsidRDefault="00DE40D1" w:rsidP="00DE40D1">
            <w:r w:rsidRPr="00DE40D1">
              <w:t>Yeast two-hybrid and phage display.</w:t>
            </w:r>
          </w:p>
        </w:tc>
        <w:tc>
          <w:tcPr>
            <w:tcW w:w="2062" w:type="dxa"/>
          </w:tcPr>
          <w:p w14:paraId="7CA2FBD0" w14:textId="77777777" w:rsidR="00DE40D1" w:rsidRPr="00DE40D1" w:rsidRDefault="00DE40D1" w:rsidP="00DE40D1">
            <w:r w:rsidRPr="00DE40D1">
              <w:t>N/A</w:t>
            </w:r>
          </w:p>
        </w:tc>
        <w:tc>
          <w:tcPr>
            <w:tcW w:w="1740" w:type="dxa"/>
          </w:tcPr>
          <w:p w14:paraId="13A34B68" w14:textId="77777777" w:rsidR="00DE40D1" w:rsidRPr="00DE40D1" w:rsidRDefault="00DE40D1" w:rsidP="00DE40D1">
            <w:r w:rsidRPr="00DE40D1">
              <w:t>N/A</w:t>
            </w:r>
          </w:p>
        </w:tc>
        <w:tc>
          <w:tcPr>
            <w:tcW w:w="1739" w:type="dxa"/>
          </w:tcPr>
          <w:p w14:paraId="7A909D89" w14:textId="77777777" w:rsidR="00DE40D1" w:rsidRPr="00DE40D1" w:rsidRDefault="00DE40D1" w:rsidP="00DE40D1">
            <w:r w:rsidRPr="00DE40D1">
              <w:fldChar w:fldCharType="begin"/>
            </w:r>
            <w:r w:rsidRPr="00DE40D1">
              <w:instrText xml:space="preserve"> ADDIN ZOTERO_ITEM CSL_CITATION {"citationID":"jTcI99Ss","properties":{"formattedCitation":"(Starita {\\i{}et al}, 2015)","plainCitation":"(Starita et al, 2015)","noteIndex":0},"citationItems":[{"id":142,"uris":["http://zotero.org/users/local/fXdzxoIk/items/RP4R96WN"],"itemData":{"id":142,"type":"article-journal","abstract":"Interpreting variants of uncertain significance (VUS) is a central challenge in medical genetics. One approach is to experimentally measure the functional consequences of VUS, but to date this approach has been post hoc and low throughput. Here we use massively parallel assays to measure the effects of nearly 2000 missense substitutions in the RING domain of BRCA1 on its E3 ubiquitin ligase activity and its binding to the BARD1 RING domain. From the resulting scores, we generate a model to predict the capacities of full-length BRCA1 variants to support homology-directed DNA repair, the essential role of BRCA1 in tumor suppression, and show that it outperforms widely used biological-effect prediction algorithms. We envision that massively parallel functional assays may facilitate the prospective interpretation of variants observed in clinical sequencing.","container-title":"Genetics","DOI":"10.1534/genetics.115.175802","ISSN":"0016-6731","issue":"2","journalAbbreviation":"Genetics","note":"PMID: 25823446\nPMCID: PMC4492368","page":"413-422","source":"PubMed Central","title":"Massively Parallel Functional Analysis of BRCA1 RING Domain Variants","volume":"200","author":[{"family":"Starita","given":"Lea M."},{"family":"Young","given":"David L."},{"family":"Islam","given":"Muhtadi"},{"family":"Kitzman","given":"Jacob O."},{"family":"Gullingsrud","given":"Justin"},{"family":"Hause","given":"Ronald J."},{"family":"Fowler","given":"Douglas M."},{"family":"Parvin","given":"Jeffrey D."},{"family":"Shendure","given":"Jay"},{"family":"Fields","given":"Stanley"}],"issued":{"date-parts":[["2015",6]]}}}],"schema":"https://github.com/citation-style-language/schema/raw/master/csl-citation.json"} </w:instrText>
            </w:r>
            <w:r w:rsidRPr="00DE40D1">
              <w:fldChar w:fldCharType="separate"/>
            </w:r>
            <w:r w:rsidRPr="00DE40D1">
              <w:rPr>
                <w:rFonts w:ascii="Calibri" w:hAnsi="Calibri" w:cs="Calibri"/>
                <w:szCs w:val="24"/>
              </w:rPr>
              <w:t xml:space="preserve">(Starita </w:t>
            </w:r>
            <w:r w:rsidRPr="00DE40D1">
              <w:rPr>
                <w:rFonts w:ascii="Calibri" w:hAnsi="Calibri" w:cs="Calibri"/>
                <w:i/>
                <w:iCs/>
                <w:szCs w:val="24"/>
              </w:rPr>
              <w:t>et al</w:t>
            </w:r>
            <w:r w:rsidRPr="00DE40D1">
              <w:rPr>
                <w:rFonts w:ascii="Calibri" w:hAnsi="Calibri" w:cs="Calibri"/>
                <w:szCs w:val="24"/>
              </w:rPr>
              <w:t>, 2015)</w:t>
            </w:r>
            <w:r w:rsidRPr="00DE40D1">
              <w:fldChar w:fldCharType="end"/>
            </w:r>
          </w:p>
        </w:tc>
      </w:tr>
      <w:tr w:rsidR="00DE40D1" w:rsidRPr="00DE40D1" w14:paraId="501294D3" w14:textId="77777777" w:rsidTr="007C38FB">
        <w:tc>
          <w:tcPr>
            <w:tcW w:w="1721" w:type="dxa"/>
          </w:tcPr>
          <w:p w14:paraId="0F43BBCC" w14:textId="77777777" w:rsidR="00DE40D1" w:rsidRPr="00DE40D1" w:rsidRDefault="00DE40D1" w:rsidP="00DE40D1">
            <w:r w:rsidRPr="00DE40D1">
              <w:rPr>
                <w:b/>
                <w:i/>
              </w:rPr>
              <w:t>BRCA1</w:t>
            </w:r>
            <w:r w:rsidRPr="00DE40D1">
              <w:t>(b) (P38398)</w:t>
            </w:r>
          </w:p>
        </w:tc>
        <w:tc>
          <w:tcPr>
            <w:tcW w:w="1754" w:type="dxa"/>
          </w:tcPr>
          <w:p w14:paraId="34882E38" w14:textId="77777777" w:rsidR="00DE40D1" w:rsidRPr="00DE40D1" w:rsidRDefault="00DE40D1" w:rsidP="00DE40D1">
            <w:r w:rsidRPr="00DE40D1">
              <w:t>Growth rate of HAP1 cells</w:t>
            </w:r>
          </w:p>
        </w:tc>
        <w:tc>
          <w:tcPr>
            <w:tcW w:w="2062" w:type="dxa"/>
          </w:tcPr>
          <w:p w14:paraId="6761DB28" w14:textId="77777777" w:rsidR="00DE40D1" w:rsidRPr="00DE40D1" w:rsidRDefault="00DE40D1" w:rsidP="00DE40D1">
            <w:r w:rsidRPr="00DE40D1">
              <w:t>DMS_b</w:t>
            </w:r>
          </w:p>
          <w:p w14:paraId="30216BF1" w14:textId="77777777" w:rsidR="00DE40D1" w:rsidRPr="00DE40D1" w:rsidRDefault="00DE40D1" w:rsidP="00DE40D1"/>
        </w:tc>
        <w:tc>
          <w:tcPr>
            <w:tcW w:w="1740" w:type="dxa"/>
          </w:tcPr>
          <w:p w14:paraId="0D36D14C" w14:textId="77777777" w:rsidR="00DE40D1" w:rsidRPr="00DE40D1" w:rsidRDefault="00DE40D1" w:rsidP="00DE40D1">
            <w:r w:rsidRPr="00DE40D1">
              <w:t>5.19</w:t>
            </w:r>
          </w:p>
        </w:tc>
        <w:tc>
          <w:tcPr>
            <w:tcW w:w="1739" w:type="dxa"/>
          </w:tcPr>
          <w:p w14:paraId="0B0814CC" w14:textId="77777777" w:rsidR="00DE40D1" w:rsidRPr="00DE40D1" w:rsidRDefault="00DE40D1" w:rsidP="00DE40D1">
            <w:r w:rsidRPr="00DE40D1">
              <w:fldChar w:fldCharType="begin"/>
            </w:r>
            <w:r w:rsidRPr="00DE40D1">
              <w:instrText xml:space="preserve"> ADDIN ZOTERO_ITEM CSL_CITATION {"citationID":"1H86xFJg","properties":{"formattedCitation":"(Findlay {\\i{}et al}, 2018)","plainCitation":"(Findlay et al, 2018)","noteIndex":0},"citationItems":[{"id":478,"uris":["http://zotero.org/users/local/fXdzxoIk/items/SDG6IJ4D"],"itemData":{"id":478,"type":"article-journal","abstract":"Germline BRCA1 loss-of-function variants are associated with predisposition to early-onset breast and ovarian cancer; here the authors use CRISPR/Cas9 genome editing to functionally assess thousands of BRCA1 variants in order to&amp;nbsp;facilitate the clinical interpretation of these variants.","container-title":"Nature","DOI":"10.1038/s41586-018-0461-z","ISSN":"1476-4687","issue":"7726","language":"en","license":"2018 Springer Nature Limited","page":"217-222","source":"www.nature.com","title":"Accurate classification of BRCA1 variants with saturation genome editing","volume":"562","author":[{"family":"Findlay","given":"Gregory M."},{"family":"Daza","given":"Riza M."},{"family":"Martin","given":"Beth"},{"family":"Zhang","given":"Melissa D."},{"family":"Leith","given":"Anh P."},{"family":"Gasperini","given":"Molly"},{"family":"Janizek","given":"Joseph D."},{"family":"Huang","given":"Xingfan"},{"family":"Starita","given":"Lea M."},{"family":"Shendure","given":"Jay"}],"issued":{"date-parts":[["2018",10]]}}}],"schema":"https://github.com/citation-style-language/schema/raw/master/csl-citation.json"} </w:instrText>
            </w:r>
            <w:r w:rsidRPr="00DE40D1">
              <w:fldChar w:fldCharType="separate"/>
            </w:r>
            <w:r w:rsidRPr="00DE40D1">
              <w:rPr>
                <w:rFonts w:ascii="Calibri" w:hAnsi="Calibri" w:cs="Calibri"/>
                <w:szCs w:val="24"/>
              </w:rPr>
              <w:t xml:space="preserve">(Findlay </w:t>
            </w:r>
            <w:r w:rsidRPr="00DE40D1">
              <w:rPr>
                <w:rFonts w:ascii="Calibri" w:hAnsi="Calibri" w:cs="Calibri"/>
                <w:i/>
                <w:iCs/>
                <w:szCs w:val="24"/>
              </w:rPr>
              <w:t>et al</w:t>
            </w:r>
            <w:r w:rsidRPr="00DE40D1">
              <w:rPr>
                <w:rFonts w:ascii="Calibri" w:hAnsi="Calibri" w:cs="Calibri"/>
                <w:szCs w:val="24"/>
              </w:rPr>
              <w:t>, 2018)</w:t>
            </w:r>
            <w:r w:rsidRPr="00DE40D1">
              <w:fldChar w:fldCharType="end"/>
            </w:r>
          </w:p>
        </w:tc>
      </w:tr>
      <w:tr w:rsidR="00DE40D1" w:rsidRPr="00DE40D1" w14:paraId="31CF3F44" w14:textId="77777777" w:rsidTr="007C38FB">
        <w:tc>
          <w:tcPr>
            <w:tcW w:w="1721" w:type="dxa"/>
          </w:tcPr>
          <w:p w14:paraId="73E43DC3" w14:textId="77777777" w:rsidR="00DE40D1" w:rsidRPr="00DE40D1" w:rsidRDefault="00DE40D1" w:rsidP="00DE40D1">
            <w:r w:rsidRPr="00DE40D1">
              <w:rPr>
                <w:b/>
                <w:i/>
              </w:rPr>
              <w:t>MAPK1</w:t>
            </w:r>
            <w:r w:rsidRPr="00DE40D1">
              <w:t xml:space="preserve"> (P28482)</w:t>
            </w:r>
          </w:p>
        </w:tc>
        <w:tc>
          <w:tcPr>
            <w:tcW w:w="1754" w:type="dxa"/>
          </w:tcPr>
          <w:p w14:paraId="16225D40" w14:textId="77777777" w:rsidR="00DE40D1" w:rsidRPr="00DE40D1" w:rsidRDefault="00DE40D1" w:rsidP="00DE40D1">
            <w:r w:rsidRPr="00DE40D1">
              <w:t>Growth rate of A375 cells</w:t>
            </w:r>
          </w:p>
        </w:tc>
        <w:tc>
          <w:tcPr>
            <w:tcW w:w="2062" w:type="dxa"/>
          </w:tcPr>
          <w:p w14:paraId="3F601A05" w14:textId="77777777" w:rsidR="00DE40D1" w:rsidRPr="00DE40D1" w:rsidRDefault="00DE40D1" w:rsidP="00DE40D1">
            <w:r w:rsidRPr="00DE40D1">
              <w:t>DMS_DOX</w:t>
            </w:r>
          </w:p>
        </w:tc>
        <w:tc>
          <w:tcPr>
            <w:tcW w:w="1740" w:type="dxa"/>
          </w:tcPr>
          <w:p w14:paraId="64D30D60" w14:textId="77777777" w:rsidR="00DE40D1" w:rsidRPr="00DE40D1" w:rsidRDefault="00DE40D1" w:rsidP="00DE40D1">
            <w:r w:rsidRPr="00DE40D1">
              <w:t>99.56</w:t>
            </w:r>
          </w:p>
        </w:tc>
        <w:tc>
          <w:tcPr>
            <w:tcW w:w="1739" w:type="dxa"/>
          </w:tcPr>
          <w:p w14:paraId="0FB51ABB" w14:textId="77777777" w:rsidR="00DE40D1" w:rsidRPr="00DE40D1" w:rsidRDefault="00DE40D1" w:rsidP="00DE40D1">
            <w:r w:rsidRPr="00DE40D1">
              <w:fldChar w:fldCharType="begin"/>
            </w:r>
            <w:r w:rsidRPr="00DE40D1">
              <w:instrText xml:space="preserve"> ADDIN ZOTERO_ITEM CSL_CITATION {"citationID":"hWli9iWx","properties":{"formattedCitation":"(Brenan {\\i{}et al}, 2016)","plainCitation":"(Brenan et al, 2016)","noteIndex":0},"citationItems":[{"id":200,"uris":["http://zotero.org/users/local/fXdzxoIk/items/IW7WB343"],"itemData":{"id":200,"type":"article-journal","abstract":"Tumor-specific genomic information has the potential to guide therapeutic strategies and revolutionize patient treatment. Currently, this approach is limited by an abundance of disease-associated mutants whose biological functions and impacts on therapeutic response are uncharacterized. To begin to address this limitation, we functionally characterized nearly all (99.84%) missense mutants of MAPK1/ERK2, an essential effector of oncogenic RAS and RAF. Using this approach, we discovered rare gain- and loss-of-function ERK2 mutants found in human tumors, revealing that, in the context of this assay, mutational frequency alone cannot identify all functionally impactful mutants. Gain-of-function ERK2 mutants induced variable responses to RAF-, MEK- and ERK-directed therapies, providing a reference for future treatment decisions. Tumor-associated mutations spatially clustered in two ERK2 effector-recruitment domains, yet produced mutants with opposite phenotypes. This approach articulates an allele-characterization framework that can be scaled to meet the goals of genome-guided oncology.,","container-title":"Cell reports","DOI":"10.1016/j.celrep.2016.09.061","ISSN":"2211-1247","issue":"4","journalAbbreviation":"Cell Rep.","note":"PMID: 27760319\nPMCID: PMC5120861","page":"1171-1183","source":"PubMed Central","title":"Phenotypic characterization of a comprehensive set of MAPK1/ERK2 missense mutants","volume":"17","author":[{"family":"Brenan","given":"Lisa"},{"family":"Andreev","given":"Aleksandr"},{"family":"Cohen","given":"Ofir"},{"family":"Pantel","given":"Sasha"},{"family":"Kamburov","given":"Atanas"},{"family":"Cacchiarelli","given":"Davide"},{"family":"Persky","given":"Nicole S."},{"family":"Zhu","given":"Cong"},{"family":"Bagul","given":"Mukta"},{"family":"Goetz","given":"Eva M."},{"family":"Burgin","given":"Alex B."},{"family":"Garraway","given":"Levi A."},{"family":"Getz","given":"Gad"},{"family":"Mikkelsen","given":"Tarjei S."},{"family":"Piccioni","given":"Federica"},{"family":"Root","given":"David E."},{"family":"Johannessen","given":"Cory M."}],"issued":{"date-parts":[["2016",10,18]]}}}],"schema":"https://github.com/citation-style-language/schema/raw/master/csl-citation.json"} </w:instrText>
            </w:r>
            <w:r w:rsidRPr="00DE40D1">
              <w:fldChar w:fldCharType="separate"/>
            </w:r>
            <w:r w:rsidRPr="00DE40D1">
              <w:rPr>
                <w:rFonts w:ascii="Calibri" w:hAnsi="Calibri" w:cs="Calibri"/>
                <w:szCs w:val="24"/>
              </w:rPr>
              <w:t xml:space="preserve">(Brenan </w:t>
            </w:r>
            <w:r w:rsidRPr="00DE40D1">
              <w:rPr>
                <w:rFonts w:ascii="Calibri" w:hAnsi="Calibri" w:cs="Calibri"/>
                <w:i/>
                <w:iCs/>
                <w:szCs w:val="24"/>
              </w:rPr>
              <w:t>et al</w:t>
            </w:r>
            <w:r w:rsidRPr="00DE40D1">
              <w:rPr>
                <w:rFonts w:ascii="Calibri" w:hAnsi="Calibri" w:cs="Calibri"/>
                <w:szCs w:val="24"/>
              </w:rPr>
              <w:t>, 2016)</w:t>
            </w:r>
            <w:r w:rsidRPr="00DE40D1">
              <w:fldChar w:fldCharType="end"/>
            </w:r>
          </w:p>
        </w:tc>
      </w:tr>
      <w:tr w:rsidR="00DE40D1" w:rsidRPr="00DE40D1" w14:paraId="733A88E0" w14:textId="77777777" w:rsidTr="007C38FB">
        <w:tc>
          <w:tcPr>
            <w:tcW w:w="1721" w:type="dxa"/>
          </w:tcPr>
          <w:p w14:paraId="76BAEA8B" w14:textId="77777777" w:rsidR="00DE40D1" w:rsidRPr="00DE40D1" w:rsidRDefault="00DE40D1" w:rsidP="00DE40D1">
            <w:r w:rsidRPr="00DE40D1">
              <w:rPr>
                <w:b/>
                <w:i/>
              </w:rPr>
              <w:t>MSH2</w:t>
            </w:r>
            <w:r w:rsidRPr="00DE40D1">
              <w:t xml:space="preserve"> (P43246)</w:t>
            </w:r>
          </w:p>
        </w:tc>
        <w:tc>
          <w:tcPr>
            <w:tcW w:w="1754" w:type="dxa"/>
          </w:tcPr>
          <w:p w14:paraId="7BC4C456" w14:textId="77777777" w:rsidR="00DE40D1" w:rsidRPr="00DE40D1" w:rsidRDefault="00DE40D1" w:rsidP="00DE40D1">
            <w:r w:rsidRPr="00DE40D1">
              <w:t>Rescue of MMR-deficient HAP1 cells</w:t>
            </w:r>
          </w:p>
        </w:tc>
        <w:tc>
          <w:tcPr>
            <w:tcW w:w="2062" w:type="dxa"/>
          </w:tcPr>
          <w:p w14:paraId="46AD2289" w14:textId="77777777" w:rsidR="00DE40D1" w:rsidRPr="00DE40D1" w:rsidRDefault="00DE40D1" w:rsidP="00DE40D1">
            <w:r w:rsidRPr="00DE40D1">
              <w:t>DMS</w:t>
            </w:r>
          </w:p>
        </w:tc>
        <w:tc>
          <w:tcPr>
            <w:tcW w:w="1740" w:type="dxa"/>
          </w:tcPr>
          <w:p w14:paraId="7B12AF04" w14:textId="77777777" w:rsidR="00DE40D1" w:rsidRPr="00DE40D1" w:rsidRDefault="00DE40D1" w:rsidP="00DE40D1">
            <w:r w:rsidRPr="00DE40D1">
              <w:t>94.38</w:t>
            </w:r>
          </w:p>
        </w:tc>
        <w:tc>
          <w:tcPr>
            <w:tcW w:w="1739" w:type="dxa"/>
          </w:tcPr>
          <w:p w14:paraId="16D13713" w14:textId="77777777" w:rsidR="00DE40D1" w:rsidRPr="00DE40D1" w:rsidRDefault="00DE40D1" w:rsidP="00DE40D1">
            <w:r w:rsidRPr="00DE40D1">
              <w:fldChar w:fldCharType="begin"/>
            </w:r>
            <w:r w:rsidRPr="00DE40D1">
              <w:instrText xml:space="preserve"> ADDIN ZOTERO_ITEM CSL_CITATION {"citationID":"qdm0iR79","properties":{"formattedCitation":"(Jia {\\i{}et al}, 2021)","plainCitation":"(Jia et al, 2021)","noteIndex":0},"citationItems":[{"id":1138,"uris":["http://zotero.org/users/local/fXdzxoIk/items/JPE5RU8M"],"itemData":{"id":1138,"type":"article-journal","abstract":"The lack of functional evidence for the majority of missense variants limits their clinical interpretability and poses a key barrier to the broad utility of carrier screening. In Lynch syndrome (LS), one of the most highly prevalent cancer syndromes, nearly 90% of clinically observed missense variants are deemed \"variants of uncertain significance\" (VUS). To systematically resolve their functional status, we performed a massively parallel screen in human cells to identify loss-of-function missense variants in the key DNA mismatch repair factor MSH2. The resulting functional effect map is substantially complete, covering 94% of the 17,746 possible variants, and is highly concordant (96%) with existing functional data and expert clinicians' interpretations. The large majority (89%) of missense variants were functionally neutral, perhaps unexpectedly in light of its evolutionary conservation. These data provide ready-to-use functional evidence to resolve the </w:instrText>
            </w:r>
            <w:r w:rsidRPr="00DE40D1">
              <w:rPr>
                <w:rFonts w:ascii="Cambria Math" w:hAnsi="Cambria Math" w:cs="Cambria Math"/>
              </w:rPr>
              <w:instrText>∼</w:instrText>
            </w:r>
            <w:r w:rsidRPr="00DE40D1">
              <w:instrText xml:space="preserve">1,300 extant missense VUSs in MSH2 and may facilitate the prospective classification of newly discovered variants in the clinic.","container-title":"American Journal of Human Genetics","DOI":"10.1016/j.ajhg.2020.12.003","ISSN":"1537-6605","issue":"1","journalAbbreviation":"Am. J. Hum. Genet.","language":"eng","note":"PMID: 33357406\nPMCID: PMC7820803","page":"163-175","source":"PubMed","title":"Massively parallel functional testing of MSH2 missense variants conferring Lynch syndrome risk","volume":"108","author":[{"family":"Jia","given":"Xiaoyan"},{"family":"Burugula","given":"Bala Bharathi"},{"family":"Chen","given":"Victor"},{"family":"Lemons","given":"Rosemary M."},{"family":"Jayakody","given":"Sajini"},{"family":"Maksutova","given":"Mariam"},{"family":"Kitzman","given":"Jacob O."}],"issued":{"date-parts":[["2021",1,7]]}}}],"schema":"https://github.com/citation-style-language/schema/raw/master/csl-citation.json"} </w:instrText>
            </w:r>
            <w:r w:rsidRPr="00DE40D1">
              <w:fldChar w:fldCharType="separate"/>
            </w:r>
            <w:r w:rsidRPr="00DE40D1">
              <w:rPr>
                <w:rFonts w:ascii="Calibri" w:hAnsi="Calibri" w:cs="Calibri"/>
                <w:szCs w:val="24"/>
              </w:rPr>
              <w:t xml:space="preserve">(Jia </w:t>
            </w:r>
            <w:r w:rsidRPr="00DE40D1">
              <w:rPr>
                <w:rFonts w:ascii="Calibri" w:hAnsi="Calibri" w:cs="Calibri"/>
                <w:i/>
                <w:iCs/>
                <w:szCs w:val="24"/>
              </w:rPr>
              <w:t>et al</w:t>
            </w:r>
            <w:r w:rsidRPr="00DE40D1">
              <w:rPr>
                <w:rFonts w:ascii="Calibri" w:hAnsi="Calibri" w:cs="Calibri"/>
                <w:szCs w:val="24"/>
              </w:rPr>
              <w:t>, 2021)</w:t>
            </w:r>
            <w:r w:rsidRPr="00DE40D1">
              <w:fldChar w:fldCharType="end"/>
            </w:r>
          </w:p>
        </w:tc>
      </w:tr>
      <w:tr w:rsidR="00DE40D1" w:rsidRPr="00DE40D1" w14:paraId="46CEC28C" w14:textId="77777777" w:rsidTr="007C38FB">
        <w:tc>
          <w:tcPr>
            <w:tcW w:w="1721" w:type="dxa"/>
          </w:tcPr>
          <w:p w14:paraId="27A1E353" w14:textId="77777777" w:rsidR="00DE40D1" w:rsidRPr="00DE40D1" w:rsidRDefault="00DE40D1" w:rsidP="00DE40D1">
            <w:r w:rsidRPr="00DE40D1">
              <w:rPr>
                <w:b/>
                <w:i/>
              </w:rPr>
              <w:t>NUDT15</w:t>
            </w:r>
            <w:r w:rsidRPr="00DE40D1">
              <w:t xml:space="preserve"> (Q9NV35)</w:t>
            </w:r>
          </w:p>
        </w:tc>
        <w:tc>
          <w:tcPr>
            <w:tcW w:w="1754" w:type="dxa"/>
          </w:tcPr>
          <w:p w14:paraId="089ABB00" w14:textId="77777777" w:rsidR="00DE40D1" w:rsidRPr="00DE40D1" w:rsidRDefault="00DE40D1" w:rsidP="00DE40D1">
            <w:r w:rsidRPr="00DE40D1">
              <w:t>Drug resistance assay.</w:t>
            </w:r>
          </w:p>
        </w:tc>
        <w:tc>
          <w:tcPr>
            <w:tcW w:w="2062" w:type="dxa"/>
          </w:tcPr>
          <w:p w14:paraId="3304AC4B" w14:textId="77777777" w:rsidR="00DE40D1" w:rsidRPr="00DE40D1" w:rsidRDefault="00DE40D1" w:rsidP="00DE40D1">
            <w:r w:rsidRPr="00DE40D1">
              <w:t>DMS_sensitivity</w:t>
            </w:r>
          </w:p>
        </w:tc>
        <w:tc>
          <w:tcPr>
            <w:tcW w:w="1740" w:type="dxa"/>
          </w:tcPr>
          <w:p w14:paraId="5552830D" w14:textId="77777777" w:rsidR="00DE40D1" w:rsidRPr="00DE40D1" w:rsidRDefault="00DE40D1" w:rsidP="00DE40D1">
            <w:r w:rsidRPr="00DE40D1">
              <w:t>94.16</w:t>
            </w:r>
          </w:p>
        </w:tc>
        <w:tc>
          <w:tcPr>
            <w:tcW w:w="1739" w:type="dxa"/>
          </w:tcPr>
          <w:p w14:paraId="597A6057" w14:textId="77777777" w:rsidR="00DE40D1" w:rsidRPr="00DE40D1" w:rsidRDefault="00DE40D1" w:rsidP="00DE40D1">
            <w:r w:rsidRPr="00DE40D1">
              <w:fldChar w:fldCharType="begin"/>
            </w:r>
            <w:r w:rsidRPr="00DE40D1">
              <w:instrText xml:space="preserve"> ADDIN ZOTERO_ITEM CSL_CITATION {"citationID":"AKUyhKMY","properties":{"formattedCitation":"(Suiter {\\i{}et al}, 2020)","plainCitation":"(Suiter et al, 2020)","noteIndex":0},"citationItems":[{"id":1144,"uris":["http://zotero.org/users/local/fXdzxoIk/items/6JT2XZVC"],"itemData":{"id":1144,"type":"article-journal","abstract":"Pharmacogenetics is a prototype of genomics-guided precision medicine. While there is a rapid expansion of novel pharmacogenetic variants discovered by genome sequencing, the lack of variant interpretation in a scalable fashion is a formidable barrier in this field. NUDT15 polymorphism is a major genetic cause for hematopoietic toxicity during thiopurine therapy. Motivated by the need to understand NUDT15 variant effects for clinical actions, we developed a massively parallel assay to preemptively characterize 91.8% of all possible missense variants in NUDT15. Our function-based variant classification accurately predicted thiopurine toxicity risk alleles in patients. These results vastly improved the ability to implement genotype-guided thiopurine therapy and illustrated the value and potential of a high-throughput variant effect screen in general., As a prototype of genomics-guided precision medicine, individualized thiopurine dosing based on pharmacogenetics is a highly effective way to mitigate hematopoietic toxicity of this class of drugs. Recently, NUDT15 deficiency was identified as a genetic cause of thiopurine toxicity, and NUDT15-informed preemptive dose reduction was quickly adopted in clinical settings. To exhaustively identify pharmacogenetic variants in this gene, we developed massively parallel NUDT15 function assays to determine the variants’ effect on protein abundance and thiopurine cytotoxicity. Of the 3,097 possible missense variants, we characterized the abundance of 2,922 variants and found 54 hotspot residues at which variants resulted in complete loss of protein stability. Analyzing 2,935 variants in the thiopurine cytotoxicity-based assay, we identified 17 additional residues where variants altered NUDT15 activity without affecting protein stability. We identified structural elements key to NUDT15 stability and/or catalytical activity with single amino acid resolution. Functional effects for NUDT15 variants accurately predicted toxicity risk alleles in patients treated with thiopurines with far superior sensitivity and specificity compared to bioinformatic prediction algorithms. In conclusion, our massively parallel variant function assays identified 1,152 deleterious NUDT15 variants, providing a comprehensive reference of variant function and vastly improving the ability to implement pharmacogenetics-guided thiopurine treatment individualization.","container-title":"Proceedings of the National Academy of Sciences of the United States of America","DOI":"10.1073/pnas.1915680117","ISSN":"0027-8424","issue":"10","journalAbbreviation":"Proc. Natl. Acad. Sci. U.S.A.","note":"PMID: 32094176\nPMCID: PMC7071893","page":"5394-5401","source":"PubMed Central","title":"Massively parallel variant characterization identifies NUDT15 alleles associated with thiopurine toxicity","volume":"117","author":[{"family":"Suiter","given":"Chase C."},{"family":"Moriyama","given":"Takaya"},{"family":"Matreyek","given":"Kenneth A."},{"family":"Yang","given":"Wentao"},{"family":"Scaletti","given":"Emma Rose"},{"family":"Nishii","given":"Rina"},{"family":"Yang","given":"Wenjian"},{"family":"Hoshitsuki","given":"Keito"},{"family":"Singh","given":"Minu"},{"family":"Trehan","given":"Amita"},{"family":"Parish","given":"Chris"},{"family":"Smith","given":"Colton"},{"family":"Li","given":"Lie"},{"family":"Bhojwani","given":"Deepa"},{"family":"Yuen","given":"Liz Y. P."},{"family":"Li","given":"Chi-kong"},{"family":"Li","given":"Chak-ho"},{"family":"Yang","given":"Yung-li"},{"family":"Walker","given":"Gareth J."},{"family":"Goodhand","given":"James R."},{"family":"Kennedy","given":"Nicholas A."},{"family":"Klussmann","given":"Federico Antillon"},{"family":"Bhatia","given":"Smita"},{"family":"Relling","given":"Mary V."},{"family":"Kato","given":"Motohiro"},{"family":"Hori","given":"Hiroki"},{"family":"Bhatia","given":"Prateek"},{"family":"Ahmad","given":"Tariq"},{"family":"Yeoh","given":"Allen E. J."},{"family":"Stenmark","given":"Pål"},{"family":"Fowler","given":"Douglas M."},{"family":"Yang","given":"Jun J."}],"issued":{"date-parts":[["2020",3,10]]}}}],"schema":"https://github.com/citation-style-language/schema/raw/master/csl-citation.json"} </w:instrText>
            </w:r>
            <w:r w:rsidRPr="00DE40D1">
              <w:fldChar w:fldCharType="separate"/>
            </w:r>
            <w:r w:rsidRPr="00DE40D1">
              <w:rPr>
                <w:rFonts w:ascii="Calibri" w:hAnsi="Calibri" w:cs="Calibri"/>
                <w:szCs w:val="24"/>
              </w:rPr>
              <w:t xml:space="preserve">(Suiter </w:t>
            </w:r>
            <w:r w:rsidRPr="00DE40D1">
              <w:rPr>
                <w:rFonts w:ascii="Calibri" w:hAnsi="Calibri" w:cs="Calibri"/>
                <w:i/>
                <w:iCs/>
                <w:szCs w:val="24"/>
              </w:rPr>
              <w:t>et al</w:t>
            </w:r>
            <w:r w:rsidRPr="00DE40D1">
              <w:rPr>
                <w:rFonts w:ascii="Calibri" w:hAnsi="Calibri" w:cs="Calibri"/>
                <w:szCs w:val="24"/>
              </w:rPr>
              <w:t>, 2020)</w:t>
            </w:r>
            <w:r w:rsidRPr="00DE40D1">
              <w:fldChar w:fldCharType="end"/>
            </w:r>
          </w:p>
        </w:tc>
      </w:tr>
      <w:tr w:rsidR="00DE40D1" w:rsidRPr="00DE40D1" w14:paraId="3211BC87" w14:textId="77777777" w:rsidTr="007C38FB">
        <w:tc>
          <w:tcPr>
            <w:tcW w:w="1721" w:type="dxa"/>
          </w:tcPr>
          <w:p w14:paraId="050A3FA4" w14:textId="77777777" w:rsidR="00DE40D1" w:rsidRPr="00DE40D1" w:rsidRDefault="00DE40D1" w:rsidP="00DE40D1">
            <w:r w:rsidRPr="00DE40D1">
              <w:rPr>
                <w:b/>
                <w:i/>
              </w:rPr>
              <w:t>P53</w:t>
            </w:r>
            <w:r w:rsidRPr="00DE40D1">
              <w:t>(a) (P04637)</w:t>
            </w:r>
          </w:p>
        </w:tc>
        <w:tc>
          <w:tcPr>
            <w:tcW w:w="1754" w:type="dxa"/>
          </w:tcPr>
          <w:p w14:paraId="753834B1" w14:textId="77777777" w:rsidR="00DE40D1" w:rsidRPr="00DE40D1" w:rsidRDefault="00DE40D1" w:rsidP="00DE40D1">
            <w:r w:rsidRPr="00DE40D1">
              <w:t>Growth assay in the presence of P53 agonists</w:t>
            </w:r>
          </w:p>
        </w:tc>
        <w:tc>
          <w:tcPr>
            <w:tcW w:w="2062" w:type="dxa"/>
          </w:tcPr>
          <w:p w14:paraId="084A5A66" w14:textId="77777777" w:rsidR="00DE40D1" w:rsidRPr="00DE40D1" w:rsidRDefault="00DE40D1" w:rsidP="00DE40D1">
            <w:r w:rsidRPr="00DE40D1">
              <w:t>N/A</w:t>
            </w:r>
          </w:p>
        </w:tc>
        <w:tc>
          <w:tcPr>
            <w:tcW w:w="1740" w:type="dxa"/>
          </w:tcPr>
          <w:p w14:paraId="277AA458" w14:textId="77777777" w:rsidR="00DE40D1" w:rsidRPr="00DE40D1" w:rsidRDefault="00DE40D1" w:rsidP="00DE40D1">
            <w:r w:rsidRPr="00DE40D1">
              <w:t>N/A</w:t>
            </w:r>
          </w:p>
        </w:tc>
        <w:tc>
          <w:tcPr>
            <w:tcW w:w="1739" w:type="dxa"/>
          </w:tcPr>
          <w:p w14:paraId="26FF7AAB" w14:textId="77777777" w:rsidR="00DE40D1" w:rsidRPr="00DE40D1" w:rsidRDefault="00DE40D1" w:rsidP="00DE40D1">
            <w:r w:rsidRPr="00DE40D1">
              <w:fldChar w:fldCharType="begin"/>
            </w:r>
            <w:r w:rsidRPr="00DE40D1">
              <w:instrText xml:space="preserve"> ADDIN ZOTERO_ITEM CSL_CITATION {"citationID":"1aRiUN8r","properties":{"formattedCitation":"(Giacomelli {\\i{}et al}, 2018)","plainCitation":"(Giacomelli et al, 2018)","noteIndex":0},"citationItems":[{"id":145,"uris":["http://zotero.org/users/local/fXdzxoIk/items/J5FX9X4A"],"itemData":{"id":145,"type":"article-journal","abstract":"Large-scale loss-of-function screens and TP53 saturation mutagenesis screens in human cancer cell lines suggest that mutational processes combine with phenotypic selection to shape the landscape of somatic mutations at the TP53 locus.","container-title":"Nature Genetics","DOI":"10.1038/s41588-018-0204-y","ISSN":"1546-1718","issue":"10","journalAbbreviation":"Nat. Genet.","language":"En","license":"2018 The Author(s), under exclusive licence to Springer Nature America, Inc.","page":"1381","source":"www.nature.com","title":"Mutational processes shape the landscape of TP53 mutations in human cancer","volume":"50","author":[{"family":"Giacomelli","given":"Andrew O."},{"family":"Yang","given":"Xiaoping"},{"family":"Lintner","given":"Robert E."},{"family":"McFarland","given":"James M."},{"family":"Duby","given":"Marc"},{"family":"Kim","given":"Jaegil"},{"family":"Howard","given":"Thomas P."},{"family":"Takeda","given":"David Y."},{"family":"Ly","given":"Seav Huong"},{"family":"Kim","given":"Eejung"},{"family":"Gannon","given":"Hugh S."},{"family":"Hurhula","given":"Brian"},{"family":"Sharpe","given":"Ted"},{"family":"Goodale","given":"Amy"},{"family":"Fritchman","given":"Briana"},{"family":"Steelman","given":"Scott"},{"family":"Vazquez","given":"Francisca"},{"family":"Tsherniak","given":"Aviad"},{"family":"Aguirre","given":"Andrew J."},{"family":"Doench","given":"John G."},{"family":"Piccioni","given":"Federica"},{"family":"Roberts","given":"Charles W. M."},{"family":"Meyerson","given":"Matthew"},{"family":"Getz","given":"Gad"},{"family":"Johannessen","given":"Cory M."},{"family":"Root","given":"David E."},{"family":"Hahn","given":"William C."}],"issued":{"date-parts":[["2018",10]]}}}],"schema":"https://github.com/citation-style-language/schema/raw/master/csl-citation.json"} </w:instrText>
            </w:r>
            <w:r w:rsidRPr="00DE40D1">
              <w:fldChar w:fldCharType="separate"/>
            </w:r>
            <w:r w:rsidRPr="00DE40D1">
              <w:rPr>
                <w:rFonts w:ascii="Calibri" w:hAnsi="Calibri" w:cs="Calibri"/>
                <w:szCs w:val="24"/>
              </w:rPr>
              <w:t xml:space="preserve">(Giacomelli </w:t>
            </w:r>
            <w:r w:rsidRPr="00DE40D1">
              <w:rPr>
                <w:rFonts w:ascii="Calibri" w:hAnsi="Calibri" w:cs="Calibri"/>
                <w:i/>
                <w:iCs/>
                <w:szCs w:val="24"/>
              </w:rPr>
              <w:t>et al</w:t>
            </w:r>
            <w:r w:rsidRPr="00DE40D1">
              <w:rPr>
                <w:rFonts w:ascii="Calibri" w:hAnsi="Calibri" w:cs="Calibri"/>
                <w:szCs w:val="24"/>
              </w:rPr>
              <w:t>, 2018)</w:t>
            </w:r>
            <w:r w:rsidRPr="00DE40D1">
              <w:fldChar w:fldCharType="end"/>
            </w:r>
          </w:p>
        </w:tc>
      </w:tr>
      <w:tr w:rsidR="00DE40D1" w:rsidRPr="00DE40D1" w14:paraId="7CAF83A6" w14:textId="77777777" w:rsidTr="007C38FB">
        <w:tc>
          <w:tcPr>
            <w:tcW w:w="1721" w:type="dxa"/>
          </w:tcPr>
          <w:p w14:paraId="6D7A48AD" w14:textId="77777777" w:rsidR="00DE40D1" w:rsidRPr="00DE40D1" w:rsidRDefault="00DE40D1" w:rsidP="00DE40D1">
            <w:r w:rsidRPr="00DE40D1">
              <w:rPr>
                <w:b/>
                <w:i/>
              </w:rPr>
              <w:t>P53</w:t>
            </w:r>
            <w:r w:rsidRPr="00DE40D1">
              <w:t>(b) (P04637)</w:t>
            </w:r>
          </w:p>
        </w:tc>
        <w:tc>
          <w:tcPr>
            <w:tcW w:w="1754" w:type="dxa"/>
          </w:tcPr>
          <w:p w14:paraId="0743198D" w14:textId="77777777" w:rsidR="00DE40D1" w:rsidRPr="00DE40D1" w:rsidRDefault="00DE40D1" w:rsidP="00DE40D1">
            <w:r w:rsidRPr="00DE40D1">
              <w:t xml:space="preserve">Growth rate assay in human cells </w:t>
            </w:r>
          </w:p>
        </w:tc>
        <w:tc>
          <w:tcPr>
            <w:tcW w:w="2062" w:type="dxa"/>
          </w:tcPr>
          <w:p w14:paraId="3437DDB6" w14:textId="77777777" w:rsidR="00DE40D1" w:rsidRPr="00DE40D1" w:rsidRDefault="00DE40D1" w:rsidP="00DE40D1">
            <w:r w:rsidRPr="00DE40D1">
              <w:t>DMS_b</w:t>
            </w:r>
          </w:p>
        </w:tc>
        <w:tc>
          <w:tcPr>
            <w:tcW w:w="1740" w:type="dxa"/>
          </w:tcPr>
          <w:p w14:paraId="5E415E64" w14:textId="77777777" w:rsidR="00DE40D1" w:rsidRPr="00DE40D1" w:rsidRDefault="00DE40D1" w:rsidP="00DE40D1">
            <w:r w:rsidRPr="00DE40D1">
              <w:t>39.37</w:t>
            </w:r>
          </w:p>
        </w:tc>
        <w:tc>
          <w:tcPr>
            <w:tcW w:w="1739" w:type="dxa"/>
          </w:tcPr>
          <w:p w14:paraId="0CCF02EA" w14:textId="77777777" w:rsidR="00DE40D1" w:rsidRPr="00DE40D1" w:rsidRDefault="00DE40D1" w:rsidP="00DE40D1">
            <w:r w:rsidRPr="00DE40D1">
              <w:fldChar w:fldCharType="begin"/>
            </w:r>
            <w:r w:rsidRPr="00DE40D1">
              <w:instrText xml:space="preserve"> ADDIN ZOTERO_ITEM CSL_CITATION {"citationID":"JlJ9wXrN","properties":{"formattedCitation":"(Kotler {\\i{}et al}, 2018)","plainCitation":"(Kotler et al, 2018)","noteIndex":0},"citationItems":[{"id":1344,"uris":["http://zotero.org/users/local/fXdzxoIk/items/J2ATSUM2"],"itemData":{"id":1344,"type":"article-journal","abstract":"The TP53 gene is frequently mutated in human cancer. Research has focused predominantly on six major \"hotspot\" codons, which account for only </w:instrText>
            </w:r>
            <w:r w:rsidRPr="00DE40D1">
              <w:rPr>
                <w:rFonts w:ascii="Cambria Math" w:hAnsi="Cambria Math" w:cs="Cambria Math"/>
              </w:rPr>
              <w:instrText>∼</w:instrText>
            </w:r>
            <w:r w:rsidRPr="00DE40D1">
              <w:instrText xml:space="preserve">30% of cancer-associated p53 mutations. To comprehensively characterize the consequences of the p53 mutation spectrum, we created a synthetically designed library and measured the functional impact of </w:instrText>
            </w:r>
            <w:r w:rsidRPr="00DE40D1">
              <w:rPr>
                <w:rFonts w:ascii="Cambria Math" w:hAnsi="Cambria Math" w:cs="Cambria Math"/>
              </w:rPr>
              <w:instrText>∼</w:instrText>
            </w:r>
            <w:r w:rsidRPr="00DE40D1">
              <w:instrText>10,000 DNA-binding domain (DBD) p53 variants in human cells in culture and in</w:instrText>
            </w:r>
            <w:r w:rsidRPr="00DE40D1">
              <w:rPr>
                <w:rFonts w:ascii="Calibri" w:hAnsi="Calibri" w:cs="Calibri"/>
              </w:rPr>
              <w:instrText> </w:instrText>
            </w:r>
            <w:r w:rsidRPr="00DE40D1">
              <w:instrText xml:space="preserve">vivo. Our results highlight the differential outcome of distinct p53 mutations in human patients and elucidate the selective pressure driving p53 conservation throughout evolution. Furthermore, while loss of anti-proliferative functionality largely correlates with the occurrence of cancer-associated p53 mutations, we observe that selective gain-of-function may further favor particular mutants in vivo. Finally, when combined with additional acquired p53 mutations, seemingly neutral TP53 SNPs may modulate phenotypic outcome and, presumably, tumor progression.","container-title":"Molecular Cell","DOI":"10.1016/j.molcel.2018.06.012","ISSN":"1097-4164","issue":"1","journalAbbreviation":"Mol Cell","language":"eng","note":"PMID: 29979965","page":"178-190.e8","source":"PubMed","title":"A Systematic p53 Mutation Library Links Differential Functional Impact to Cancer Mutation Pattern and Evolutionary Conservation","volume":"71","author":[{"family":"Kotler","given":"Eran"},{"family":"Shani","given":"Odem"},{"family":"Goldfeld","given":"Guy"},{"family":"Lotan-Pompan","given":"Maya"},{"family":"Tarcic","given":"Ohad"},{"family":"Gershoni","given":"Anat"},{"family":"Hopf","given":"Thomas A."},{"family":"Marks","given":"Debora S."},{"family":"Oren","given":"Moshe"},{"family":"Segal","given":"Eran"}],"issued":{"date-parts":[["2018",7,5]]}}}],"schema":"https://github.com/citation-style-language/schema/raw/master/csl-citation.json"} </w:instrText>
            </w:r>
            <w:r w:rsidRPr="00DE40D1">
              <w:fldChar w:fldCharType="separate"/>
            </w:r>
            <w:r w:rsidRPr="00DE40D1">
              <w:rPr>
                <w:rFonts w:ascii="Calibri" w:hAnsi="Calibri" w:cs="Calibri"/>
                <w:szCs w:val="24"/>
              </w:rPr>
              <w:t xml:space="preserve">(Kotler </w:t>
            </w:r>
            <w:r w:rsidRPr="00DE40D1">
              <w:rPr>
                <w:rFonts w:ascii="Calibri" w:hAnsi="Calibri" w:cs="Calibri"/>
                <w:i/>
                <w:iCs/>
                <w:szCs w:val="24"/>
              </w:rPr>
              <w:t>et al</w:t>
            </w:r>
            <w:r w:rsidRPr="00DE40D1">
              <w:rPr>
                <w:rFonts w:ascii="Calibri" w:hAnsi="Calibri" w:cs="Calibri"/>
                <w:szCs w:val="24"/>
              </w:rPr>
              <w:t>, 2018)</w:t>
            </w:r>
            <w:r w:rsidRPr="00DE40D1">
              <w:fldChar w:fldCharType="end"/>
            </w:r>
          </w:p>
        </w:tc>
      </w:tr>
      <w:tr w:rsidR="00DE40D1" w:rsidRPr="00DE40D1" w14:paraId="2CAC14A9" w14:textId="77777777" w:rsidTr="007C38FB">
        <w:tc>
          <w:tcPr>
            <w:tcW w:w="1721" w:type="dxa"/>
          </w:tcPr>
          <w:p w14:paraId="745A83CB" w14:textId="77777777" w:rsidR="00DE40D1" w:rsidRPr="00DE40D1" w:rsidRDefault="00DE40D1" w:rsidP="00DE40D1">
            <w:r w:rsidRPr="00DE40D1">
              <w:rPr>
                <w:b/>
                <w:i/>
              </w:rPr>
              <w:t>PDE3A</w:t>
            </w:r>
            <w:r w:rsidRPr="00DE40D1">
              <w:t xml:space="preserve"> (Q14432)</w:t>
            </w:r>
          </w:p>
        </w:tc>
        <w:tc>
          <w:tcPr>
            <w:tcW w:w="1754" w:type="dxa"/>
          </w:tcPr>
          <w:p w14:paraId="4F7EF2C3" w14:textId="77777777" w:rsidR="00DE40D1" w:rsidRPr="00DE40D1" w:rsidRDefault="00DE40D1" w:rsidP="00DE40D1">
            <w:r w:rsidRPr="00DE40D1">
              <w:t>DNMDP sensitivity in a glioblastoma cell line</w:t>
            </w:r>
          </w:p>
        </w:tc>
        <w:tc>
          <w:tcPr>
            <w:tcW w:w="2062" w:type="dxa"/>
          </w:tcPr>
          <w:p w14:paraId="543411F5" w14:textId="77777777" w:rsidR="00DE40D1" w:rsidRPr="00DE40D1" w:rsidRDefault="00DE40D1" w:rsidP="00DE40D1">
            <w:r w:rsidRPr="00DE40D1">
              <w:t>DMS_DNMDP_100</w:t>
            </w:r>
          </w:p>
        </w:tc>
        <w:tc>
          <w:tcPr>
            <w:tcW w:w="1740" w:type="dxa"/>
          </w:tcPr>
          <w:p w14:paraId="6CA1CC27" w14:textId="77777777" w:rsidR="00DE40D1" w:rsidRPr="00DE40D1" w:rsidRDefault="00DE40D1" w:rsidP="00DE40D1">
            <w:r w:rsidRPr="00DE40D1">
              <w:t>36.41</w:t>
            </w:r>
          </w:p>
        </w:tc>
        <w:tc>
          <w:tcPr>
            <w:tcW w:w="1739" w:type="dxa"/>
          </w:tcPr>
          <w:p w14:paraId="1621E071" w14:textId="77777777" w:rsidR="00DE40D1" w:rsidRPr="00DE40D1" w:rsidRDefault="00DE40D1" w:rsidP="00DE40D1">
            <w:r w:rsidRPr="00DE40D1">
              <w:fldChar w:fldCharType="begin"/>
            </w:r>
            <w:r w:rsidRPr="00DE40D1">
              <w:instrText xml:space="preserve"> ADDIN ZOTERO_ITEM CSL_CITATION {"citationID":"RBtsllso","properties":{"formattedCitation":"(Garvie {\\i{}et al}, 2021)","plainCitation":"(Garvie et al, 2021)","noteIndex":0},"citationItems":[{"id":1150,"uris":["http://zotero.org/users/local/fXdzxoIk/items/PXWFRF7Q"],"itemData":{"id":1150,"type":"article-journal","abstract":"DNMDP and related compounds, or velcrins, induce complex formation between the phosphodiesterase PDE3A and the SLFN12 protein, leading to a cytotoxic response in cancer cells that express elevated levels of both proteins. The mechanisms by which velcrins induce complex formation, and how the PDE3A-SLFN12 complex causes cancer cell death, are not fully understood. Here, we show that PDE3A and SLFN12 form a heterotetramer stabilized by binding of DNMDP. Interactions between the C-terminal alpha helix of SLFN12 and residues near the active site of PDE3A are required for complex formation, and are further stabilized by interactions between SLFN12 and DNMDP. Moreover, we demonstrate that SLFN12 is an RNase, that PDE3A binding increases SLFN12 RNase activity, and that SLFN12 RNase activity is required for DNMDP response. This new mechanistic understanding will facilitate development of velcrin compounds into new cancer therapies.","container-title":"Nature Communications","DOI":"10.1038/s41467-021-24495-w","ISSN":"2041-1723","issue":"1","journalAbbreviation":"Nat. Commun.","language":"en","license":"2021 The Author(s)","note":"number: 1\npublisher: Nature Publishing Group","page":"4375","source":"www.nature.com","title":"Structure of PDE3A-SLFN12 complex reveals requirements for activation of SLFN12 RNase","volume":"12","author":[{"family":"Garvie","given":"Colin W."},{"family":"Wu","given":"Xiaoyun"},{"family":"Papanastasiou","given":"Malvina"},{"family":"Lee","given":"Sooncheol"},{"family":"Fuller","given":"James"},{"family":"Schnitzler","given":"Gavin R."},{"family":"Horner","given":"Steven W."},{"family":"Baker","given":"Andrew"},{"family":"Zhang","given":"Terry"},{"family":"Mullahoo","given":"James P."},{"family":"Westlake","given":"Lindsay"},{"family":"Hoyt","given":"Stephanie H."},{"family":"Toetzl","given":"Marcus"},{"family":"Ranaghan","given":"Matthew J."},{"family":"Waal","given":"Luc","non-dropping-particle":"de"},{"family":"McGaunn","given":"Joseph"},{"family":"Kaplan","given":"Bethany"},{"family":"Piccioni","given":"Federica"},{"family":"Yang","given":"Xiaoping"},{"family":"Lange","given":"Martin"},{"family":"Tersteegen","given":"Adrian"},{"family":"Raymond","given":"Donald"},{"family":"Lewis","given":"Timothy A."},{"family":"Carr","given":"Steven A."},{"family":"Cherniack","given":"Andrew D."},{"family":"Lemke","given":"Christopher T."},{"family":"Meyerson","given":"Matthew"},{"family":"Greulich","given":"Heidi"}],"issued":{"date-parts":[["2021",7,16]]}}}],"schema":"https://github.com/citation-style-language/schema/raw/master/csl-citation.json"} </w:instrText>
            </w:r>
            <w:r w:rsidRPr="00DE40D1">
              <w:fldChar w:fldCharType="separate"/>
            </w:r>
            <w:r w:rsidRPr="00DE40D1">
              <w:rPr>
                <w:rFonts w:ascii="Calibri" w:hAnsi="Calibri" w:cs="Calibri"/>
                <w:szCs w:val="24"/>
              </w:rPr>
              <w:t xml:space="preserve">(Garvie </w:t>
            </w:r>
            <w:r w:rsidRPr="00DE40D1">
              <w:rPr>
                <w:rFonts w:ascii="Calibri" w:hAnsi="Calibri" w:cs="Calibri"/>
                <w:i/>
                <w:iCs/>
                <w:szCs w:val="24"/>
              </w:rPr>
              <w:t>et al</w:t>
            </w:r>
            <w:r w:rsidRPr="00DE40D1">
              <w:rPr>
                <w:rFonts w:ascii="Calibri" w:hAnsi="Calibri" w:cs="Calibri"/>
                <w:szCs w:val="24"/>
              </w:rPr>
              <w:t>, 2021)</w:t>
            </w:r>
            <w:r w:rsidRPr="00DE40D1">
              <w:fldChar w:fldCharType="end"/>
            </w:r>
          </w:p>
        </w:tc>
      </w:tr>
      <w:tr w:rsidR="00DE40D1" w:rsidRPr="00DE40D1" w14:paraId="086D9CD0" w14:textId="77777777" w:rsidTr="007C38FB">
        <w:tc>
          <w:tcPr>
            <w:tcW w:w="1721" w:type="dxa"/>
          </w:tcPr>
          <w:p w14:paraId="60A1676B" w14:textId="77777777" w:rsidR="00DE40D1" w:rsidRPr="00DE40D1" w:rsidRDefault="00DE40D1" w:rsidP="00DE40D1">
            <w:r w:rsidRPr="00DE40D1">
              <w:rPr>
                <w:b/>
                <w:i/>
              </w:rPr>
              <w:t>SNCA</w:t>
            </w:r>
            <w:r w:rsidRPr="00DE40D1">
              <w:t xml:space="preserve"> (P37840)</w:t>
            </w:r>
          </w:p>
        </w:tc>
        <w:tc>
          <w:tcPr>
            <w:tcW w:w="1754" w:type="dxa"/>
          </w:tcPr>
          <w:p w14:paraId="2B094D69" w14:textId="77777777" w:rsidR="00DE40D1" w:rsidRPr="00DE40D1" w:rsidRDefault="00DE40D1" w:rsidP="00DE40D1">
            <w:r w:rsidRPr="00DE40D1">
              <w:t>Yeast growth rate hindered by toxic aggregates (reverse survival)</w:t>
            </w:r>
          </w:p>
        </w:tc>
        <w:tc>
          <w:tcPr>
            <w:tcW w:w="2062" w:type="dxa"/>
          </w:tcPr>
          <w:p w14:paraId="1EEB914F" w14:textId="77777777" w:rsidR="00DE40D1" w:rsidRPr="00DE40D1" w:rsidRDefault="00DE40D1" w:rsidP="00DE40D1">
            <w:r w:rsidRPr="00DE40D1">
              <w:t>DMS_Miconazole</w:t>
            </w:r>
          </w:p>
        </w:tc>
        <w:tc>
          <w:tcPr>
            <w:tcW w:w="1740" w:type="dxa"/>
          </w:tcPr>
          <w:p w14:paraId="4E324736" w14:textId="77777777" w:rsidR="00DE40D1" w:rsidRPr="00DE40D1" w:rsidRDefault="00DE40D1" w:rsidP="00DE40D1">
            <w:r w:rsidRPr="00DE40D1">
              <w:t>97.26</w:t>
            </w:r>
          </w:p>
        </w:tc>
        <w:tc>
          <w:tcPr>
            <w:tcW w:w="1739" w:type="dxa"/>
          </w:tcPr>
          <w:p w14:paraId="79E2AF57" w14:textId="77777777" w:rsidR="00DE40D1" w:rsidRPr="00DE40D1" w:rsidRDefault="00DE40D1" w:rsidP="00DE40D1">
            <w:r w:rsidRPr="00DE40D1">
              <w:fldChar w:fldCharType="begin"/>
            </w:r>
            <w:r w:rsidRPr="00DE40D1">
              <w:instrText xml:space="preserve"> ADDIN ZOTERO_ITEM CSL_CITATION {"citationID":"KtXcjD1q","properties":{"formattedCitation":"(Newberry {\\i{}et al}, 2020)","plainCitation":"(Newberry et al, 2020)","noteIndex":0},"citationItems":[{"id":1121,"uris":["http://zotero.org/users/local/fXdzxoIk/items/UZVMABBX"],"itemData":{"id":1121,"type":"article-journal","abstract":"Defining the biologically active structures of proteins in their cellular environments remains challenging for proteins with multiple conformations and functions, where only a minor conformer might be associated with a given function. Here, we use deep mutational scanning to probe the structure and dynamics of α-synuclein, a protein known to adopt disordered, helical, and amyloid conformations. We examined the effects of 2,600 single-residue substitutions on the ability of intracellularly expressed α-synuclein to slow the growth of yeast. Computational analysis of the data showed that the conformation responsible for this phenotype is a long, uninterrupted, amphiphilic helix with increasing dynamics toward the C terminus. Deep mutational scanning can therefore determine biologically active conformations in cellular environments, even for a highly dynamic multi-conformational protein.","container-title":"Nature chemical biology","DOI":"10.1038/s41589-020-0480-6","ISSN":"1552-4450","issue":"6","journalAbbreviation":"Nat. Chem. Biol.","note":"PMID: 32152544\nPMCID: PMC7339969","page":"653-659","source":"PubMed Central","title":"Deep Mutational Scanning Reveals the Structural Basis for α-Synuclein Activity","volume":"16","author":[{"family":"Newberry","given":"Robert W."},{"family":"Leong","given":"Jaime T."},{"family":"Chow","given":"Eric D."},{"family":"Kampmann","given":"Martin"},{"family":"DeGrado","given":"William F."}],"issued":{"date-parts":[["2020",6]]}}}],"schema":"https://github.com/citation-style-language/schema/raw/master/csl-citation.json"} </w:instrText>
            </w:r>
            <w:r w:rsidRPr="00DE40D1">
              <w:fldChar w:fldCharType="separate"/>
            </w:r>
            <w:r w:rsidRPr="00DE40D1">
              <w:rPr>
                <w:rFonts w:ascii="Calibri" w:hAnsi="Calibri" w:cs="Calibri"/>
                <w:szCs w:val="24"/>
              </w:rPr>
              <w:t xml:space="preserve">(Newberry </w:t>
            </w:r>
            <w:r w:rsidRPr="00DE40D1">
              <w:rPr>
                <w:rFonts w:ascii="Calibri" w:hAnsi="Calibri" w:cs="Calibri"/>
                <w:i/>
                <w:iCs/>
                <w:szCs w:val="24"/>
              </w:rPr>
              <w:t>et al</w:t>
            </w:r>
            <w:r w:rsidRPr="00DE40D1">
              <w:rPr>
                <w:rFonts w:ascii="Calibri" w:hAnsi="Calibri" w:cs="Calibri"/>
                <w:szCs w:val="24"/>
              </w:rPr>
              <w:t>, 2020)</w:t>
            </w:r>
            <w:r w:rsidRPr="00DE40D1">
              <w:fldChar w:fldCharType="end"/>
            </w:r>
          </w:p>
        </w:tc>
      </w:tr>
      <w:tr w:rsidR="00DE40D1" w:rsidRPr="00DE40D1" w14:paraId="48796BC6" w14:textId="77777777" w:rsidTr="007C38FB">
        <w:tc>
          <w:tcPr>
            <w:tcW w:w="1721" w:type="dxa"/>
          </w:tcPr>
          <w:p w14:paraId="702582F2" w14:textId="77777777" w:rsidR="00DE40D1" w:rsidRPr="00DE40D1" w:rsidRDefault="00DE40D1" w:rsidP="00DE40D1">
            <w:r w:rsidRPr="00DE40D1">
              <w:rPr>
                <w:b/>
                <w:i/>
              </w:rPr>
              <w:t>CCR5</w:t>
            </w:r>
            <w:r w:rsidRPr="00DE40D1">
              <w:t xml:space="preserve"> (P51681)</w:t>
            </w:r>
          </w:p>
        </w:tc>
        <w:tc>
          <w:tcPr>
            <w:tcW w:w="1754" w:type="dxa"/>
          </w:tcPr>
          <w:p w14:paraId="6A1D5E45" w14:textId="77777777" w:rsidR="00DE40D1" w:rsidRPr="00DE40D1" w:rsidRDefault="00DE40D1" w:rsidP="00DE40D1">
            <w:r w:rsidRPr="00DE40D1">
              <w:t>Antibody binding</w:t>
            </w:r>
          </w:p>
        </w:tc>
        <w:tc>
          <w:tcPr>
            <w:tcW w:w="2062" w:type="dxa"/>
          </w:tcPr>
          <w:p w14:paraId="03B66DB0" w14:textId="77777777" w:rsidR="00DE40D1" w:rsidRPr="00DE40D1" w:rsidRDefault="00DE40D1" w:rsidP="00DE40D1">
            <w:r w:rsidRPr="00DE40D1">
              <w:t>DMS_Ab2D7</w:t>
            </w:r>
          </w:p>
        </w:tc>
        <w:tc>
          <w:tcPr>
            <w:tcW w:w="1740" w:type="dxa"/>
          </w:tcPr>
          <w:p w14:paraId="089AACA4" w14:textId="77777777" w:rsidR="00DE40D1" w:rsidRPr="00DE40D1" w:rsidRDefault="00DE40D1" w:rsidP="00DE40D1">
            <w:r w:rsidRPr="00DE40D1">
              <w:t>97.97</w:t>
            </w:r>
          </w:p>
        </w:tc>
        <w:tc>
          <w:tcPr>
            <w:tcW w:w="1739" w:type="dxa"/>
            <w:vMerge w:val="restart"/>
          </w:tcPr>
          <w:p w14:paraId="30DDCFCB" w14:textId="77777777" w:rsidR="00DE40D1" w:rsidRPr="00DE40D1" w:rsidRDefault="00DE40D1" w:rsidP="00DE40D1">
            <w:r w:rsidRPr="00DE40D1">
              <w:fldChar w:fldCharType="begin"/>
            </w:r>
            <w:r w:rsidRPr="00DE40D1">
              <w:instrText xml:space="preserve"> ADDIN ZOTERO_ITEM CSL_CITATION {"citationID":"6ewnn8DL","properties":{"formattedCitation":"(Heredia {\\i{}et al}, 2018)","plainCitation":"(Heredia et al, 2018)","noteIndex":0},"citationItems":[{"id":598,"uris":["http://zotero.org/users/local/fXdzxoIk/items/WC639W2M"],"itemData":{"id":598,"type":"article-journal","abstract":"Chemokine receptors CXCR4 and CCR5 regulate WBC trafficking and are engaged by the HIV-1 envelope glycoprotein gp120 during infection. We combine a selection of human CXCR4 and CCR5 libraries comprising nearly all of </w:instrText>
            </w:r>
            <w:r w:rsidRPr="00DE40D1">
              <w:rPr>
                <w:rFonts w:ascii="Cambria Math" w:hAnsi="Cambria Math" w:cs="Cambria Math"/>
              </w:rPr>
              <w:instrText>∼</w:instrText>
            </w:r>
            <w:r w:rsidRPr="00DE40D1">
              <w:instrText xml:space="preserve">7000 single amino acid substitutions with deep sequencing to define sequence-activity landscapes for surface expression and ligand interactions. After consideration of sequence constraints for surface expression, known interaction sites with HIV-1–blocking Abs were appropriately identified as conserved residues following library sorting for Ab binding, validating the use of deep mutational scanning to map functional interaction sites in G protein–coupled receptors. Chemokine CXCL12 was found to interact with residues extending asymmetrically into the CXCR4 ligand-binding cavity, similar to the binding surface of CXCR4 recognized by an antagonistic viral chemokine previously observed crystallographically. CXCR4 mutations distal from the chemokine binding site were identified that enhance chemokine recognition. This included disruptive mutations in the G protein–coupling site that diminished calcium mobilization, as well as conservative mutations to a membrane-exposed site (CXCR4 residues H792.45 and W1614.50) that increased ligand binding without loss of signaling. Compared with CXCR4–CXCL12 interactions, CCR5 residues conserved for gp120 (HIV-1 BaL strain) interactions map to a more expansive surface, mimicking how the cognate chemokine CCL5 makes contacts across the entire CCR5 binding cavity. Acidic substitutions in the CCR5 N terminus and extracellular loops enhanced gp120 binding. This study demonstrates how comprehensive mutational scanning can define functional interaction sites on receptors, and novel mutations that enhance receptor activities can be found simultaneously.","container-title":"The Journal of Immunology","DOI":"10.4049/jimmunol.1800343","ISSN":"0022-1767, 1550-6606","issue":"11","journalAbbreviation":"J. Immunol.","language":"en","license":"Copyright © 2018 by The American Association of Immunologists, Inc.","note":"publisher: American Association of Immunologists\nsection: MOLECULAR AND STRUCTURAL IMMUNOLOGY\nPMID: 29678950","page":"3825-3839","source":"www.jimmunol.org","title":"Mapping Interaction Sites on Human Chemokine Receptors by Deep Mutational Scanning","volume":"200","author":[{"family":"Heredia","given":"Jeremiah D."},{"family":"Park","given":"Jihye"},{"family":"Brubaker","given":"Riley J."},{"family":"Szymanski","given":"Steven K."},{"family":"Gill","given":"Kevin S."},{"family":"Procko","given":"Erik"}],"issued":{"date-parts":[["2018",6,1]]}}}],"schema":"https://github.com/citation-style-language/schema/raw/master/csl-citation.json"} </w:instrText>
            </w:r>
            <w:r w:rsidRPr="00DE40D1">
              <w:fldChar w:fldCharType="separate"/>
            </w:r>
            <w:r w:rsidRPr="00DE40D1">
              <w:rPr>
                <w:rFonts w:ascii="Calibri" w:hAnsi="Calibri" w:cs="Calibri"/>
                <w:szCs w:val="24"/>
              </w:rPr>
              <w:t xml:space="preserve">(Heredia </w:t>
            </w:r>
            <w:r w:rsidRPr="00DE40D1">
              <w:rPr>
                <w:rFonts w:ascii="Calibri" w:hAnsi="Calibri" w:cs="Calibri"/>
                <w:i/>
                <w:iCs/>
                <w:szCs w:val="24"/>
              </w:rPr>
              <w:t>et al</w:t>
            </w:r>
            <w:r w:rsidRPr="00DE40D1">
              <w:rPr>
                <w:rFonts w:ascii="Calibri" w:hAnsi="Calibri" w:cs="Calibri"/>
                <w:szCs w:val="24"/>
              </w:rPr>
              <w:t>, 2018)</w:t>
            </w:r>
            <w:r w:rsidRPr="00DE40D1">
              <w:fldChar w:fldCharType="end"/>
            </w:r>
          </w:p>
        </w:tc>
      </w:tr>
      <w:tr w:rsidR="00DE40D1" w:rsidRPr="00DE40D1" w14:paraId="6F53F4E3" w14:textId="77777777" w:rsidTr="007C38FB">
        <w:tc>
          <w:tcPr>
            <w:tcW w:w="1721" w:type="dxa"/>
          </w:tcPr>
          <w:p w14:paraId="75285A47" w14:textId="77777777" w:rsidR="00DE40D1" w:rsidRPr="00DE40D1" w:rsidRDefault="00DE40D1" w:rsidP="00DE40D1">
            <w:r w:rsidRPr="00DE40D1">
              <w:rPr>
                <w:b/>
                <w:i/>
              </w:rPr>
              <w:lastRenderedPageBreak/>
              <w:t>CXCR4</w:t>
            </w:r>
            <w:r w:rsidRPr="00DE40D1">
              <w:t xml:space="preserve"> (P61073)</w:t>
            </w:r>
          </w:p>
        </w:tc>
        <w:tc>
          <w:tcPr>
            <w:tcW w:w="1754" w:type="dxa"/>
          </w:tcPr>
          <w:p w14:paraId="281C3D58" w14:textId="77777777" w:rsidR="00DE40D1" w:rsidRPr="00DE40D1" w:rsidRDefault="00DE40D1" w:rsidP="00DE40D1">
            <w:r w:rsidRPr="00DE40D1">
              <w:t>Surface expression levels in human cells</w:t>
            </w:r>
          </w:p>
        </w:tc>
        <w:tc>
          <w:tcPr>
            <w:tcW w:w="2062" w:type="dxa"/>
          </w:tcPr>
          <w:p w14:paraId="5E6A3401" w14:textId="77777777" w:rsidR="00DE40D1" w:rsidRPr="00DE40D1" w:rsidRDefault="00DE40D1" w:rsidP="00DE40D1">
            <w:r w:rsidRPr="00DE40D1">
              <w:t>DMS_expression</w:t>
            </w:r>
          </w:p>
        </w:tc>
        <w:tc>
          <w:tcPr>
            <w:tcW w:w="1740" w:type="dxa"/>
          </w:tcPr>
          <w:p w14:paraId="2B59FECE" w14:textId="77777777" w:rsidR="00DE40D1" w:rsidRPr="00DE40D1" w:rsidRDefault="00DE40D1" w:rsidP="00DE40D1">
            <w:r w:rsidRPr="00DE40D1">
              <w:t>99.36</w:t>
            </w:r>
          </w:p>
        </w:tc>
        <w:tc>
          <w:tcPr>
            <w:tcW w:w="1739" w:type="dxa"/>
            <w:vMerge/>
          </w:tcPr>
          <w:p w14:paraId="3690E2A7" w14:textId="77777777" w:rsidR="00DE40D1" w:rsidRPr="00DE40D1" w:rsidRDefault="00DE40D1" w:rsidP="00DE40D1"/>
        </w:tc>
      </w:tr>
      <w:tr w:rsidR="00DE40D1" w:rsidRPr="00DE40D1" w14:paraId="3A17A729" w14:textId="77777777" w:rsidTr="007C38FB">
        <w:tc>
          <w:tcPr>
            <w:tcW w:w="1721" w:type="dxa"/>
          </w:tcPr>
          <w:p w14:paraId="02E6889A" w14:textId="77777777" w:rsidR="00DE40D1" w:rsidRPr="00DE40D1" w:rsidRDefault="00DE40D1" w:rsidP="00DE40D1">
            <w:r w:rsidRPr="00DE40D1">
              <w:rPr>
                <w:b/>
                <w:i/>
              </w:rPr>
              <w:t>TPMT</w:t>
            </w:r>
            <w:r w:rsidRPr="00DE40D1">
              <w:t xml:space="preserve"> (P51580)</w:t>
            </w:r>
          </w:p>
        </w:tc>
        <w:tc>
          <w:tcPr>
            <w:tcW w:w="1754" w:type="dxa"/>
            <w:vMerge w:val="restart"/>
          </w:tcPr>
          <w:p w14:paraId="61133138" w14:textId="77777777" w:rsidR="00DE40D1" w:rsidRPr="00DE40D1" w:rsidRDefault="00DE40D1" w:rsidP="00DE40D1">
            <w:r w:rsidRPr="00DE40D1">
              <w:t>Protein stability assessed by FACs (VAMP-seq)</w:t>
            </w:r>
          </w:p>
        </w:tc>
        <w:tc>
          <w:tcPr>
            <w:tcW w:w="2062" w:type="dxa"/>
          </w:tcPr>
          <w:p w14:paraId="385410CE" w14:textId="77777777" w:rsidR="00DE40D1" w:rsidRPr="00DE40D1" w:rsidRDefault="00DE40D1" w:rsidP="00DE40D1">
            <w:r w:rsidRPr="00DE40D1">
              <w:t>DMS</w:t>
            </w:r>
          </w:p>
        </w:tc>
        <w:tc>
          <w:tcPr>
            <w:tcW w:w="1740" w:type="dxa"/>
          </w:tcPr>
          <w:p w14:paraId="0C15890E" w14:textId="77777777" w:rsidR="00DE40D1" w:rsidRPr="00DE40D1" w:rsidRDefault="00DE40D1" w:rsidP="00DE40D1">
            <w:r w:rsidRPr="00DE40D1">
              <w:t>79.25</w:t>
            </w:r>
          </w:p>
        </w:tc>
        <w:tc>
          <w:tcPr>
            <w:tcW w:w="1739" w:type="dxa"/>
            <w:vMerge w:val="restart"/>
          </w:tcPr>
          <w:p w14:paraId="313785E0" w14:textId="77777777" w:rsidR="00DE40D1" w:rsidRPr="00DE40D1" w:rsidRDefault="00DE40D1" w:rsidP="00DE40D1">
            <w:r w:rsidRPr="00DE40D1">
              <w:fldChar w:fldCharType="begin"/>
            </w:r>
            <w:r w:rsidRPr="00DE40D1">
              <w:instrText xml:space="preserve"> ADDIN ZOTERO_ITEM CSL_CITATION {"citationID":"tsdC6nCI","properties":{"formattedCitation":"(Matreyek {\\i{}et al}, 2018)","plainCitation":"(Matreyek et al, 2018)","noteIndex":0},"citationItems":[{"id":203,"uris":["http://zotero.org/users/local/fXdzxoIk/items/P6X97T8F"],"itemData":{"id":203,"type":"article-journal","abstract":"VAMP-seq is a scalable assay that measures the effects of missense variants on intracellular protein abundance. Applying VAMP-seq to thousands of PTEN and TPMT variants helps to classify them as pathogenic or benign.","container-title":"Nature Genetics","DOI":"10.1038/s41588-018-0122-z","ISSN":"1546-1718","issue":"6","journalAbbreviation":"Nat. Genet.","language":"En","license":"2018 The Author(s)","page":"874","source":"www.nature.com","title":"Multiplex assessment of protein variant abundance by massively parallel sequencing","volume":"50","author":[{"family":"Matreyek","given":"Kenneth A."},{"family":"Starita","given":"Lea M."},{"family":"Stephany","given":"Jason J."},{"family":"Martin","given":"Beth"},{"family":"Chiasson","given":"Melissa A."},{"family":"Gray","given":"Vanessa E."},{"family":"Kircher","given":"Martin"},{"family":"Khechaduri","given":"Arineh"},{"family":"Dines","given":"Jennifer N."},{"family":"Hause","given":"Ronald J."},{"family":"Bhatia","given":"Smita"},{"family":"Evans","given":"William E."},{"family":"Relling","given":"Mary V."},{"family":"Yang","given":"Wenjian"},{"family":"Shendure","given":"Jay"},{"family":"Fowler","given":"Douglas M."}],"issued":{"date-parts":[["2018",6]]}}}],"schema":"https://github.com/citation-style-language/schema/raw/master/csl-citation.json"} </w:instrText>
            </w:r>
            <w:r w:rsidRPr="00DE40D1">
              <w:fldChar w:fldCharType="separate"/>
            </w:r>
            <w:r w:rsidRPr="00DE40D1">
              <w:rPr>
                <w:rFonts w:ascii="Calibri" w:hAnsi="Calibri" w:cs="Calibri"/>
                <w:szCs w:val="24"/>
              </w:rPr>
              <w:t xml:space="preserve">(Matreyek </w:t>
            </w:r>
            <w:r w:rsidRPr="00DE40D1">
              <w:rPr>
                <w:rFonts w:ascii="Calibri" w:hAnsi="Calibri" w:cs="Calibri"/>
                <w:i/>
                <w:iCs/>
                <w:szCs w:val="24"/>
              </w:rPr>
              <w:t>et al</w:t>
            </w:r>
            <w:r w:rsidRPr="00DE40D1">
              <w:rPr>
                <w:rFonts w:ascii="Calibri" w:hAnsi="Calibri" w:cs="Calibri"/>
                <w:szCs w:val="24"/>
              </w:rPr>
              <w:t>, 2018)</w:t>
            </w:r>
            <w:r w:rsidRPr="00DE40D1">
              <w:fldChar w:fldCharType="end"/>
            </w:r>
          </w:p>
        </w:tc>
      </w:tr>
      <w:tr w:rsidR="00DE40D1" w:rsidRPr="00DE40D1" w14:paraId="1223981C" w14:textId="77777777" w:rsidTr="007C38FB">
        <w:tc>
          <w:tcPr>
            <w:tcW w:w="1721" w:type="dxa"/>
          </w:tcPr>
          <w:p w14:paraId="38749FFE" w14:textId="77777777" w:rsidR="00DE40D1" w:rsidRPr="00DE40D1" w:rsidRDefault="00DE40D1" w:rsidP="00DE40D1">
            <w:r w:rsidRPr="00DE40D1">
              <w:rPr>
                <w:b/>
                <w:i/>
              </w:rPr>
              <w:t>PTEN</w:t>
            </w:r>
            <w:r w:rsidRPr="00DE40D1">
              <w:t>(a) (P60484)</w:t>
            </w:r>
          </w:p>
        </w:tc>
        <w:tc>
          <w:tcPr>
            <w:tcW w:w="1754" w:type="dxa"/>
            <w:vMerge/>
          </w:tcPr>
          <w:p w14:paraId="6D2AB3C7" w14:textId="77777777" w:rsidR="00DE40D1" w:rsidRPr="00DE40D1" w:rsidRDefault="00DE40D1" w:rsidP="00DE40D1"/>
        </w:tc>
        <w:tc>
          <w:tcPr>
            <w:tcW w:w="2062" w:type="dxa"/>
          </w:tcPr>
          <w:p w14:paraId="1A3FD7B3" w14:textId="77777777" w:rsidR="00DE40D1" w:rsidRPr="00DE40D1" w:rsidRDefault="00DE40D1" w:rsidP="00DE40D1">
            <w:r w:rsidRPr="00DE40D1">
              <w:t>N/A</w:t>
            </w:r>
          </w:p>
        </w:tc>
        <w:tc>
          <w:tcPr>
            <w:tcW w:w="1740" w:type="dxa"/>
          </w:tcPr>
          <w:p w14:paraId="1E42B1FD" w14:textId="77777777" w:rsidR="00DE40D1" w:rsidRPr="00DE40D1" w:rsidRDefault="00DE40D1" w:rsidP="00DE40D1">
            <w:r w:rsidRPr="00DE40D1">
              <w:t>N/A</w:t>
            </w:r>
          </w:p>
        </w:tc>
        <w:tc>
          <w:tcPr>
            <w:tcW w:w="1739" w:type="dxa"/>
            <w:vMerge/>
          </w:tcPr>
          <w:p w14:paraId="7FB30714" w14:textId="77777777" w:rsidR="00DE40D1" w:rsidRPr="00DE40D1" w:rsidRDefault="00DE40D1" w:rsidP="00DE40D1"/>
        </w:tc>
      </w:tr>
      <w:tr w:rsidR="00DE40D1" w:rsidRPr="00DE40D1" w14:paraId="2B51ACBA" w14:textId="77777777" w:rsidTr="007C38FB">
        <w:tc>
          <w:tcPr>
            <w:tcW w:w="1721" w:type="dxa"/>
          </w:tcPr>
          <w:p w14:paraId="7A8F17CD" w14:textId="77777777" w:rsidR="00DE40D1" w:rsidRPr="00DE40D1" w:rsidRDefault="00DE40D1" w:rsidP="00DE40D1">
            <w:r w:rsidRPr="00DE40D1">
              <w:rPr>
                <w:b/>
                <w:i/>
              </w:rPr>
              <w:t>PTEN</w:t>
            </w:r>
            <w:r w:rsidRPr="00DE40D1">
              <w:t>(b) (P60484)</w:t>
            </w:r>
          </w:p>
        </w:tc>
        <w:tc>
          <w:tcPr>
            <w:tcW w:w="1754" w:type="dxa"/>
          </w:tcPr>
          <w:p w14:paraId="5E910510" w14:textId="77777777" w:rsidR="00DE40D1" w:rsidRPr="00DE40D1" w:rsidRDefault="00DE40D1" w:rsidP="00DE40D1">
            <w:r w:rsidRPr="00DE40D1">
              <w:t>Disruption of an artificial gene circuit in yeast</w:t>
            </w:r>
          </w:p>
        </w:tc>
        <w:tc>
          <w:tcPr>
            <w:tcW w:w="2062" w:type="dxa"/>
          </w:tcPr>
          <w:p w14:paraId="7C7C1EBC" w14:textId="77777777" w:rsidR="00DE40D1" w:rsidRPr="00DE40D1" w:rsidRDefault="00DE40D1" w:rsidP="00DE40D1">
            <w:r w:rsidRPr="00DE40D1">
              <w:t>DMS_highqual_b</w:t>
            </w:r>
          </w:p>
        </w:tc>
        <w:tc>
          <w:tcPr>
            <w:tcW w:w="1740" w:type="dxa"/>
          </w:tcPr>
          <w:p w14:paraId="40B41007" w14:textId="77777777" w:rsidR="00DE40D1" w:rsidRPr="00DE40D1" w:rsidRDefault="00DE40D1" w:rsidP="00DE40D1">
            <w:r w:rsidRPr="00DE40D1">
              <w:t>85.73</w:t>
            </w:r>
          </w:p>
        </w:tc>
        <w:tc>
          <w:tcPr>
            <w:tcW w:w="1739" w:type="dxa"/>
          </w:tcPr>
          <w:p w14:paraId="56D7AE97" w14:textId="77777777" w:rsidR="00DE40D1" w:rsidRPr="00DE40D1" w:rsidRDefault="00DE40D1" w:rsidP="00DE40D1">
            <w:r w:rsidRPr="00DE40D1">
              <w:fldChar w:fldCharType="begin"/>
            </w:r>
            <w:r w:rsidRPr="00DE40D1">
              <w:instrText xml:space="preserve"> ADDIN ZOTERO_ITEM CSL_CITATION {"citationID":"JjvO1hgX","properties":{"formattedCitation":"(Mighell {\\i{}et al}, 2018)","plainCitation":"(Mighell et al, 2018)","noteIndex":0},"citationItems":[{"id":480,"uris":["http://zotero.org/users/local/fXdzxoIk/items/DD42ZRRD"],"itemData":{"id":480,"type":"article-journal","abstract":"Phosphatase and tensin homolog (PTEN) is a tumor suppressor frequently mutated in diverse cancers. Germline PTEN mutations are also associated with a range of clinical outcomes, including PTEN hamartoma tumor syndrome (PHTS) and autism spectrum disorder (ASD). To empower new insights into PTEN function and clinically relevant genotype-phenotype relationships, we systematically evaluated the effect of PTEN mutations on lipid phosphatase activity in vivo. Using a massively parallel approach that leverages an artificial humanized yeast model, we derived high-confidence estimates of functional impact for 7,244 single amino acid PTEN variants (86% of possible). We identified 2,273 mutations with reduced cellular lipid phosphatase activity, which includes 1,789 missense mutations. These data recapitulated known functional findings but also uncovered new insights into PTEN protein structure, biochemistry, and mutation tolerance. Several residues in the catalytic pocket showed surprising mutational tolerance. We identified that the solvent exposure of wild-type residues is a critical determinant of mutational tolerance. Further, we created a comprehensive functional map by leveraging correlations between amino acid substitutions to impute functional scores for all variants, including those not present in the assay. Variant functional scores can reliably discriminate likely pathogenic from benign alleles. Further, 32% of ClinVar unclassified missense variants are phosphatase deficient in our assay, supporting their reclassification. ASD-associated mutations generally had less severe fitness scores relative to PHTS-associated mutations (p = 7.16 × 10−5) and a higher fraction of hypomorphic mutations, arguing for continued genotype-phenotype studies in larger clinical datasets that can further leverage these rich functional data.","container-title":"American Journal of Human Genetics","DOI":"10.1016/j.ajhg.2018.03.018","ISSN":"0002-9297","issue":"5","journalAbbreviation":"Am. J. Hum. Genet.","note":"PMID: 29706350\nPMCID: PMC5986715","page":"943-955","source":"PubMed Central","title":"A Saturation Mutagenesis Approach to Understanding PTEN Lipid Phosphatase Activity and Genotype-Phenotype Relationships","volume":"102","author":[{"family":"Mighell","given":"Taylor L."},{"family":"Evans-Dutson","given":"Sara"},{"family":"O’Roak","given":"Brian J."}],"issued":{"date-parts":[["2018",5,3]]}}}],"schema":"https://github.com/citation-style-language/schema/raw/master/csl-citation.json"} </w:instrText>
            </w:r>
            <w:r w:rsidRPr="00DE40D1">
              <w:fldChar w:fldCharType="separate"/>
            </w:r>
            <w:r w:rsidRPr="00DE40D1">
              <w:rPr>
                <w:rFonts w:ascii="Calibri" w:hAnsi="Calibri" w:cs="Calibri"/>
                <w:szCs w:val="24"/>
              </w:rPr>
              <w:t xml:space="preserve">(Mighell </w:t>
            </w:r>
            <w:r w:rsidRPr="00DE40D1">
              <w:rPr>
                <w:rFonts w:ascii="Calibri" w:hAnsi="Calibri" w:cs="Calibri"/>
                <w:i/>
                <w:iCs/>
                <w:szCs w:val="24"/>
              </w:rPr>
              <w:t>et al</w:t>
            </w:r>
            <w:r w:rsidRPr="00DE40D1">
              <w:rPr>
                <w:rFonts w:ascii="Calibri" w:hAnsi="Calibri" w:cs="Calibri"/>
                <w:szCs w:val="24"/>
              </w:rPr>
              <w:t>, 2018)</w:t>
            </w:r>
            <w:r w:rsidRPr="00DE40D1">
              <w:fldChar w:fldCharType="end"/>
            </w:r>
          </w:p>
        </w:tc>
      </w:tr>
      <w:tr w:rsidR="00DE40D1" w:rsidRPr="00DE40D1" w14:paraId="6F8C2171" w14:textId="77777777" w:rsidTr="007C38FB">
        <w:tc>
          <w:tcPr>
            <w:tcW w:w="1721" w:type="dxa"/>
          </w:tcPr>
          <w:p w14:paraId="775C1530" w14:textId="77777777" w:rsidR="00DE40D1" w:rsidRPr="00DE40D1" w:rsidRDefault="00DE40D1" w:rsidP="00DE40D1">
            <w:r w:rsidRPr="00DE40D1">
              <w:rPr>
                <w:b/>
                <w:i/>
              </w:rPr>
              <w:t>VKORC1</w:t>
            </w:r>
            <w:r w:rsidRPr="00DE40D1">
              <w:t xml:space="preserve"> (Q9BQB6)</w:t>
            </w:r>
          </w:p>
        </w:tc>
        <w:tc>
          <w:tcPr>
            <w:tcW w:w="1754" w:type="dxa"/>
          </w:tcPr>
          <w:p w14:paraId="22A5C66E" w14:textId="77777777" w:rsidR="00DE40D1" w:rsidRPr="00DE40D1" w:rsidRDefault="00DE40D1" w:rsidP="00DE40D1">
            <w:r w:rsidRPr="00DE40D1">
              <w:t>Protein stability assessed by FACs (VAMP-seq)</w:t>
            </w:r>
          </w:p>
        </w:tc>
        <w:tc>
          <w:tcPr>
            <w:tcW w:w="2062" w:type="dxa"/>
          </w:tcPr>
          <w:p w14:paraId="4CBA2454" w14:textId="77777777" w:rsidR="00DE40D1" w:rsidRPr="00DE40D1" w:rsidRDefault="00DE40D1" w:rsidP="00DE40D1">
            <w:r w:rsidRPr="00DE40D1">
              <w:t>DMS_VAMP</w:t>
            </w:r>
          </w:p>
        </w:tc>
        <w:tc>
          <w:tcPr>
            <w:tcW w:w="1740" w:type="dxa"/>
          </w:tcPr>
          <w:p w14:paraId="1C109777" w14:textId="77777777" w:rsidR="00DE40D1" w:rsidRPr="00DE40D1" w:rsidRDefault="00DE40D1" w:rsidP="00DE40D1">
            <w:r w:rsidRPr="00DE40D1">
              <w:t>87.02</w:t>
            </w:r>
          </w:p>
        </w:tc>
        <w:tc>
          <w:tcPr>
            <w:tcW w:w="1739" w:type="dxa"/>
          </w:tcPr>
          <w:p w14:paraId="438F67C1" w14:textId="77777777" w:rsidR="00DE40D1" w:rsidRPr="00DE40D1" w:rsidRDefault="00DE40D1" w:rsidP="00DE40D1">
            <w:r w:rsidRPr="00DE40D1">
              <w:fldChar w:fldCharType="begin"/>
            </w:r>
            <w:r w:rsidRPr="00DE40D1">
              <w:instrText xml:space="preserve"> ADDIN ZOTERO_ITEM CSL_CITATION {"citationID":"LSX8nvab","properties":{"formattedCitation":"(Chiasson {\\i{}et al}, 2020)","plainCitation":"(Chiasson et al, 2020)","noteIndex":0},"citationItems":[{"id":1147,"uris":["http://zotero.org/users/local/fXdzxoIk/items/FJLD4FCY"],"itemData":{"id":1147,"type":"article-journal","abstract":"Vitamin K epoxide reductase (VKOR) drives the vitamin K cycle, activating vitamin K-dependent blood clotting factors. VKOR is also the target of the widely used anticoagulant drug, warfarin. Despite VKOR’s pivotal role in coagulation, its structure and active site remain poorly understood. In addition, VKOR variants can cause vitamin K-dependent clotting factor deficiency or alter warfarin response. Here, we used multiplexed, sequencing-based assays to measure the effects of 2,695 VKOR missense variants on abundance and 697 variants on activity in cultured human cells. The large-scale functional data, along with an evolutionary coupling analysis, supports a four transmembrane domain topology, with variants in transmembrane domains exhibiting strongly deleterious effects on abundance and activity. Functionally constrained regions of the protein define the active site, and we find that, of four conserved cysteines putatively critical for function, only three are absolutely required. Finally, 25% of human VKOR missense variants show reduced abundance or activity, possibly conferring warfarin sensitivity or causing disease.","container-title":"eLife","DOI":"10.7554/eLife.58026","ISSN":"2050-084X","journalAbbreviation":"eLife","note":"PMID: 32870157\nPMCID: PMC7462613","page":"e58026","source":"PubMed Central","title":"Multiplexed measurement of variant abundance and activity reveals VKOR topology, active site and human variant impact","volume":"9","author":[{"family":"Chiasson","given":"Melissa A"},{"family":"Rollins","given":"Nathan J"},{"family":"Stephany","given":"Jason J"},{"family":"Sitko","given":"Katherine A"},{"family":"Matreyek","given":"Kenneth A"},{"family":"Verby","given":"Marta"},{"family":"Sun","given":"Song"},{"family":"Roth","given":"Frederick P"},{"family":"DeSloover","given":"Daniel"},{"family":"Marks","given":"Debora S"},{"family":"Rettie","given":"Allan E"},{"family":"Fowler","given":"Douglas M"}],"issued":{"date-parts":[["2020",9]]}}}],"schema":"https://github.com/citation-style-language/schema/raw/master/csl-citation.json"} </w:instrText>
            </w:r>
            <w:r w:rsidRPr="00DE40D1">
              <w:fldChar w:fldCharType="separate"/>
            </w:r>
            <w:r w:rsidRPr="00DE40D1">
              <w:rPr>
                <w:rFonts w:ascii="Calibri" w:hAnsi="Calibri" w:cs="Calibri"/>
                <w:szCs w:val="24"/>
              </w:rPr>
              <w:t xml:space="preserve">(Chiasson </w:t>
            </w:r>
            <w:r w:rsidRPr="00DE40D1">
              <w:rPr>
                <w:rFonts w:ascii="Calibri" w:hAnsi="Calibri" w:cs="Calibri"/>
                <w:i/>
                <w:iCs/>
                <w:szCs w:val="24"/>
              </w:rPr>
              <w:t>et al</w:t>
            </w:r>
            <w:r w:rsidRPr="00DE40D1">
              <w:rPr>
                <w:rFonts w:ascii="Calibri" w:hAnsi="Calibri" w:cs="Calibri"/>
                <w:szCs w:val="24"/>
              </w:rPr>
              <w:t>, 2020)</w:t>
            </w:r>
            <w:r w:rsidRPr="00DE40D1">
              <w:fldChar w:fldCharType="end"/>
            </w:r>
          </w:p>
        </w:tc>
      </w:tr>
      <w:tr w:rsidR="00DE40D1" w:rsidRPr="00DE40D1" w14:paraId="5B33D7AC" w14:textId="77777777" w:rsidTr="007C38FB">
        <w:tc>
          <w:tcPr>
            <w:tcW w:w="1721" w:type="dxa"/>
          </w:tcPr>
          <w:p w14:paraId="6DEBCD15" w14:textId="77777777" w:rsidR="00DE40D1" w:rsidRPr="00DE40D1" w:rsidRDefault="00DE40D1" w:rsidP="00DE40D1">
            <w:r w:rsidRPr="00DE40D1">
              <w:rPr>
                <w:b/>
                <w:i/>
              </w:rPr>
              <w:t>HRAS</w:t>
            </w:r>
            <w:r w:rsidRPr="00DE40D1">
              <w:t xml:space="preserve"> (P01112)</w:t>
            </w:r>
          </w:p>
        </w:tc>
        <w:tc>
          <w:tcPr>
            <w:tcW w:w="1754" w:type="dxa"/>
          </w:tcPr>
          <w:p w14:paraId="0A27812A" w14:textId="77777777" w:rsidR="00DE40D1" w:rsidRPr="00DE40D1" w:rsidRDefault="00DE40D1" w:rsidP="00DE40D1">
            <w:r w:rsidRPr="00DE40D1">
              <w:t xml:space="preserve">Yeast two-hybrid </w:t>
            </w:r>
          </w:p>
        </w:tc>
        <w:tc>
          <w:tcPr>
            <w:tcW w:w="2062" w:type="dxa"/>
          </w:tcPr>
          <w:p w14:paraId="2892D657" w14:textId="77777777" w:rsidR="00DE40D1" w:rsidRPr="00DE40D1" w:rsidRDefault="00DE40D1" w:rsidP="00DE40D1">
            <w:r w:rsidRPr="00DE40D1">
              <w:t>DMS_g12v</w:t>
            </w:r>
          </w:p>
        </w:tc>
        <w:tc>
          <w:tcPr>
            <w:tcW w:w="1740" w:type="dxa"/>
          </w:tcPr>
          <w:p w14:paraId="24359648" w14:textId="77777777" w:rsidR="00DE40D1" w:rsidRPr="00DE40D1" w:rsidRDefault="00DE40D1" w:rsidP="00DE40D1">
            <w:r w:rsidRPr="00DE40D1">
              <w:t>87.30</w:t>
            </w:r>
          </w:p>
        </w:tc>
        <w:tc>
          <w:tcPr>
            <w:tcW w:w="1739" w:type="dxa"/>
          </w:tcPr>
          <w:p w14:paraId="36D3175B" w14:textId="77777777" w:rsidR="00DE40D1" w:rsidRPr="00DE40D1" w:rsidRDefault="00DE40D1" w:rsidP="00DE40D1">
            <w:r w:rsidRPr="00DE40D1">
              <w:fldChar w:fldCharType="begin"/>
            </w:r>
            <w:r w:rsidRPr="00DE40D1">
              <w:instrText xml:space="preserve"> ADDIN ZOTERO_ITEM CSL_CITATION {"citationID":"XaTnrEdD","properties":{"formattedCitation":"(Bandaru {\\i{}et al}, 2017)","plainCitation":"(Bandaru et al, 2017)","noteIndex":0},"citationItems":[{"id":161,"uris":["http://zotero.org/users/local/fXdzxoIk/items/8FUWIGGU"],"itemData":{"id":161,"type":"article-journal","abstract":"Ras proteins are highly conserved signaling molecules that exhibit regulated, nucleotide-dependent switching between active and inactive states. The high conservation of Ras requires mechanistic explanation, especially given the general mutational tolerance of proteins. Here, we use deep mutational scanning, biochemical analysis and molecular simulations to understand constraints on Ras sequence. Ras exhibits global sensitivity to mutation when regulated by a GTPase activating protein and a nucleotide exchange factor. Removing the regulators shifts the distribution of mutational effects to be largely neutral, and reveals hotspots of activating mutations in residues that restrain Ras dynamics and promote the inactive state. Evolutionary analysis, combined with structural and mutational data, argue that Ras has co-evolved with its regulators in the vertebrate lineage. Overall, our results show that sequence conservation in Ras depends strongly on the biochemical network in which it operates, providing a framework for understanding the origin of global selection pressures on proteins.","container-title":"eLife","DOI":"10.7554/eLife.27810","ISSN":"2050-084X","page":"e27810","source":"eLife","title":"Deconstruction of the Ras switching cycle through saturation mutagenesis","volume":"6","author":[{"family":"Bandaru","given":"Pradeep"},{"family":"Shah","given":"Neel H"},{"family":"Bhattacharyya","given":"Moitrayee"},{"family":"Barton","given":"John P"},{"family":"Kondo","given":"Yasushi"},{"family":"Cofsky","given":"Joshua C"},{"family":"Gee","given":"Christine L"},{"family":"Chakraborty","given":"Arup K"},{"family":"Kortemme","given":"Tanja"},{"family":"Ranganathan","given":"Rama"},{"family":"Kuriyan","given":"John"}],"editor":[{"family":"Valencia","given":"Alfonso"}],"issued":{"date-parts":[["2017",7,7]]}}}],"schema":"https://github.com/citation-style-language/schema/raw/master/csl-citation.json"} </w:instrText>
            </w:r>
            <w:r w:rsidRPr="00DE40D1">
              <w:fldChar w:fldCharType="separate"/>
            </w:r>
            <w:r w:rsidRPr="00DE40D1">
              <w:rPr>
                <w:rFonts w:ascii="Calibri" w:hAnsi="Calibri" w:cs="Calibri"/>
                <w:szCs w:val="24"/>
              </w:rPr>
              <w:t xml:space="preserve">(Bandaru </w:t>
            </w:r>
            <w:r w:rsidRPr="00DE40D1">
              <w:rPr>
                <w:rFonts w:ascii="Calibri" w:hAnsi="Calibri" w:cs="Calibri"/>
                <w:i/>
                <w:iCs/>
                <w:szCs w:val="24"/>
              </w:rPr>
              <w:t>et al</w:t>
            </w:r>
            <w:r w:rsidRPr="00DE40D1">
              <w:rPr>
                <w:rFonts w:ascii="Calibri" w:hAnsi="Calibri" w:cs="Calibri"/>
                <w:szCs w:val="24"/>
              </w:rPr>
              <w:t>, 2017)</w:t>
            </w:r>
            <w:r w:rsidRPr="00DE40D1">
              <w:fldChar w:fldCharType="end"/>
            </w:r>
          </w:p>
        </w:tc>
      </w:tr>
      <w:tr w:rsidR="00DE40D1" w:rsidRPr="00DE40D1" w14:paraId="296CC78B" w14:textId="77777777" w:rsidTr="007C38FB">
        <w:tc>
          <w:tcPr>
            <w:tcW w:w="1721" w:type="dxa"/>
          </w:tcPr>
          <w:p w14:paraId="6EE5C49D" w14:textId="77777777" w:rsidR="00DE40D1" w:rsidRPr="00DE40D1" w:rsidRDefault="00DE40D1" w:rsidP="00DE40D1">
            <w:r w:rsidRPr="00DE40D1">
              <w:rPr>
                <w:b/>
                <w:i/>
              </w:rPr>
              <w:t>ADRB2</w:t>
            </w:r>
            <w:r w:rsidRPr="00DE40D1">
              <w:t xml:space="preserve"> (P07550)</w:t>
            </w:r>
          </w:p>
        </w:tc>
        <w:tc>
          <w:tcPr>
            <w:tcW w:w="1754" w:type="dxa"/>
          </w:tcPr>
          <w:p w14:paraId="7FB4A0C9" w14:textId="77777777" w:rsidR="00DE40D1" w:rsidRPr="00DE40D1" w:rsidRDefault="00DE40D1" w:rsidP="00DE40D1">
            <w:r w:rsidRPr="00DE40D1">
              <w:t>Reporter expression</w:t>
            </w:r>
          </w:p>
        </w:tc>
        <w:tc>
          <w:tcPr>
            <w:tcW w:w="2062" w:type="dxa"/>
          </w:tcPr>
          <w:p w14:paraId="4F8932A2" w14:textId="77777777" w:rsidR="00DE40D1" w:rsidRPr="00DE40D1" w:rsidRDefault="00DE40D1" w:rsidP="00DE40D1">
            <w:r w:rsidRPr="00DE40D1">
              <w:t>DMS_0.65</w:t>
            </w:r>
          </w:p>
        </w:tc>
        <w:tc>
          <w:tcPr>
            <w:tcW w:w="1740" w:type="dxa"/>
          </w:tcPr>
          <w:p w14:paraId="5D68552E" w14:textId="77777777" w:rsidR="00DE40D1" w:rsidRPr="00DE40D1" w:rsidRDefault="00DE40D1" w:rsidP="00DE40D1">
            <w:r w:rsidRPr="00DE40D1">
              <w:t>99.40</w:t>
            </w:r>
          </w:p>
        </w:tc>
        <w:tc>
          <w:tcPr>
            <w:tcW w:w="1739" w:type="dxa"/>
          </w:tcPr>
          <w:p w14:paraId="0698A7DF" w14:textId="77777777" w:rsidR="00DE40D1" w:rsidRPr="00DE40D1" w:rsidRDefault="00DE40D1" w:rsidP="00DE40D1">
            <w:r w:rsidRPr="00DE40D1">
              <w:fldChar w:fldCharType="begin"/>
            </w:r>
            <w:r w:rsidRPr="00DE40D1">
              <w:instrText xml:space="preserve"> ADDIN ZOTERO_ITEM CSL_CITATION {"citationID":"CbsQREMY","properties":{"formattedCitation":"(Jones {\\i{}et al}, 2020)","plainCitation":"(Jones et al, 2020)","noteIndex":0},"citationItems":[{"id":1305,"uris":["http://zotero.org/users/local/fXdzxoIk/items/K7C2BZ9W"],"itemData":{"id":1305,"type":"article-journal","abstract":"The &gt;800 human G protein–coupled receptors (GPCRs) are responsible for transducing diverse chemical stimuli to alter cell state- and are the largest class of drug targets. Their myriad structural conformations and various modes of signaling make it challenging to understand their structure and function. Here, we developed a platform to characterize large libraries of GPCR variants in human cell lines with a barcoded transcriptional reporter of G protein signal transduction. We tested 7800 of 7828 possible single amino acid substitutions to the beta-2 adrenergic receptor (β2AR) at four concentrations of the agonist isoproterenol. We identified residues specifically important for β2AR signaling, mutations in the human population that are potentially loss of function, and residues that modulate basal activity. Using unsupervised learning, we identify residues critical for signaling, including all major structural motifs and molecular interfaces. We also find a previously uncharacterized structural latch spanning the first two extracellular loops that is highly conserved across Class A GPCRs and is conformationally rigid in both the inactive and active states of the receptor. More broadly, by linking deep mutational scanning with engineered transcriptional reporters, we establish a generalizable method for exploring pharmacogenomics, structure and function across broad classes of drug receptors.","container-title":"eLife","DOI":"10.7554/eLife.54895","ISSN":"2050-084X","note":"publisher: eLife Sciences Publications, Ltd","page":"e54895","source":"eLife","title":"Structural and functional characterization of G protein–coupled receptors with deep mutational scanning","volume":"9","author":[{"family":"Jones","given":"Eric M"},{"family":"Lubock","given":"Nathan B"},{"family":"Venkatakrishnan","given":"AJ"},{"family":"Wang","given":"Jeffrey"},{"family":"Tseng","given":"Alex M"},{"family":"Paggi","given":"Joseph M"},{"family":"Latorraca","given":"Naomi R"},{"family":"Cancilla","given":"Daniel"},{"family":"Satyadi","given":"Megan"},{"family":"Davis","given":"Jessica E"},{"family":"Babu","given":"M Madan"},{"family":"Dror","given":"Ron O"},{"family":"Kosuri","given":"Sriram"}],"editor":[{"family":"Larhammar","given":"Dan"},{"family":"Aldrich","given":"Richard W"},{"family":"Fraser","given":"James S"},{"family":"Manglik","given":"Aashish"}],"issued":{"date-parts":[["2020",10,21]]}}}],"schema":"https://github.com/citation-style-language/schema/raw/master/csl-citation.json"} </w:instrText>
            </w:r>
            <w:r w:rsidRPr="00DE40D1">
              <w:fldChar w:fldCharType="separate"/>
            </w:r>
            <w:r w:rsidRPr="00DE40D1">
              <w:rPr>
                <w:rFonts w:ascii="Calibri" w:hAnsi="Calibri" w:cs="Calibri"/>
                <w:szCs w:val="24"/>
              </w:rPr>
              <w:t xml:space="preserve">(Jones </w:t>
            </w:r>
            <w:r w:rsidRPr="00DE40D1">
              <w:rPr>
                <w:rFonts w:ascii="Calibri" w:hAnsi="Calibri" w:cs="Calibri"/>
                <w:i/>
                <w:iCs/>
                <w:szCs w:val="24"/>
              </w:rPr>
              <w:t>et al</w:t>
            </w:r>
            <w:r w:rsidRPr="00DE40D1">
              <w:rPr>
                <w:rFonts w:ascii="Calibri" w:hAnsi="Calibri" w:cs="Calibri"/>
                <w:szCs w:val="24"/>
              </w:rPr>
              <w:t>, 2020)</w:t>
            </w:r>
            <w:r w:rsidRPr="00DE40D1">
              <w:fldChar w:fldCharType="end"/>
            </w:r>
          </w:p>
        </w:tc>
      </w:tr>
      <w:tr w:rsidR="00DE40D1" w:rsidRPr="00DE40D1" w14:paraId="64FDC16F" w14:textId="77777777" w:rsidTr="007C38FB">
        <w:tc>
          <w:tcPr>
            <w:tcW w:w="1721" w:type="dxa"/>
          </w:tcPr>
          <w:p w14:paraId="4D2FD572" w14:textId="77777777" w:rsidR="00DE40D1" w:rsidRPr="00DE40D1" w:rsidRDefault="00DE40D1" w:rsidP="00DE40D1">
            <w:r w:rsidRPr="00DE40D1">
              <w:rPr>
                <w:b/>
                <w:i/>
              </w:rPr>
              <w:t>CASP3</w:t>
            </w:r>
            <w:r w:rsidRPr="00DE40D1">
              <w:t xml:space="preserve"> (P42574)</w:t>
            </w:r>
          </w:p>
        </w:tc>
        <w:tc>
          <w:tcPr>
            <w:tcW w:w="1754" w:type="dxa"/>
            <w:vMerge w:val="restart"/>
          </w:tcPr>
          <w:p w14:paraId="3F1C47DD" w14:textId="77777777" w:rsidR="00DE40D1" w:rsidRPr="00DE40D1" w:rsidRDefault="00DE40D1" w:rsidP="00DE40D1">
            <w:r w:rsidRPr="00DE40D1">
              <w:t>Apoptotic activity assessed by a microfluidic system.</w:t>
            </w:r>
          </w:p>
        </w:tc>
        <w:tc>
          <w:tcPr>
            <w:tcW w:w="2062" w:type="dxa"/>
          </w:tcPr>
          <w:p w14:paraId="3AFDADC5" w14:textId="77777777" w:rsidR="00DE40D1" w:rsidRPr="00DE40D1" w:rsidRDefault="00DE40D1" w:rsidP="00DE40D1">
            <w:r w:rsidRPr="00DE40D1">
              <w:t>DMS</w:t>
            </w:r>
          </w:p>
        </w:tc>
        <w:tc>
          <w:tcPr>
            <w:tcW w:w="1740" w:type="dxa"/>
          </w:tcPr>
          <w:p w14:paraId="31003928" w14:textId="77777777" w:rsidR="00DE40D1" w:rsidRPr="00DE40D1" w:rsidRDefault="00DE40D1" w:rsidP="00DE40D1">
            <w:r w:rsidRPr="00DE40D1">
              <w:t>28.63</w:t>
            </w:r>
          </w:p>
        </w:tc>
        <w:tc>
          <w:tcPr>
            <w:tcW w:w="1739" w:type="dxa"/>
            <w:vMerge w:val="restart"/>
          </w:tcPr>
          <w:p w14:paraId="709D7E28" w14:textId="77777777" w:rsidR="00DE40D1" w:rsidRPr="00DE40D1" w:rsidRDefault="00DE40D1" w:rsidP="00DE40D1">
            <w:r w:rsidRPr="00DE40D1">
              <w:fldChar w:fldCharType="begin"/>
            </w:r>
            <w:r w:rsidRPr="00DE40D1">
              <w:instrText xml:space="preserve"> ADDIN ZOTERO_ITEM CSL_CITATION {"citationID":"emSo9sYq","properties":{"formattedCitation":"(Roychowdhury &amp; Romero, 2022)","plainCitation":"(Roychowdhury &amp; Romero, 2022)","noteIndex":0},"citationItems":[{"id":1314,"uris":["http://zotero.org/users/local/fXdzxoIk/items/L5WH3JHF"],"itemData":{"id":1314,"type":"article-journal","abstract":"The human caspase family comprises 12 cysteine proteases that are centrally involved in cell death and inflammation responses. The members of this family have conserved sequences and structures, highly similar enzymatic activities and substrate preferences, and overlapping physiological roles. In this paper, we present a deep mutational scan of the executioner caspases CASP3 and CASP7 to dissect differences in their structure, function, and regulation. Our approach leverages high-throughput microfluidic screening to analyze hundreds of thousands of caspase variants in tightly controlled in vitro reactions. The resulting data provides a large-scale and unbiased view of the impact of amino acid substitutions on the proteolytic activity of CASP3 and CASP7. We use this data to pinpoint key functional differences between CASP3 and CASP7, including a secondary internal cleavage site, CASP7 Q196 that is not present in CASP3. Our results will open avenues for inquiry in caspase function and regulation that could potentially inform the development of future caspase-specific therapeutics.","container-title":"Cell Death Discovery","DOI":"10.1038/s41420-021-00799-0","ISSN":"2058-7716","issue":"1","journalAbbreviation":"Cell Death Discov.","language":"en","license":"2021 The Author(s)","note":"number: 1\npublisher: Nature Publishing Group","page":"1-8","source":"www.nature.com","title":"Microfluidic deep mutational scanning of the human executioner caspases reveals differences in structure and regulation","volume":"8","author":[{"family":"Roychowdhury","given":"Hridindu"},{"family":"Romero","given":"Philip A."}],"issued":{"date-parts":[["2022",1,10]]}}}],"schema":"https://github.com/citation-style-language/schema/raw/master/csl-citation.json"} </w:instrText>
            </w:r>
            <w:r w:rsidRPr="00DE40D1">
              <w:fldChar w:fldCharType="separate"/>
            </w:r>
            <w:r w:rsidRPr="00DE40D1">
              <w:rPr>
                <w:rFonts w:ascii="Calibri" w:hAnsi="Calibri" w:cs="Calibri"/>
              </w:rPr>
              <w:t>(Roychowdhury &amp; Romero, 2022)</w:t>
            </w:r>
            <w:r w:rsidRPr="00DE40D1">
              <w:fldChar w:fldCharType="end"/>
            </w:r>
          </w:p>
        </w:tc>
      </w:tr>
      <w:tr w:rsidR="00DE40D1" w:rsidRPr="00DE40D1" w14:paraId="53D44503" w14:textId="77777777" w:rsidTr="007C38FB">
        <w:tc>
          <w:tcPr>
            <w:tcW w:w="1721" w:type="dxa"/>
          </w:tcPr>
          <w:p w14:paraId="75F2B7BB" w14:textId="77777777" w:rsidR="00DE40D1" w:rsidRPr="00DE40D1" w:rsidRDefault="00DE40D1" w:rsidP="00DE40D1">
            <w:r w:rsidRPr="00DE40D1">
              <w:rPr>
                <w:b/>
                <w:i/>
              </w:rPr>
              <w:t>CASP7</w:t>
            </w:r>
            <w:r w:rsidRPr="00DE40D1">
              <w:t xml:space="preserve"> (P55210)</w:t>
            </w:r>
          </w:p>
        </w:tc>
        <w:tc>
          <w:tcPr>
            <w:tcW w:w="1754" w:type="dxa"/>
            <w:vMerge/>
          </w:tcPr>
          <w:p w14:paraId="7B7F7D29" w14:textId="77777777" w:rsidR="00DE40D1" w:rsidRPr="00DE40D1" w:rsidRDefault="00DE40D1" w:rsidP="00DE40D1"/>
        </w:tc>
        <w:tc>
          <w:tcPr>
            <w:tcW w:w="2062" w:type="dxa"/>
          </w:tcPr>
          <w:p w14:paraId="64F19464" w14:textId="77777777" w:rsidR="00DE40D1" w:rsidRPr="00DE40D1" w:rsidRDefault="00DE40D1" w:rsidP="00DE40D1">
            <w:r w:rsidRPr="00DE40D1">
              <w:t>DMS</w:t>
            </w:r>
          </w:p>
        </w:tc>
        <w:tc>
          <w:tcPr>
            <w:tcW w:w="1740" w:type="dxa"/>
          </w:tcPr>
          <w:p w14:paraId="22D69BF8" w14:textId="77777777" w:rsidR="00DE40D1" w:rsidRPr="00DE40D1" w:rsidRDefault="00DE40D1" w:rsidP="00DE40D1">
            <w:r w:rsidRPr="00DE40D1">
              <w:t>29.17</w:t>
            </w:r>
          </w:p>
        </w:tc>
        <w:tc>
          <w:tcPr>
            <w:tcW w:w="1739" w:type="dxa"/>
            <w:vMerge/>
          </w:tcPr>
          <w:p w14:paraId="1E2A3231" w14:textId="77777777" w:rsidR="00DE40D1" w:rsidRPr="00DE40D1" w:rsidRDefault="00DE40D1" w:rsidP="00DE40D1"/>
        </w:tc>
      </w:tr>
      <w:tr w:rsidR="00DE40D1" w:rsidRPr="00DE40D1" w14:paraId="5C4B6065" w14:textId="77777777" w:rsidTr="007C38FB">
        <w:tc>
          <w:tcPr>
            <w:tcW w:w="1721" w:type="dxa"/>
          </w:tcPr>
          <w:p w14:paraId="11685B4F" w14:textId="77777777" w:rsidR="00DE40D1" w:rsidRPr="00DE40D1" w:rsidRDefault="00DE40D1" w:rsidP="00DE40D1">
            <w:r w:rsidRPr="00DE40D1">
              <w:rPr>
                <w:b/>
                <w:i/>
              </w:rPr>
              <w:t>CYP2C9</w:t>
            </w:r>
            <w:r w:rsidRPr="00DE40D1">
              <w:t xml:space="preserve"> (P11712)</w:t>
            </w:r>
          </w:p>
        </w:tc>
        <w:tc>
          <w:tcPr>
            <w:tcW w:w="1754" w:type="dxa"/>
          </w:tcPr>
          <w:p w14:paraId="6B83A9A8" w14:textId="77777777" w:rsidR="00DE40D1" w:rsidRPr="00DE40D1" w:rsidRDefault="00DE40D1" w:rsidP="00DE40D1">
            <w:r w:rsidRPr="00DE40D1">
              <w:t>Activity profiling by click-seq</w:t>
            </w:r>
          </w:p>
        </w:tc>
        <w:tc>
          <w:tcPr>
            <w:tcW w:w="2062" w:type="dxa"/>
          </w:tcPr>
          <w:p w14:paraId="35108892" w14:textId="77777777" w:rsidR="00DE40D1" w:rsidRPr="00DE40D1" w:rsidRDefault="00DE40D1" w:rsidP="00DE40D1">
            <w:r w:rsidRPr="00DE40D1">
              <w:t>DMS_activity</w:t>
            </w:r>
          </w:p>
        </w:tc>
        <w:tc>
          <w:tcPr>
            <w:tcW w:w="1740" w:type="dxa"/>
          </w:tcPr>
          <w:p w14:paraId="56540A4D" w14:textId="77777777" w:rsidR="00DE40D1" w:rsidRPr="00DE40D1" w:rsidRDefault="00DE40D1" w:rsidP="00DE40D1">
            <w:r w:rsidRPr="00DE40D1">
              <w:t>65.97</w:t>
            </w:r>
          </w:p>
        </w:tc>
        <w:tc>
          <w:tcPr>
            <w:tcW w:w="1739" w:type="dxa"/>
          </w:tcPr>
          <w:p w14:paraId="711C0DD4" w14:textId="77777777" w:rsidR="00DE40D1" w:rsidRPr="00DE40D1" w:rsidRDefault="00DE40D1" w:rsidP="00DE40D1">
            <w:r w:rsidRPr="00DE40D1">
              <w:fldChar w:fldCharType="begin"/>
            </w:r>
            <w:r w:rsidRPr="00DE40D1">
              <w:instrText xml:space="preserve"> ADDIN ZOTERO_ITEM CSL_CITATION {"citationID":"2uLrUAbQ","properties":{"formattedCitation":"(Amorosi {\\i{}et al}, 2021)","plainCitation":"(Amorosi et al, 2021)","noteIndex":0},"citationItems":[{"id":1347,"uris":["http://zotero.org/users/local/fXdzxoIk/items/HV7YVI9N"],"itemData":{"id":1347,"type":"article-journal","abstract":"CYP2C9 encodes a cytochrome P450 enzyme responsible for metabolizing up to 15% of small molecule drugs, and CYP2C9 variants can alter the safety and efficacy of these therapeutics. In particular, the anti-coagulant warfarin is prescribed to over 15 million people annually and polymorphisms in CYP2C9 can affect individual drug response and lead to an increased risk of hemorrhage. We developed click-seq, a pooled yeast-based activity assay, to test thousands of variants. Using click-seq, we measured the activity of 6,142 missense variants in yeast. We also measured the steady-state cellular abundance of 6,370 missense variants in a human cell line by using variant abundance by massively parallel sequencing (VAMP-seq). These data revealed that almost two-thirds of CYP2C9 variants showed decreased activity and that protein abundance accounted for half of the variation in CYP2C9 function. We also measured activity scores for 319 previously unannotated human variants, many of which may have clinical relevance.","container-title":"American Journal of Human Genetics","DOI":"10.1016/j.ajhg.2021.07.001","ISSN":"1537-6605","issue":"9","journalAbbreviation":"Am J Hum Genet","language":"eng","note":"PMID: 34314704\nPMCID: PMC8456167","page":"1735-1751","source":"PubMed","title":"Massively parallel characterization of CYP2C9 variant enzyme activity and abundance","volume":"108","author":[{"family":"Amorosi","given":"Clara J."},{"family":"Chiasson","given":"Melissa A."},{"family":"McDonald","given":"Matthew G."},{"family":"Wong","given":"Lai Hong"},{"family":"Sitko","given":"Katherine A."},{"family":"Boyle","given":"Gabriel"},{"family":"Kowalski","given":"John P."},{"family":"Rettie","given":"Allan E."},{"family":"Fowler","given":"Douglas M."},{"family":"Dunham","given":"Maitreya J."}],"issued":{"date-parts":[["2021",9,2]]}}}],"schema":"https://github.com/citation-style-language/schema/raw/master/csl-citation.json"} </w:instrText>
            </w:r>
            <w:r w:rsidRPr="00DE40D1">
              <w:fldChar w:fldCharType="separate"/>
            </w:r>
            <w:r w:rsidRPr="00DE40D1">
              <w:rPr>
                <w:rFonts w:ascii="Calibri" w:hAnsi="Calibri" w:cs="Calibri"/>
                <w:szCs w:val="24"/>
              </w:rPr>
              <w:t xml:space="preserve">(Amorosi </w:t>
            </w:r>
            <w:r w:rsidRPr="00DE40D1">
              <w:rPr>
                <w:rFonts w:ascii="Calibri" w:hAnsi="Calibri" w:cs="Calibri"/>
                <w:i/>
                <w:iCs/>
                <w:szCs w:val="24"/>
              </w:rPr>
              <w:t>et al</w:t>
            </w:r>
            <w:r w:rsidRPr="00DE40D1">
              <w:rPr>
                <w:rFonts w:ascii="Calibri" w:hAnsi="Calibri" w:cs="Calibri"/>
                <w:szCs w:val="24"/>
              </w:rPr>
              <w:t>, 2021)</w:t>
            </w:r>
            <w:r w:rsidRPr="00DE40D1">
              <w:fldChar w:fldCharType="end"/>
            </w:r>
          </w:p>
        </w:tc>
      </w:tr>
    </w:tbl>
    <w:p w14:paraId="52BDEF90" w14:textId="6CFEF326" w:rsidR="004210D9" w:rsidRDefault="00760856"/>
    <w:p w14:paraId="0BC2DC2A" w14:textId="2FF62A66" w:rsidR="00CC043E" w:rsidRDefault="00CC043E">
      <w:pPr>
        <w:rPr>
          <w:b/>
        </w:rPr>
      </w:pPr>
      <w:r>
        <w:t xml:space="preserve">Table EV1 - </w:t>
      </w:r>
      <w:r w:rsidRPr="00CC043E">
        <w:rPr>
          <w:b/>
        </w:rPr>
        <w:t>Summary of all DMS studies used to benchmark VEPs</w:t>
      </w:r>
      <w:r>
        <w:t>.</w:t>
      </w:r>
      <w:r>
        <w:rPr>
          <w:b/>
        </w:rPr>
        <w:t xml:space="preserve"> </w:t>
      </w:r>
    </w:p>
    <w:p w14:paraId="11C55310" w14:textId="1D718478" w:rsidR="00CC043E" w:rsidRDefault="00CC043E">
      <w:r>
        <w:t xml:space="preserve">All DMS studies that were used to benchmark VEPs including a brief description of the functional assay used to assess variant fitness. In most cases, low coverage (&gt;40%) indicates that the study focussed on SNVs rather than all possible amino acid substitutions. </w:t>
      </w:r>
      <w:r w:rsidR="00760856">
        <w:t xml:space="preserve">For </w:t>
      </w:r>
      <w:r w:rsidR="00760856">
        <w:rPr>
          <w:i/>
        </w:rPr>
        <w:t>BRCA1</w:t>
      </w:r>
      <w:r w:rsidR="00760856">
        <w:t xml:space="preserve">, the low coverage is due to only one protein domain being assessed. </w:t>
      </w:r>
      <w:r>
        <w:t xml:space="preserve">Most DMS studies provided multiple sets of scores representing different assay conditions, repeats or methodologies. A single score was selected to represent each study based on median correlation against all VEPs, show in the “Selected Score” column. A full list of these assays is available in Table EV2. </w:t>
      </w:r>
      <w:r w:rsidR="00760856">
        <w:t>Where the coverage and selected score are “N/A”, a different generated by a different group was selected to represent that protein in the DMS benchmark.</w:t>
      </w:r>
      <w:bookmarkStart w:id="0" w:name="_GoBack"/>
      <w:bookmarkEnd w:id="0"/>
    </w:p>
    <w:sectPr w:rsidR="00CC04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D11"/>
    <w:rsid w:val="00760856"/>
    <w:rsid w:val="00767D11"/>
    <w:rsid w:val="008233E6"/>
    <w:rsid w:val="00CC043E"/>
    <w:rsid w:val="00CD585A"/>
    <w:rsid w:val="00DE40D1"/>
    <w:rsid w:val="00E427FE"/>
    <w:rsid w:val="00FA6B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B1134"/>
  <w15:chartTrackingRefBased/>
  <w15:docId w15:val="{6F504178-4134-4A2A-802A-18D100DA9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A6B82"/>
    <w:pPr>
      <w:keepNext/>
      <w:keepLines/>
      <w:spacing w:after="0" w:line="240" w:lineRule="auto"/>
      <w:outlineLvl w:val="0"/>
    </w:pPr>
    <w:rPr>
      <w:rFonts w:asciiTheme="majorHAnsi" w:eastAsiaTheme="majorEastAsia" w:hAnsiTheme="majorHAnsi" w:cstheme="majorBidi"/>
      <w:b/>
      <w:sz w:val="36"/>
      <w:szCs w:val="32"/>
    </w:rPr>
  </w:style>
  <w:style w:type="paragraph" w:styleId="Heading2">
    <w:name w:val="heading 2"/>
    <w:basedOn w:val="Normal"/>
    <w:next w:val="Normal"/>
    <w:link w:val="Heading2Char"/>
    <w:uiPriority w:val="9"/>
    <w:unhideWhenUsed/>
    <w:qFormat/>
    <w:rsid w:val="00FA6B82"/>
    <w:pPr>
      <w:keepNext/>
      <w:keepLines/>
      <w:spacing w:before="40" w:after="0" w:line="360" w:lineRule="auto"/>
      <w:outlineLvl w:val="1"/>
    </w:pPr>
    <w:rPr>
      <w:rFonts w:asciiTheme="majorHAnsi" w:eastAsiaTheme="majorEastAsia" w:hAnsiTheme="majorHAnsi"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link w:val="MainTitleChar"/>
    <w:autoRedefine/>
    <w:qFormat/>
    <w:rsid w:val="008233E6"/>
    <w:pPr>
      <w:jc w:val="center"/>
    </w:pPr>
    <w:rPr>
      <w:rFonts w:asciiTheme="majorHAnsi" w:eastAsiaTheme="majorEastAsia" w:hAnsiTheme="majorHAnsi" w:cstheme="majorBidi"/>
      <w:b/>
      <w:iCs/>
      <w:color w:val="272727" w:themeColor="text1" w:themeTint="D8"/>
      <w:sz w:val="28"/>
      <w:szCs w:val="28"/>
    </w:rPr>
  </w:style>
  <w:style w:type="character" w:customStyle="1" w:styleId="MainTitleChar">
    <w:name w:val="Main Title Char"/>
    <w:basedOn w:val="DefaultParagraphFont"/>
    <w:link w:val="MainTitle"/>
    <w:rsid w:val="008233E6"/>
    <w:rPr>
      <w:rFonts w:asciiTheme="majorHAnsi" w:eastAsiaTheme="majorEastAsia" w:hAnsiTheme="majorHAnsi" w:cstheme="majorBidi"/>
      <w:b/>
      <w:iCs/>
      <w:color w:val="272727" w:themeColor="text1" w:themeTint="D8"/>
      <w:sz w:val="28"/>
      <w:szCs w:val="28"/>
    </w:rPr>
  </w:style>
  <w:style w:type="paragraph" w:customStyle="1" w:styleId="Figuelegend">
    <w:name w:val="Figue legend"/>
    <w:basedOn w:val="Quote"/>
    <w:link w:val="FiguelegendChar"/>
    <w:qFormat/>
    <w:rsid w:val="00FA6B82"/>
    <w:pPr>
      <w:ind w:left="0"/>
      <w:jc w:val="left"/>
    </w:pPr>
    <w:rPr>
      <w:i w:val="0"/>
      <w:iCs w:val="0"/>
      <w:color w:val="595959" w:themeColor="text1" w:themeTint="A6"/>
      <w:sz w:val="20"/>
    </w:rPr>
  </w:style>
  <w:style w:type="character" w:customStyle="1" w:styleId="FiguelegendChar">
    <w:name w:val="Figue legend Char"/>
    <w:basedOn w:val="QuoteChar"/>
    <w:link w:val="Figuelegend"/>
    <w:rsid w:val="00FA6B82"/>
    <w:rPr>
      <w:i w:val="0"/>
      <w:iCs w:val="0"/>
      <w:color w:val="595959" w:themeColor="text1" w:themeTint="A6"/>
      <w:sz w:val="20"/>
    </w:rPr>
  </w:style>
  <w:style w:type="paragraph" w:styleId="Quote">
    <w:name w:val="Quote"/>
    <w:basedOn w:val="Normal"/>
    <w:next w:val="Normal"/>
    <w:link w:val="QuoteChar"/>
    <w:uiPriority w:val="29"/>
    <w:qFormat/>
    <w:rsid w:val="00FA6B82"/>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FA6B82"/>
    <w:rPr>
      <w:i/>
      <w:iCs/>
      <w:color w:val="404040" w:themeColor="text1" w:themeTint="BF"/>
    </w:rPr>
  </w:style>
  <w:style w:type="character" w:customStyle="1" w:styleId="Heading1Char">
    <w:name w:val="Heading 1 Char"/>
    <w:basedOn w:val="DefaultParagraphFont"/>
    <w:link w:val="Heading1"/>
    <w:uiPriority w:val="9"/>
    <w:rsid w:val="00FA6B82"/>
    <w:rPr>
      <w:rFonts w:asciiTheme="majorHAnsi" w:eastAsiaTheme="majorEastAsia" w:hAnsiTheme="majorHAnsi" w:cstheme="majorBidi"/>
      <w:b/>
      <w:sz w:val="36"/>
      <w:szCs w:val="32"/>
    </w:rPr>
  </w:style>
  <w:style w:type="character" w:customStyle="1" w:styleId="Heading2Char">
    <w:name w:val="Heading 2 Char"/>
    <w:basedOn w:val="DefaultParagraphFont"/>
    <w:link w:val="Heading2"/>
    <w:uiPriority w:val="9"/>
    <w:rsid w:val="00FA6B82"/>
    <w:rPr>
      <w:rFonts w:asciiTheme="majorHAnsi" w:eastAsiaTheme="majorEastAsia" w:hAnsiTheme="majorHAnsi" w:cstheme="majorBidi"/>
      <w:b/>
      <w:sz w:val="26"/>
      <w:szCs w:val="26"/>
    </w:rPr>
  </w:style>
  <w:style w:type="table" w:styleId="TableGrid">
    <w:name w:val="Table Grid"/>
    <w:basedOn w:val="TableNormal"/>
    <w:uiPriority w:val="39"/>
    <w:rsid w:val="00DE40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8362</Words>
  <Characters>47669</Characters>
  <Application>Microsoft Office Word</Application>
  <DocSecurity>0</DocSecurity>
  <Lines>397</Lines>
  <Paragraphs>111</Paragraphs>
  <ScaleCrop>false</ScaleCrop>
  <HeadingPairs>
    <vt:vector size="2" baseType="variant">
      <vt:variant>
        <vt:lpstr>Title</vt:lpstr>
      </vt:variant>
      <vt:variant>
        <vt:i4>1</vt:i4>
      </vt:variant>
    </vt:vector>
  </HeadingPairs>
  <TitlesOfParts>
    <vt:vector size="1" baseType="lpstr">
      <vt:lpstr/>
    </vt:vector>
  </TitlesOfParts>
  <Company>University of Edinburgh</Company>
  <LinksUpToDate>false</LinksUpToDate>
  <CharactersWithSpaces>55920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Livesey</dc:creator>
  <cp:keywords/>
  <dc:description/>
  <cp:lastModifiedBy>Ben Livesey</cp:lastModifiedBy>
  <cp:revision>3</cp:revision>
  <dcterms:created xsi:type="dcterms:W3CDTF">2023-02-15T11:45:00Z</dcterms:created>
  <dcterms:modified xsi:type="dcterms:W3CDTF">2023-02-21T10:36:00Z</dcterms:modified>
</cp:coreProperties>
</file>