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4CD" w:rsidRDefault="00DF64CD" w:rsidP="00DF64CD">
      <w:pPr>
        <w:rPr>
          <w:rFonts w:ascii="Times New Roman" w:hAnsi="Times New Roman" w:cs="Times New Roman"/>
          <w:b/>
          <w:lang w:val="en-GB"/>
        </w:rPr>
      </w:pPr>
      <w:r>
        <w:rPr>
          <w:rFonts w:ascii="Times New Roman" w:hAnsi="Times New Roman" w:cs="Times New Roman"/>
          <w:b/>
          <w:lang w:val="en-GB"/>
        </w:rPr>
        <w:t>SUPPLEMENTAL MATERIAL</w:t>
      </w:r>
    </w:p>
    <w:p w:rsidR="00DF64CD" w:rsidRDefault="00DF64CD" w:rsidP="00DF64CD">
      <w:pPr>
        <w:rPr>
          <w:rFonts w:ascii="Times New Roman" w:hAnsi="Times New Roman" w:cs="Times New Roman"/>
          <w:b/>
          <w:lang w:val="en-GB"/>
        </w:rPr>
      </w:pPr>
    </w:p>
    <w:p w:rsidR="00DF64CD" w:rsidRPr="00E37C42" w:rsidRDefault="00DF64CD" w:rsidP="00DF64CD">
      <w:pPr>
        <w:rPr>
          <w:rFonts w:ascii="Times New Roman" w:hAnsi="Times New Roman" w:cs="Times New Roman"/>
          <w:b/>
        </w:rPr>
      </w:pPr>
      <w:r w:rsidRPr="009E0686">
        <w:rPr>
          <w:rFonts w:ascii="Times New Roman" w:hAnsi="Times New Roman" w:cs="Times New Roman"/>
          <w:b/>
          <w:lang w:val="en-GB"/>
        </w:rPr>
        <w:t>Vis</w:t>
      </w:r>
      <w:proofErr w:type="spellStart"/>
      <w:r w:rsidRPr="00E37C42">
        <w:rPr>
          <w:rFonts w:ascii="Times New Roman" w:hAnsi="Times New Roman" w:cs="Times New Roman"/>
          <w:b/>
        </w:rPr>
        <w:t>coelastic</w:t>
      </w:r>
      <w:proofErr w:type="spellEnd"/>
      <w:r w:rsidRPr="00E37C42">
        <w:rPr>
          <w:rFonts w:ascii="Times New Roman" w:hAnsi="Times New Roman" w:cs="Times New Roman"/>
          <w:b/>
        </w:rPr>
        <w:t xml:space="preserve"> and </w:t>
      </w:r>
      <w:proofErr w:type="spellStart"/>
      <w:r w:rsidRPr="00E37C42">
        <w:rPr>
          <w:rFonts w:ascii="Times New Roman" w:hAnsi="Times New Roman" w:cs="Times New Roman"/>
          <w:b/>
        </w:rPr>
        <w:t>phototunable</w:t>
      </w:r>
      <w:proofErr w:type="spellEnd"/>
      <w:r w:rsidRPr="00E37C42">
        <w:rPr>
          <w:rFonts w:ascii="Times New Roman" w:hAnsi="Times New Roman" w:cs="Times New Roman"/>
          <w:b/>
        </w:rPr>
        <w:t xml:space="preserve"> </w:t>
      </w:r>
      <w:proofErr w:type="spellStart"/>
      <w:r w:rsidRPr="00E37C42">
        <w:rPr>
          <w:rFonts w:ascii="Times New Roman" w:hAnsi="Times New Roman" w:cs="Times New Roman"/>
          <w:b/>
        </w:rPr>
        <w:t>GelMA</w:t>
      </w:r>
      <w:proofErr w:type="spellEnd"/>
      <w:r w:rsidRPr="00E37C42">
        <w:rPr>
          <w:rFonts w:ascii="Times New Roman" w:hAnsi="Times New Roman" w:cs="Times New Roman"/>
          <w:b/>
        </w:rPr>
        <w:t xml:space="preserve">-alginate hydrogels for 3D cell culture  </w:t>
      </w:r>
    </w:p>
    <w:p w:rsidR="00DF64CD" w:rsidRPr="00E37C42" w:rsidRDefault="00DF64CD" w:rsidP="00DF64CD">
      <w:pPr>
        <w:rPr>
          <w:rFonts w:ascii="Times New Roman" w:hAnsi="Times New Roman" w:cs="Times New Roman"/>
          <w:b/>
        </w:rPr>
      </w:pPr>
    </w:p>
    <w:p w:rsidR="00DF64CD" w:rsidRPr="00E37C42" w:rsidRDefault="00DF64CD" w:rsidP="00DF64CD">
      <w:pPr>
        <w:rPr>
          <w:rFonts w:ascii="Times New Roman" w:hAnsi="Times New Roman" w:cs="Times New Roman"/>
          <w:bCs/>
          <w:sz w:val="20"/>
          <w:szCs w:val="20"/>
        </w:rPr>
      </w:pPr>
      <w:proofErr w:type="spellStart"/>
      <w:r w:rsidRPr="00E37C42">
        <w:rPr>
          <w:rFonts w:ascii="Times New Roman" w:hAnsi="Times New Roman" w:cs="Times New Roman"/>
          <w:bCs/>
          <w:sz w:val="20"/>
          <w:szCs w:val="20"/>
        </w:rPr>
        <w:t>Gulistan</w:t>
      </w:r>
      <w:proofErr w:type="spellEnd"/>
      <w:r w:rsidRPr="00E37C42">
        <w:rPr>
          <w:rFonts w:ascii="Times New Roman" w:hAnsi="Times New Roman" w:cs="Times New Roman"/>
          <w:bCs/>
          <w:sz w:val="20"/>
          <w:szCs w:val="20"/>
        </w:rPr>
        <w:t xml:space="preserve"> </w:t>
      </w:r>
      <w:proofErr w:type="spellStart"/>
      <w:r w:rsidRPr="00E37C42">
        <w:rPr>
          <w:rFonts w:ascii="Times New Roman" w:hAnsi="Times New Roman" w:cs="Times New Roman"/>
          <w:bCs/>
          <w:sz w:val="20"/>
          <w:szCs w:val="20"/>
        </w:rPr>
        <w:t>Tansik</w:t>
      </w:r>
      <w:r w:rsidRPr="00E37C42">
        <w:rPr>
          <w:rFonts w:ascii="Times New Roman" w:hAnsi="Times New Roman" w:cs="Times New Roman"/>
          <w:bCs/>
          <w:sz w:val="20"/>
          <w:szCs w:val="20"/>
          <w:vertAlign w:val="superscript"/>
        </w:rPr>
        <w:t>a</w:t>
      </w:r>
      <w:proofErr w:type="spellEnd"/>
      <w:r w:rsidRPr="00E37C42">
        <w:rPr>
          <w:rFonts w:ascii="Times New Roman" w:hAnsi="Times New Roman" w:cs="Times New Roman"/>
          <w:bCs/>
          <w:sz w:val="20"/>
          <w:szCs w:val="20"/>
        </w:rPr>
        <w:t xml:space="preserve"> and Ryan </w:t>
      </w:r>
      <w:proofErr w:type="spellStart"/>
      <w:r w:rsidRPr="00E37C42">
        <w:rPr>
          <w:rFonts w:ascii="Times New Roman" w:hAnsi="Times New Roman" w:cs="Times New Roman"/>
          <w:bCs/>
          <w:sz w:val="20"/>
          <w:szCs w:val="20"/>
        </w:rPr>
        <w:t>Stowers</w:t>
      </w:r>
      <w:proofErr w:type="spellEnd"/>
      <w:r w:rsidRPr="00E37C42">
        <w:rPr>
          <w:rFonts w:ascii="Times New Roman" w:hAnsi="Times New Roman" w:cs="Times New Roman"/>
          <w:bCs/>
          <w:sz w:val="20"/>
          <w:szCs w:val="20"/>
          <w:vertAlign w:val="superscript"/>
        </w:rPr>
        <w:t>*</w:t>
      </w:r>
      <w:proofErr w:type="spellStart"/>
      <w:r w:rsidRPr="00E37C42">
        <w:rPr>
          <w:rFonts w:ascii="Times New Roman" w:hAnsi="Times New Roman" w:cs="Times New Roman"/>
          <w:bCs/>
          <w:sz w:val="20"/>
          <w:szCs w:val="20"/>
          <w:vertAlign w:val="superscript"/>
        </w:rPr>
        <w:t>a,b</w:t>
      </w:r>
      <w:proofErr w:type="spellEnd"/>
    </w:p>
    <w:p w:rsidR="00DF64CD" w:rsidRPr="00E37C42" w:rsidRDefault="00DF64CD" w:rsidP="00DF64CD">
      <w:pPr>
        <w:rPr>
          <w:rFonts w:ascii="Times New Roman" w:hAnsi="Times New Roman" w:cs="Times New Roman"/>
          <w:bCs/>
          <w:sz w:val="20"/>
          <w:szCs w:val="20"/>
        </w:rPr>
      </w:pPr>
    </w:p>
    <w:p w:rsidR="00DF64CD" w:rsidRPr="00E37C42" w:rsidRDefault="00DF64CD" w:rsidP="00DF64CD">
      <w:pPr>
        <w:rPr>
          <w:rFonts w:ascii="Times New Roman" w:hAnsi="Times New Roman" w:cs="Times New Roman"/>
          <w:bCs/>
          <w:sz w:val="20"/>
          <w:szCs w:val="20"/>
        </w:rPr>
      </w:pPr>
      <w:proofErr w:type="spellStart"/>
      <w:r w:rsidRPr="00E37C42">
        <w:rPr>
          <w:rFonts w:ascii="Times New Roman" w:hAnsi="Times New Roman" w:cs="Times New Roman"/>
          <w:bCs/>
          <w:sz w:val="20"/>
          <w:szCs w:val="20"/>
          <w:vertAlign w:val="superscript"/>
        </w:rPr>
        <w:t>a</w:t>
      </w:r>
      <w:r w:rsidRPr="00E37C42">
        <w:rPr>
          <w:rFonts w:ascii="Times New Roman" w:hAnsi="Times New Roman" w:cs="Times New Roman"/>
          <w:bCs/>
          <w:sz w:val="20"/>
          <w:szCs w:val="20"/>
        </w:rPr>
        <w:t>Department</w:t>
      </w:r>
      <w:proofErr w:type="spellEnd"/>
      <w:r w:rsidRPr="00E37C42">
        <w:rPr>
          <w:rFonts w:ascii="Times New Roman" w:hAnsi="Times New Roman" w:cs="Times New Roman"/>
          <w:bCs/>
          <w:sz w:val="20"/>
          <w:szCs w:val="20"/>
        </w:rPr>
        <w:t xml:space="preserve"> of Mechanical Engineering, University of California, Santa Barbara</w:t>
      </w:r>
    </w:p>
    <w:p w:rsidR="00DF64CD" w:rsidRPr="00E37C42" w:rsidRDefault="00DF64CD" w:rsidP="00DF64CD">
      <w:pPr>
        <w:rPr>
          <w:rFonts w:ascii="Times New Roman" w:hAnsi="Times New Roman" w:cs="Times New Roman"/>
          <w:bCs/>
          <w:sz w:val="20"/>
          <w:szCs w:val="20"/>
        </w:rPr>
      </w:pPr>
      <w:proofErr w:type="spellStart"/>
      <w:r w:rsidRPr="00E37C42">
        <w:rPr>
          <w:rFonts w:ascii="Times New Roman" w:hAnsi="Times New Roman" w:cs="Times New Roman"/>
          <w:bCs/>
          <w:sz w:val="20"/>
          <w:szCs w:val="20"/>
          <w:vertAlign w:val="superscript"/>
        </w:rPr>
        <w:t>b</w:t>
      </w:r>
      <w:r w:rsidRPr="00E37C42">
        <w:rPr>
          <w:rFonts w:ascii="Times New Roman" w:hAnsi="Times New Roman" w:cs="Times New Roman"/>
          <w:bCs/>
          <w:sz w:val="20"/>
          <w:szCs w:val="20"/>
        </w:rPr>
        <w:t>Department</w:t>
      </w:r>
      <w:proofErr w:type="spellEnd"/>
      <w:r w:rsidRPr="00E37C42">
        <w:rPr>
          <w:rFonts w:ascii="Times New Roman" w:hAnsi="Times New Roman" w:cs="Times New Roman"/>
          <w:bCs/>
          <w:sz w:val="20"/>
          <w:szCs w:val="20"/>
        </w:rPr>
        <w:t xml:space="preserve"> of Bioengineering, University of California, Santa Barbara</w:t>
      </w:r>
    </w:p>
    <w:p w:rsidR="00DF64CD" w:rsidRPr="00E37C42" w:rsidRDefault="00DF64CD" w:rsidP="00DF64CD">
      <w:pPr>
        <w:rPr>
          <w:rFonts w:ascii="Times New Roman" w:hAnsi="Times New Roman" w:cs="Times New Roman"/>
          <w:bCs/>
          <w:sz w:val="20"/>
          <w:szCs w:val="20"/>
        </w:rPr>
      </w:pPr>
    </w:p>
    <w:p w:rsidR="00DF64CD" w:rsidRPr="00E37C42" w:rsidRDefault="00DF64CD" w:rsidP="00DF64CD">
      <w:pPr>
        <w:rPr>
          <w:rFonts w:ascii="Times New Roman" w:hAnsi="Times New Roman" w:cs="Times New Roman"/>
          <w:bCs/>
          <w:sz w:val="20"/>
          <w:szCs w:val="20"/>
        </w:rPr>
      </w:pPr>
      <w:r w:rsidRPr="00E37C42">
        <w:rPr>
          <w:rFonts w:ascii="Times New Roman" w:hAnsi="Times New Roman" w:cs="Times New Roman"/>
          <w:bCs/>
          <w:sz w:val="20"/>
          <w:szCs w:val="20"/>
          <w:vertAlign w:val="superscript"/>
        </w:rPr>
        <w:t>*</w:t>
      </w:r>
      <w:r w:rsidRPr="00E37C42">
        <w:rPr>
          <w:rFonts w:ascii="Times New Roman" w:hAnsi="Times New Roman" w:cs="Times New Roman"/>
          <w:bCs/>
          <w:sz w:val="20"/>
          <w:szCs w:val="20"/>
        </w:rPr>
        <w:t>Correspondence to rstowers@ucsb.edu</w:t>
      </w:r>
    </w:p>
    <w:p w:rsidR="009C377F" w:rsidRDefault="00354168"/>
    <w:p w:rsidR="00DF64CD" w:rsidRDefault="00DF64CD"/>
    <w:p w:rsidR="00DF64CD" w:rsidRDefault="00DF64CD"/>
    <w:p w:rsidR="00DF64CD" w:rsidRDefault="00DF64CD"/>
    <w:p w:rsidR="00DF64CD" w:rsidRDefault="00DF64CD"/>
    <w:p w:rsidR="00DF64CD" w:rsidRDefault="00DF64CD"/>
    <w:p w:rsidR="00DF64CD" w:rsidRDefault="00DF64CD"/>
    <w:p w:rsidR="00DF64CD" w:rsidRDefault="00DF64CD"/>
    <w:p w:rsidR="00DF64CD" w:rsidRDefault="00DF64CD"/>
    <w:p w:rsidR="00DF64CD" w:rsidRDefault="00DF64CD">
      <w:pPr>
        <w:rPr>
          <w:rFonts w:ascii="Times New Roman" w:hAnsi="Times New Roman" w:cs="Times New Roman"/>
          <w:sz w:val="20"/>
          <w:szCs w:val="20"/>
          <w:u w:val="single"/>
        </w:rPr>
      </w:pPr>
      <w:proofErr w:type="spellStart"/>
      <w:r>
        <w:rPr>
          <w:rFonts w:ascii="Times New Roman" w:hAnsi="Times New Roman" w:cs="Times New Roman"/>
          <w:sz w:val="20"/>
          <w:szCs w:val="20"/>
          <w:u w:val="single"/>
        </w:rPr>
        <w:t>GelMA</w:t>
      </w:r>
      <w:proofErr w:type="spellEnd"/>
      <w:r>
        <w:rPr>
          <w:rFonts w:ascii="Times New Roman" w:hAnsi="Times New Roman" w:cs="Times New Roman"/>
          <w:sz w:val="20"/>
          <w:szCs w:val="20"/>
          <w:u w:val="single"/>
        </w:rPr>
        <w:t xml:space="preserve"> synthesis and characterization</w:t>
      </w:r>
    </w:p>
    <w:p w:rsidR="00DF64CD" w:rsidRDefault="00DF64CD" w:rsidP="00DF64CD">
      <w:pPr>
        <w:rPr>
          <w:rFonts w:ascii="Times New Roman" w:hAnsi="Times New Roman" w:cs="Times New Roman"/>
          <w:bCs/>
          <w:sz w:val="20"/>
          <w:szCs w:val="20"/>
        </w:rPr>
      </w:pPr>
      <w:r w:rsidRPr="00E37C42">
        <w:rPr>
          <w:rFonts w:ascii="Times New Roman" w:hAnsi="Times New Roman" w:cs="Times New Roman"/>
          <w:bCs/>
          <w:sz w:val="20"/>
          <w:szCs w:val="20"/>
        </w:rPr>
        <w:t xml:space="preserve">Briefly, porcine skin gelatin (Sigma Aldrich) was dissolved at 10% (w/v) in phosphate buffered saline (PBS) (pH = 7.4) and mixed with MA at a concentration of 0.8 g of MA per 1 g of dissolved gelatin. The mixture was then dialyzed against distilled water (12–14 </w:t>
      </w:r>
      <w:proofErr w:type="spellStart"/>
      <w:r w:rsidRPr="00E37C42">
        <w:rPr>
          <w:rFonts w:ascii="Times New Roman" w:hAnsi="Times New Roman" w:cs="Times New Roman"/>
          <w:bCs/>
          <w:sz w:val="20"/>
          <w:szCs w:val="20"/>
        </w:rPr>
        <w:t>kDa</w:t>
      </w:r>
      <w:proofErr w:type="spellEnd"/>
      <w:r w:rsidRPr="00E37C42">
        <w:rPr>
          <w:rFonts w:ascii="Times New Roman" w:hAnsi="Times New Roman" w:cs="Times New Roman"/>
          <w:bCs/>
          <w:sz w:val="20"/>
          <w:szCs w:val="20"/>
        </w:rPr>
        <w:t xml:space="preserve"> cutoff dialysis tubing) for five days at 40ºC to remove any unreacted MA groups from the solution. Freeze-dried </w:t>
      </w:r>
      <w:proofErr w:type="spellStart"/>
      <w:r w:rsidRPr="00E37C42">
        <w:rPr>
          <w:rFonts w:ascii="Times New Roman" w:hAnsi="Times New Roman" w:cs="Times New Roman"/>
          <w:bCs/>
          <w:sz w:val="20"/>
          <w:szCs w:val="20"/>
        </w:rPr>
        <w:t>GelMA</w:t>
      </w:r>
      <w:proofErr w:type="spellEnd"/>
      <w:r w:rsidRPr="00E37C42">
        <w:rPr>
          <w:rFonts w:ascii="Times New Roman" w:hAnsi="Times New Roman" w:cs="Times New Roman"/>
          <w:bCs/>
          <w:sz w:val="20"/>
          <w:szCs w:val="20"/>
        </w:rPr>
        <w:t xml:space="preserve"> was kept at -20ºC until further use. The </w:t>
      </w:r>
      <w:proofErr w:type="spellStart"/>
      <w:r w:rsidRPr="00E37C42">
        <w:rPr>
          <w:rFonts w:ascii="Times New Roman" w:hAnsi="Times New Roman" w:cs="Times New Roman"/>
          <w:bCs/>
          <w:sz w:val="20"/>
          <w:szCs w:val="20"/>
        </w:rPr>
        <w:t>fluorescamine</w:t>
      </w:r>
      <w:proofErr w:type="spellEnd"/>
      <w:r w:rsidRPr="00E37C42">
        <w:rPr>
          <w:rFonts w:ascii="Times New Roman" w:hAnsi="Times New Roman" w:cs="Times New Roman"/>
          <w:bCs/>
          <w:sz w:val="20"/>
          <w:szCs w:val="20"/>
        </w:rPr>
        <w:t xml:space="preserve"> protein assay was performed to determine the degree of substitution of free amine groups via methacrylation.</w:t>
      </w:r>
      <w:r w:rsidRPr="00E37C42">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ADDIN ZOTERO_ITEM CSL_CITATION {"citationID":"Ze8O1UuK","properties":{"formattedCitation":"\\super 18\\nosupersub{}","plainCitation":"18","noteIndex":0},"citationItems":[{"id":"JC3h7ZOv/49ioPar3","uris":["http://zotero.org/users/11473329/items/QCDY9AGU"],"itemData":{"id":74,"type":"article-journal","container-title":"Biomacromolecules","ISSN":"1525-7797","issue":"3","journalAbbreviation":"Biomacromolecules","note":"publisher: ACS Publications","page":"778-787","title":"Chimeric aptamer–gelatin hydrogels as an extracellular matrix mimic for loading cells and growth factors","volume":"17","author":[{"family":"Zhang","given":"Xiaolong"},{"family":"Battig","given":"Mark R"},{"family":"Chen","given":"Niancao"},{"family":"Gaddes","given":"Erin R"},{"family":"Duncan","given":"Katelyn L"},{"family":"Wang","given":"Yong"}],"issued":{"date-parts":[["2016"]]}}}],"schema":"https://github.com/citation-style-language/schema/raw/master/csl-citation.json"} </w:instrText>
      </w:r>
      <w:r w:rsidRPr="00E37C42">
        <w:rPr>
          <w:rFonts w:ascii="Times New Roman" w:hAnsi="Times New Roman" w:cs="Times New Roman"/>
          <w:bCs/>
          <w:sz w:val="20"/>
          <w:szCs w:val="20"/>
        </w:rPr>
        <w:fldChar w:fldCharType="separate"/>
      </w:r>
      <w:r w:rsidRPr="009D5481">
        <w:rPr>
          <w:rFonts w:ascii="Times New Roman" w:hAnsi="Times New Roman" w:cs="Times New Roman"/>
          <w:sz w:val="20"/>
          <w:vertAlign w:val="superscript"/>
        </w:rPr>
        <w:t>18</w:t>
      </w:r>
      <w:r w:rsidRPr="00E37C42">
        <w:rPr>
          <w:rFonts w:ascii="Times New Roman" w:hAnsi="Times New Roman" w:cs="Times New Roman"/>
          <w:bCs/>
          <w:sz w:val="20"/>
          <w:szCs w:val="20"/>
        </w:rPr>
        <w:fldChar w:fldCharType="end"/>
      </w:r>
      <w:r w:rsidRPr="00E37C42">
        <w:rPr>
          <w:rFonts w:ascii="Times New Roman" w:hAnsi="Times New Roman" w:cs="Times New Roman"/>
          <w:bCs/>
          <w:sz w:val="20"/>
          <w:szCs w:val="20"/>
        </w:rPr>
        <w:t xml:space="preserve"> Briefly, a series of dilutions of gelatin ranging from 0 to 2 mg/ml were made using PBS and </w:t>
      </w:r>
      <w:proofErr w:type="spellStart"/>
      <w:r w:rsidRPr="00E37C42">
        <w:rPr>
          <w:rFonts w:ascii="Times New Roman" w:hAnsi="Times New Roman" w:cs="Times New Roman"/>
          <w:bCs/>
          <w:sz w:val="20"/>
          <w:szCs w:val="20"/>
        </w:rPr>
        <w:t>GelMA</w:t>
      </w:r>
      <w:proofErr w:type="spellEnd"/>
      <w:r w:rsidRPr="00E37C42">
        <w:rPr>
          <w:rFonts w:ascii="Times New Roman" w:hAnsi="Times New Roman" w:cs="Times New Roman"/>
          <w:bCs/>
          <w:sz w:val="20"/>
          <w:szCs w:val="20"/>
        </w:rPr>
        <w:t xml:space="preserve"> was diluted to 1.25 mg/mL in PBS. After that, 90 </w:t>
      </w:r>
      <w:proofErr w:type="spellStart"/>
      <w:r w:rsidRPr="00E37C42">
        <w:rPr>
          <w:rFonts w:ascii="Times New Roman" w:hAnsi="Times New Roman" w:cs="Times New Roman"/>
          <w:bCs/>
          <w:sz w:val="20"/>
          <w:szCs w:val="20"/>
        </w:rPr>
        <w:t>μL</w:t>
      </w:r>
      <w:proofErr w:type="spellEnd"/>
      <w:r w:rsidRPr="00E37C42">
        <w:rPr>
          <w:rFonts w:ascii="Times New Roman" w:hAnsi="Times New Roman" w:cs="Times New Roman"/>
          <w:bCs/>
          <w:sz w:val="20"/>
          <w:szCs w:val="20"/>
        </w:rPr>
        <w:t xml:space="preserve"> aliquots of samples and standards were pipetted into a 96 well plate with 30 </w:t>
      </w:r>
      <w:proofErr w:type="spellStart"/>
      <w:r w:rsidRPr="00E37C42">
        <w:rPr>
          <w:rFonts w:ascii="Times New Roman" w:hAnsi="Times New Roman" w:cs="Times New Roman"/>
          <w:bCs/>
          <w:sz w:val="20"/>
          <w:szCs w:val="20"/>
        </w:rPr>
        <w:t>μL</w:t>
      </w:r>
      <w:proofErr w:type="spellEnd"/>
      <w:r w:rsidRPr="00E37C42">
        <w:rPr>
          <w:rFonts w:ascii="Times New Roman" w:hAnsi="Times New Roman" w:cs="Times New Roman"/>
          <w:bCs/>
          <w:sz w:val="20"/>
          <w:szCs w:val="20"/>
        </w:rPr>
        <w:t xml:space="preserve"> of a 3 mg/mL </w:t>
      </w:r>
      <w:proofErr w:type="spellStart"/>
      <w:r w:rsidRPr="00E37C42">
        <w:rPr>
          <w:rFonts w:ascii="Times New Roman" w:hAnsi="Times New Roman" w:cs="Times New Roman"/>
          <w:bCs/>
          <w:sz w:val="20"/>
          <w:szCs w:val="20"/>
        </w:rPr>
        <w:t>fluorescamine</w:t>
      </w:r>
      <w:proofErr w:type="spellEnd"/>
      <w:r w:rsidRPr="00E37C42">
        <w:rPr>
          <w:rFonts w:ascii="Times New Roman" w:hAnsi="Times New Roman" w:cs="Times New Roman"/>
          <w:bCs/>
          <w:sz w:val="20"/>
          <w:szCs w:val="20"/>
        </w:rPr>
        <w:t xml:space="preserve"> solution prepared in DMSO (n=6). Then, the microplate was placed on a microplate shaker for 30 min at room temperature under shielding from light, and the fluorescence intensity was measured using a plate reader at an excitation wavelength of 360 nm and emission wavelength of 465 nm (</w:t>
      </w:r>
      <w:proofErr w:type="spellStart"/>
      <w:r w:rsidRPr="00E37C42">
        <w:rPr>
          <w:rFonts w:ascii="Times New Roman" w:hAnsi="Times New Roman" w:cs="Times New Roman"/>
          <w:bCs/>
          <w:sz w:val="20"/>
          <w:szCs w:val="20"/>
        </w:rPr>
        <w:t>BioTek</w:t>
      </w:r>
      <w:proofErr w:type="spellEnd"/>
      <w:r w:rsidRPr="00E37C42">
        <w:rPr>
          <w:rFonts w:ascii="Times New Roman" w:hAnsi="Times New Roman" w:cs="Times New Roman"/>
          <w:bCs/>
          <w:sz w:val="20"/>
          <w:szCs w:val="20"/>
        </w:rPr>
        <w:t xml:space="preserve"> Synergy H1).  </w:t>
      </w:r>
    </w:p>
    <w:p w:rsidR="00DF64CD" w:rsidRDefault="00DF64CD" w:rsidP="00DF64CD">
      <w:pPr>
        <w:rPr>
          <w:rFonts w:ascii="Times New Roman" w:hAnsi="Times New Roman" w:cs="Times New Roman"/>
          <w:bCs/>
          <w:sz w:val="20"/>
          <w:szCs w:val="20"/>
        </w:rPr>
      </w:pPr>
    </w:p>
    <w:p w:rsidR="00DF64CD" w:rsidRPr="00DF64CD" w:rsidRDefault="00DF64CD" w:rsidP="00DF64CD">
      <w:pPr>
        <w:rPr>
          <w:rFonts w:ascii="Times New Roman" w:hAnsi="Times New Roman" w:cs="Times New Roman"/>
          <w:bCs/>
          <w:sz w:val="20"/>
          <w:szCs w:val="20"/>
          <w:u w:val="single"/>
        </w:rPr>
      </w:pPr>
      <w:r>
        <w:rPr>
          <w:rFonts w:ascii="Times New Roman" w:hAnsi="Times New Roman" w:cs="Times New Roman"/>
          <w:bCs/>
          <w:sz w:val="20"/>
          <w:szCs w:val="20"/>
          <w:u w:val="single"/>
        </w:rPr>
        <w:t>Interpenetrating network hydrogel formation</w:t>
      </w:r>
    </w:p>
    <w:p w:rsidR="00DF64CD" w:rsidRPr="00E37C42" w:rsidRDefault="00DF64CD" w:rsidP="00DF64CD">
      <w:pPr>
        <w:rPr>
          <w:rFonts w:ascii="Times New Roman" w:hAnsi="Times New Roman" w:cs="Times New Roman"/>
          <w:bCs/>
          <w:sz w:val="20"/>
          <w:szCs w:val="20"/>
        </w:rPr>
      </w:pPr>
      <w:r w:rsidRPr="00E37C42">
        <w:rPr>
          <w:rFonts w:ascii="Times New Roman" w:hAnsi="Times New Roman" w:cs="Times New Roman"/>
          <w:bCs/>
          <w:sz w:val="20"/>
          <w:szCs w:val="20"/>
        </w:rPr>
        <w:t xml:space="preserve">A 10% (w/v) </w:t>
      </w:r>
      <w:proofErr w:type="spellStart"/>
      <w:r w:rsidRPr="00E37C42">
        <w:rPr>
          <w:rFonts w:ascii="Times New Roman" w:hAnsi="Times New Roman" w:cs="Times New Roman"/>
          <w:bCs/>
          <w:sz w:val="20"/>
          <w:szCs w:val="20"/>
        </w:rPr>
        <w:t>GelMA</w:t>
      </w:r>
      <w:proofErr w:type="spellEnd"/>
      <w:r w:rsidRPr="00E37C42">
        <w:rPr>
          <w:rFonts w:ascii="Times New Roman" w:hAnsi="Times New Roman" w:cs="Times New Roman"/>
          <w:bCs/>
          <w:sz w:val="20"/>
          <w:szCs w:val="20"/>
        </w:rPr>
        <w:t xml:space="preserve"> solution was prepared by dissolving </w:t>
      </w:r>
      <w:proofErr w:type="spellStart"/>
      <w:r w:rsidRPr="00E37C42">
        <w:rPr>
          <w:rFonts w:ascii="Times New Roman" w:hAnsi="Times New Roman" w:cs="Times New Roman"/>
          <w:bCs/>
          <w:sz w:val="20"/>
          <w:szCs w:val="20"/>
        </w:rPr>
        <w:t>GelMA</w:t>
      </w:r>
      <w:proofErr w:type="spellEnd"/>
      <w:r w:rsidRPr="00E37C42">
        <w:rPr>
          <w:rFonts w:ascii="Times New Roman" w:hAnsi="Times New Roman" w:cs="Times New Roman"/>
          <w:bCs/>
          <w:sz w:val="20"/>
          <w:szCs w:val="20"/>
        </w:rPr>
        <w:t xml:space="preserve"> in DMEM containing 1% (w/v) lithium phenyl-2,4,6-trimethylbenzoylphosphinate (LAP) </w:t>
      </w:r>
      <w:proofErr w:type="spellStart"/>
      <w:r w:rsidRPr="00E37C42">
        <w:rPr>
          <w:rFonts w:ascii="Times New Roman" w:hAnsi="Times New Roman" w:cs="Times New Roman"/>
          <w:bCs/>
          <w:sz w:val="20"/>
          <w:szCs w:val="20"/>
        </w:rPr>
        <w:t>photoinitiator</w:t>
      </w:r>
      <w:proofErr w:type="spellEnd"/>
      <w:r w:rsidRPr="00E37C42">
        <w:rPr>
          <w:rFonts w:ascii="Times New Roman" w:hAnsi="Times New Roman" w:cs="Times New Roman"/>
          <w:bCs/>
          <w:sz w:val="20"/>
          <w:szCs w:val="20"/>
        </w:rPr>
        <w:t>. Next, alginate (6%, w/v) in DMEM and 1.2 M CaSO</w:t>
      </w:r>
      <w:r w:rsidRPr="00E37C42">
        <w:rPr>
          <w:rFonts w:ascii="Times New Roman" w:hAnsi="Times New Roman" w:cs="Times New Roman"/>
          <w:bCs/>
          <w:sz w:val="20"/>
          <w:szCs w:val="20"/>
          <w:vertAlign w:val="subscript"/>
        </w:rPr>
        <w:t xml:space="preserve">4 </w:t>
      </w:r>
      <w:r w:rsidRPr="00E37C42">
        <w:rPr>
          <w:rFonts w:ascii="Times New Roman" w:hAnsi="Times New Roman" w:cs="Times New Roman"/>
          <w:bCs/>
          <w:sz w:val="20"/>
          <w:szCs w:val="20"/>
        </w:rPr>
        <w:t>were prepared. Components were mixed to obtain hydrogels with a final concentration of 2% w/v alginate, 0.5% w/v</w:t>
      </w:r>
      <w:r w:rsidRPr="00E37C42" w:rsidDel="00421633">
        <w:rPr>
          <w:rFonts w:ascii="Times New Roman" w:hAnsi="Times New Roman" w:cs="Times New Roman"/>
          <w:bCs/>
          <w:sz w:val="20"/>
          <w:szCs w:val="20"/>
        </w:rPr>
        <w:t xml:space="preserve"> </w:t>
      </w:r>
      <w:proofErr w:type="spellStart"/>
      <w:r w:rsidRPr="00E37C42">
        <w:rPr>
          <w:rFonts w:ascii="Times New Roman" w:hAnsi="Times New Roman" w:cs="Times New Roman"/>
          <w:bCs/>
          <w:sz w:val="20"/>
          <w:szCs w:val="20"/>
        </w:rPr>
        <w:t>photoinitiator</w:t>
      </w:r>
      <w:proofErr w:type="spellEnd"/>
      <w:r w:rsidRPr="00E37C42">
        <w:rPr>
          <w:rFonts w:ascii="Times New Roman" w:hAnsi="Times New Roman" w:cs="Times New Roman"/>
          <w:bCs/>
          <w:sz w:val="20"/>
          <w:szCs w:val="20"/>
        </w:rPr>
        <w:t>, 5% w/v</w:t>
      </w:r>
      <w:r w:rsidRPr="00E37C42" w:rsidDel="00421633">
        <w:rPr>
          <w:rFonts w:ascii="Times New Roman" w:hAnsi="Times New Roman" w:cs="Times New Roman"/>
          <w:bCs/>
          <w:sz w:val="20"/>
          <w:szCs w:val="20"/>
        </w:rPr>
        <w:t xml:space="preserve"> </w:t>
      </w:r>
      <w:proofErr w:type="spellStart"/>
      <w:r w:rsidRPr="00E37C42">
        <w:rPr>
          <w:rFonts w:ascii="Times New Roman" w:hAnsi="Times New Roman" w:cs="Times New Roman"/>
          <w:bCs/>
          <w:sz w:val="20"/>
          <w:szCs w:val="20"/>
        </w:rPr>
        <w:t>GelMA</w:t>
      </w:r>
      <w:proofErr w:type="spellEnd"/>
      <w:r w:rsidRPr="00E37C42">
        <w:rPr>
          <w:rFonts w:ascii="Times New Roman" w:hAnsi="Times New Roman" w:cs="Times New Roman"/>
          <w:bCs/>
          <w:sz w:val="20"/>
          <w:szCs w:val="20"/>
        </w:rPr>
        <w:t>, and 25 mM CaSO</w:t>
      </w:r>
      <w:r w:rsidRPr="00E37C42">
        <w:rPr>
          <w:rFonts w:ascii="Times New Roman" w:hAnsi="Times New Roman" w:cs="Times New Roman"/>
          <w:bCs/>
          <w:sz w:val="20"/>
          <w:szCs w:val="20"/>
          <w:vertAlign w:val="subscript"/>
        </w:rPr>
        <w:t>4</w:t>
      </w:r>
      <w:r w:rsidRPr="00E37C42">
        <w:rPr>
          <w:rFonts w:ascii="Times New Roman" w:hAnsi="Times New Roman" w:cs="Times New Roman"/>
          <w:bCs/>
          <w:sz w:val="20"/>
          <w:szCs w:val="20"/>
        </w:rPr>
        <w:t xml:space="preserve">. Then, 900 µl of </w:t>
      </w:r>
      <w:proofErr w:type="spellStart"/>
      <w:r w:rsidRPr="00E37C42">
        <w:rPr>
          <w:rFonts w:ascii="Times New Roman" w:hAnsi="Times New Roman" w:cs="Times New Roman"/>
          <w:bCs/>
          <w:sz w:val="20"/>
          <w:szCs w:val="20"/>
        </w:rPr>
        <w:t>GelMA</w:t>
      </w:r>
      <w:proofErr w:type="spellEnd"/>
      <w:r w:rsidRPr="00E37C42">
        <w:rPr>
          <w:rFonts w:ascii="Times New Roman" w:hAnsi="Times New Roman" w:cs="Times New Roman"/>
          <w:bCs/>
          <w:sz w:val="20"/>
          <w:szCs w:val="20"/>
        </w:rPr>
        <w:t xml:space="preserve">-alginate solution was cast between two glass plates and exposed to light (405 nm) with an intensity of 6 </w:t>
      </w:r>
      <w:proofErr w:type="spellStart"/>
      <w:r w:rsidRPr="00E37C42">
        <w:rPr>
          <w:rFonts w:ascii="Times New Roman" w:hAnsi="Times New Roman" w:cs="Times New Roman"/>
          <w:bCs/>
          <w:sz w:val="20"/>
          <w:szCs w:val="20"/>
        </w:rPr>
        <w:t>mW</w:t>
      </w:r>
      <w:proofErr w:type="spellEnd"/>
      <w:r w:rsidRPr="00E37C42">
        <w:rPr>
          <w:rFonts w:ascii="Times New Roman" w:hAnsi="Times New Roman" w:cs="Times New Roman"/>
          <w:bCs/>
          <w:sz w:val="20"/>
          <w:szCs w:val="20"/>
        </w:rPr>
        <w:t>/cm</w:t>
      </w:r>
      <w:r w:rsidRPr="00E37C42">
        <w:rPr>
          <w:rFonts w:ascii="Times New Roman" w:hAnsi="Times New Roman" w:cs="Times New Roman"/>
          <w:bCs/>
          <w:sz w:val="20"/>
          <w:szCs w:val="20"/>
          <w:vertAlign w:val="superscript"/>
        </w:rPr>
        <w:t>2</w:t>
      </w:r>
      <w:r w:rsidRPr="00E37C42">
        <w:rPr>
          <w:rFonts w:ascii="Times New Roman" w:hAnsi="Times New Roman" w:cs="Times New Roman"/>
          <w:bCs/>
          <w:sz w:val="20"/>
          <w:szCs w:val="20"/>
        </w:rPr>
        <w:t xml:space="preserve"> for 5 seconds to crosslink the </w:t>
      </w:r>
      <w:proofErr w:type="spellStart"/>
      <w:r w:rsidRPr="00E37C42">
        <w:rPr>
          <w:rFonts w:ascii="Times New Roman" w:hAnsi="Times New Roman" w:cs="Times New Roman"/>
          <w:bCs/>
          <w:sz w:val="20"/>
          <w:szCs w:val="20"/>
        </w:rPr>
        <w:t>GelMA</w:t>
      </w:r>
      <w:proofErr w:type="spellEnd"/>
      <w:r w:rsidRPr="00E37C42">
        <w:rPr>
          <w:rFonts w:ascii="Times New Roman" w:hAnsi="Times New Roman" w:cs="Times New Roman"/>
          <w:bCs/>
          <w:sz w:val="20"/>
          <w:szCs w:val="20"/>
        </w:rPr>
        <w:t xml:space="preserve"> into a disc-shaped sample with a diameter of 5 mm and a thickness of 2 mm. Finally, the samples were immersed in DMEM at 37°C for 24 hours to hydrate and equilibrate before mechanical testing. To dynamically stiffen the hydrogels, a sequential crosslinking strategy was used. Briefly, the initially soft hydrogels prepared on day 1 were stiffened by radical polymerization of the remaining methacrylate groups after the hydrogel was swollen with LAP for 30 min and exposed to light for either 15 or 60 seconds, on day 2. </w:t>
      </w:r>
    </w:p>
    <w:p w:rsidR="00DF64CD" w:rsidRDefault="00DF64CD">
      <w:pPr>
        <w:rPr>
          <w:rFonts w:ascii="Times New Roman" w:hAnsi="Times New Roman" w:cs="Times New Roman"/>
          <w:sz w:val="20"/>
          <w:szCs w:val="20"/>
          <w:u w:val="single"/>
        </w:rPr>
      </w:pPr>
    </w:p>
    <w:p w:rsidR="00DF64CD" w:rsidRPr="00E37C42" w:rsidRDefault="00DF64CD" w:rsidP="00DF64CD">
      <w:pPr>
        <w:rPr>
          <w:rFonts w:ascii="Times New Roman" w:hAnsi="Times New Roman" w:cs="Times New Roman"/>
          <w:bCs/>
          <w:sz w:val="20"/>
          <w:szCs w:val="20"/>
          <w:u w:val="single"/>
        </w:rPr>
      </w:pPr>
      <w:r w:rsidRPr="00E37C42">
        <w:rPr>
          <w:rFonts w:ascii="Times New Roman" w:hAnsi="Times New Roman" w:cs="Times New Roman"/>
          <w:bCs/>
          <w:sz w:val="20"/>
          <w:szCs w:val="20"/>
          <w:u w:val="single"/>
        </w:rPr>
        <w:t>Cell Viability</w:t>
      </w:r>
    </w:p>
    <w:p w:rsidR="00DF64CD" w:rsidRPr="00DF64CD" w:rsidRDefault="00DF64CD">
      <w:pPr>
        <w:rPr>
          <w:rFonts w:ascii="Times New Roman" w:hAnsi="Times New Roman" w:cs="Times New Roman"/>
          <w:sz w:val="20"/>
          <w:szCs w:val="20"/>
          <w:u w:val="single"/>
        </w:rPr>
      </w:pPr>
      <w:r w:rsidRPr="00E37C42">
        <w:rPr>
          <w:rFonts w:ascii="Times New Roman" w:hAnsi="Times New Roman" w:cs="Times New Roman"/>
          <w:bCs/>
          <w:sz w:val="20"/>
          <w:szCs w:val="20"/>
        </w:rPr>
        <w:t xml:space="preserve">We assessed the cell viability after 24 h of dynamic stiffening at days 1 and 2 (n=3) using a LIVE/DEAD Cell Imaging Kit (488/570, Molecular Probes, Life Technologies Corp., CA, USA) following the protocol provided by the manufacturer. The kit labels live cells with </w:t>
      </w:r>
      <w:proofErr w:type="spellStart"/>
      <w:r w:rsidRPr="00E37C42">
        <w:rPr>
          <w:rFonts w:ascii="Times New Roman" w:hAnsi="Times New Roman" w:cs="Times New Roman"/>
          <w:bCs/>
          <w:sz w:val="20"/>
          <w:szCs w:val="20"/>
        </w:rPr>
        <w:t>calcein</w:t>
      </w:r>
      <w:proofErr w:type="spellEnd"/>
      <w:r w:rsidRPr="00E37C42">
        <w:rPr>
          <w:rFonts w:ascii="Times New Roman" w:hAnsi="Times New Roman" w:cs="Times New Roman"/>
          <w:bCs/>
          <w:sz w:val="20"/>
          <w:szCs w:val="20"/>
        </w:rPr>
        <w:t xml:space="preserve"> AM and dead cells with ethidium homodimer. To establish TCP positive control group, D1 cells were seeded at a density of 5×10³ cells/cm² in a 24-well tissue culture plate and cultured under standard conditions without exposure to light radiation. We used a laser scanning confocal microscope (Leica TCS-SP8) to visualize cells. Fluorescence images of live and dead cells were taken from the five different areas of one sample derived from one well at 10× magnification. All samples were analyzed in triplicate. Live and dead cells were counted by using Image J automated cell counting program by first performing a 16-bit grayscale conversion, followed by thresholding and particle analysis. The viability was defined as the number of live cells among the total number of cells. </w:t>
      </w:r>
      <w:bookmarkStart w:id="0" w:name="_GoBack"/>
      <w:bookmarkEnd w:id="0"/>
    </w:p>
    <w:sectPr w:rsidR="00DF64CD" w:rsidRPr="00DF64CD" w:rsidSect="000C5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dy C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CD"/>
    <w:rsid w:val="000C5CFC"/>
    <w:rsid w:val="00354168"/>
    <w:rsid w:val="009169C0"/>
    <w:rsid w:val="00C0418C"/>
    <w:rsid w:val="00DF6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7B63B-19B3-C045-BA0D-9AD7CD89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HAnsi" w:hAnsi="Helvetica" w:cs="Times New Roman (Body CS)"/>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Stowers</dc:creator>
  <cp:keywords/>
  <dc:description/>
  <cp:lastModifiedBy>Sumathi N.</cp:lastModifiedBy>
  <cp:revision>2</cp:revision>
  <dcterms:created xsi:type="dcterms:W3CDTF">2023-11-20T18:34:00Z</dcterms:created>
  <dcterms:modified xsi:type="dcterms:W3CDTF">2024-02-19T10:48:00Z</dcterms:modified>
</cp:coreProperties>
</file>