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E001ABA" w14:textId="545592A8" w:rsidR="00CB41EA" w:rsidRPr="0022173A" w:rsidRDefault="00904FD9" w:rsidP="00E37211">
      <w:pPr>
        <w:spacing w:line="276" w:lineRule="auto"/>
        <w:jc w:val="center"/>
        <w:rPr>
          <w:rFonts w:eastAsia="SimSun"/>
          <w:b/>
          <w:sz w:val="28"/>
          <w:szCs w:val="28"/>
          <w:lang w:eastAsia="zh-CN"/>
        </w:rPr>
      </w:pPr>
      <w:r w:rsidRPr="0022173A">
        <w:rPr>
          <w:rFonts w:eastAsia="SimSun"/>
          <w:b/>
          <w:sz w:val="28"/>
          <w:szCs w:val="28"/>
          <w:lang w:eastAsia="zh-CN"/>
        </w:rPr>
        <w:t xml:space="preserve">Supplementary </w:t>
      </w:r>
      <w:r w:rsidR="00CB41EA" w:rsidRPr="0022173A">
        <w:rPr>
          <w:rFonts w:eastAsia="SimSun"/>
          <w:b/>
          <w:sz w:val="28"/>
          <w:szCs w:val="28"/>
          <w:lang w:eastAsia="zh-CN"/>
        </w:rPr>
        <w:t>M</w:t>
      </w:r>
      <w:r w:rsidRPr="0022173A">
        <w:rPr>
          <w:rFonts w:eastAsia="SimSun"/>
          <w:b/>
          <w:sz w:val="28"/>
          <w:szCs w:val="28"/>
          <w:lang w:eastAsia="zh-CN"/>
        </w:rPr>
        <w:t>aterial</w:t>
      </w:r>
    </w:p>
    <w:p w14:paraId="44F57175" w14:textId="77777777" w:rsidR="00C36E06" w:rsidRPr="00C36E06" w:rsidRDefault="00C36E06" w:rsidP="00E37211">
      <w:pPr>
        <w:spacing w:after="0" w:line="276" w:lineRule="auto"/>
        <w:rPr>
          <w:rFonts w:eastAsia="SimSun"/>
          <w:b/>
          <w:color w:val="808080" w:themeColor="background1" w:themeShade="80"/>
          <w:sz w:val="28"/>
          <w:szCs w:val="28"/>
          <w:lang w:eastAsia="zh-CN"/>
        </w:rPr>
      </w:pPr>
      <w:r w:rsidRPr="00C36E06">
        <w:rPr>
          <w:rFonts w:eastAsia="SimSun"/>
          <w:b/>
          <w:color w:val="808080" w:themeColor="background1" w:themeShade="80"/>
          <w:sz w:val="28"/>
          <w:szCs w:val="28"/>
          <w:lang w:eastAsia="zh-CN"/>
        </w:rPr>
        <w:t xml:space="preserve">Microstructural Insights of Geopolymer Mortar Containing Cenosphere: Effects on </w:t>
      </w:r>
    </w:p>
    <w:p w14:paraId="1C2A1929" w14:textId="1D1F45CE" w:rsidR="005600D5" w:rsidRDefault="00C36E06" w:rsidP="00E37211">
      <w:pPr>
        <w:shd w:val="clear" w:color="auto" w:fill="FFFFFF"/>
        <w:spacing w:line="276" w:lineRule="auto"/>
        <w:jc w:val="center"/>
        <w:rPr>
          <w:rFonts w:eastAsia="SimSun"/>
          <w:b/>
          <w:color w:val="808080" w:themeColor="background1" w:themeShade="80"/>
          <w:sz w:val="28"/>
          <w:szCs w:val="28"/>
          <w:lang w:eastAsia="zh-CN"/>
        </w:rPr>
      </w:pPr>
      <w:r w:rsidRPr="00C36E06">
        <w:rPr>
          <w:rFonts w:eastAsia="SimSun"/>
          <w:b/>
          <w:color w:val="808080" w:themeColor="background1" w:themeShade="80"/>
          <w:sz w:val="28"/>
          <w:szCs w:val="28"/>
          <w:lang w:eastAsia="zh-CN"/>
        </w:rPr>
        <w:t>Fresh Properties and Durability</w:t>
      </w:r>
    </w:p>
    <w:p w14:paraId="3C96E77A" w14:textId="0DFE401D" w:rsidR="00FF313D" w:rsidRPr="000D6DAB" w:rsidRDefault="00FF313D" w:rsidP="00E37211">
      <w:pPr>
        <w:shd w:val="clear" w:color="auto" w:fill="FFFFFF"/>
        <w:spacing w:line="276" w:lineRule="auto"/>
        <w:rPr>
          <w:b/>
          <w:szCs w:val="24"/>
        </w:rPr>
      </w:pPr>
      <w:r w:rsidRPr="000D6DAB">
        <w:rPr>
          <w:b/>
          <w:szCs w:val="24"/>
        </w:rPr>
        <w:t xml:space="preserve">S.1. </w:t>
      </w:r>
      <w:r w:rsidR="00C36E06">
        <w:rPr>
          <w:b/>
          <w:szCs w:val="24"/>
        </w:rPr>
        <w:t xml:space="preserve">Fine </w:t>
      </w:r>
      <w:r w:rsidR="000106D4">
        <w:rPr>
          <w:b/>
          <w:szCs w:val="24"/>
        </w:rPr>
        <w:t xml:space="preserve">Aggregate </w:t>
      </w:r>
      <w:r w:rsidR="00C36E06">
        <w:rPr>
          <w:b/>
          <w:szCs w:val="24"/>
        </w:rPr>
        <w:t>Particle Size Distribution</w:t>
      </w:r>
    </w:p>
    <w:p w14:paraId="03D8A70E" w14:textId="1C4D6AF9" w:rsidR="004B42B1" w:rsidRPr="000D6DAB" w:rsidRDefault="00436FDA" w:rsidP="00E37211">
      <w:pPr>
        <w:shd w:val="clear" w:color="auto" w:fill="FFFFFF"/>
        <w:spacing w:line="276" w:lineRule="auto"/>
        <w:rPr>
          <w:bCs/>
          <w:szCs w:val="24"/>
        </w:rPr>
      </w:pPr>
      <w:r>
        <w:rPr>
          <w:bCs/>
          <w:szCs w:val="24"/>
        </w:rPr>
        <w:t>Fig.</w:t>
      </w:r>
      <w:r w:rsidR="004B42B1" w:rsidRPr="000D6DAB">
        <w:rPr>
          <w:bCs/>
          <w:szCs w:val="24"/>
        </w:rPr>
        <w:t xml:space="preserve"> S.1 shows the </w:t>
      </w:r>
      <w:r w:rsidR="000A3ED9" w:rsidRPr="000D6DAB">
        <w:rPr>
          <w:bCs/>
          <w:szCs w:val="24"/>
        </w:rPr>
        <w:t>particle size distribution of the natural sand used in the studied geopolymers.</w:t>
      </w:r>
    </w:p>
    <w:p w14:paraId="3E5CF844" w14:textId="4990A9F4" w:rsidR="004B42B1" w:rsidRPr="000D6DAB" w:rsidRDefault="004B42B1" w:rsidP="00E37211">
      <w:pPr>
        <w:shd w:val="clear" w:color="auto" w:fill="FFFFFF"/>
        <w:spacing w:after="0" w:line="276" w:lineRule="auto"/>
        <w:ind w:left="360"/>
        <w:jc w:val="center"/>
        <w:rPr>
          <w:b/>
          <w:szCs w:val="24"/>
        </w:rPr>
      </w:pPr>
      <w:r w:rsidRPr="000D6DAB">
        <w:rPr>
          <w:b/>
          <w:noProof/>
          <w:szCs w:val="24"/>
        </w:rPr>
        <w:drawing>
          <wp:inline distT="0" distB="0" distL="0" distR="0" wp14:anchorId="09E8B82C" wp14:editId="1BCD6A52">
            <wp:extent cx="4331672" cy="2218623"/>
            <wp:effectExtent l="0" t="0" r="0" b="0"/>
            <wp:docPr id="693160940" name="Picture 693160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31672" cy="2218623"/>
                    </a:xfrm>
                    <a:prstGeom prst="rect">
                      <a:avLst/>
                    </a:prstGeom>
                    <a:noFill/>
                  </pic:spPr>
                </pic:pic>
              </a:graphicData>
            </a:graphic>
          </wp:inline>
        </w:drawing>
      </w:r>
    </w:p>
    <w:p w14:paraId="6F3278D2" w14:textId="5F78EC41" w:rsidR="00943BF6" w:rsidRPr="00635D31" w:rsidRDefault="00436FDA" w:rsidP="00E37211">
      <w:pPr>
        <w:shd w:val="clear" w:color="auto" w:fill="FFFFFF"/>
        <w:spacing w:line="276" w:lineRule="auto"/>
        <w:ind w:left="360"/>
        <w:jc w:val="center"/>
        <w:rPr>
          <w:bCs/>
          <w:szCs w:val="24"/>
        </w:rPr>
      </w:pPr>
      <w:r>
        <w:rPr>
          <w:bCs/>
          <w:szCs w:val="24"/>
        </w:rPr>
        <w:t>Fig.</w:t>
      </w:r>
      <w:r w:rsidR="00DD5452" w:rsidRPr="00635D31">
        <w:rPr>
          <w:bCs/>
          <w:szCs w:val="24"/>
        </w:rPr>
        <w:t xml:space="preserve"> </w:t>
      </w:r>
      <w:r w:rsidR="000A3ED9" w:rsidRPr="00635D31">
        <w:rPr>
          <w:bCs/>
          <w:szCs w:val="24"/>
        </w:rPr>
        <w:t>S.</w:t>
      </w:r>
      <w:r w:rsidR="00DD5452" w:rsidRPr="00635D31">
        <w:rPr>
          <w:bCs/>
          <w:szCs w:val="24"/>
        </w:rPr>
        <w:t xml:space="preserve">1: </w:t>
      </w:r>
      <w:r w:rsidR="000A3ED9" w:rsidRPr="00635D31">
        <w:rPr>
          <w:bCs/>
          <w:szCs w:val="24"/>
        </w:rPr>
        <w:t xml:space="preserve">Particle size distribution </w:t>
      </w:r>
      <w:r w:rsidR="00DD5452" w:rsidRPr="00635D31">
        <w:rPr>
          <w:bCs/>
          <w:szCs w:val="24"/>
        </w:rPr>
        <w:t>curve of fine aggregate</w:t>
      </w:r>
    </w:p>
    <w:p w14:paraId="1B6AA69F" w14:textId="25695B13" w:rsidR="00C36E06" w:rsidRDefault="00C36E06" w:rsidP="00E37211">
      <w:pPr>
        <w:shd w:val="clear" w:color="auto" w:fill="FFFFFF"/>
        <w:spacing w:line="276" w:lineRule="auto"/>
        <w:rPr>
          <w:b/>
          <w:szCs w:val="24"/>
        </w:rPr>
      </w:pPr>
      <w:r w:rsidRPr="00635D31">
        <w:rPr>
          <w:b/>
          <w:szCs w:val="24"/>
        </w:rPr>
        <w:t>S.</w:t>
      </w:r>
      <w:r w:rsidR="003903A5">
        <w:rPr>
          <w:b/>
          <w:szCs w:val="24"/>
        </w:rPr>
        <w:t>2</w:t>
      </w:r>
      <w:r>
        <w:rPr>
          <w:b/>
          <w:szCs w:val="24"/>
        </w:rPr>
        <w:t>.</w:t>
      </w:r>
      <w:r w:rsidRPr="00635D31">
        <w:rPr>
          <w:b/>
          <w:szCs w:val="24"/>
        </w:rPr>
        <w:t xml:space="preserve"> Flowability</w:t>
      </w:r>
    </w:p>
    <w:p w14:paraId="6586EE56" w14:textId="1CC21CA0" w:rsidR="00C36E06" w:rsidRPr="007C421A" w:rsidRDefault="00436FDA" w:rsidP="00E37211">
      <w:pPr>
        <w:spacing w:line="276" w:lineRule="auto"/>
        <w:rPr>
          <w:szCs w:val="24"/>
        </w:rPr>
      </w:pPr>
      <w:r>
        <w:rPr>
          <w:szCs w:val="24"/>
        </w:rPr>
        <w:t>Fig.</w:t>
      </w:r>
      <w:r w:rsidR="00C36E06">
        <w:rPr>
          <w:szCs w:val="24"/>
        </w:rPr>
        <w:t xml:space="preserve"> S.2 illustrates the appearance of the geopolymers and OPC mortar just after the flowability test. All geopolymer mixtures were fabricated without adding excessive water or superplasticizers. The formulation emphasized the alkali activator, which constituted 60% of the binder, and absorption water for fine aggregates as a liquid component. Given that, a shiny, sticky, and highly cohesive nature of geopolymer mortar was observed in contrast to OPC. This effect can be attributed to the high viscosity of the Na</w:t>
      </w:r>
      <w:r w:rsidR="00C36E06" w:rsidRPr="007C421A">
        <w:rPr>
          <w:szCs w:val="24"/>
          <w:vertAlign w:val="subscript"/>
        </w:rPr>
        <w:t>2</w:t>
      </w:r>
      <w:r w:rsidR="00C36E06">
        <w:rPr>
          <w:szCs w:val="24"/>
        </w:rPr>
        <w:t>SiO</w:t>
      </w:r>
      <w:r w:rsidR="00C36E06" w:rsidRPr="007C421A">
        <w:rPr>
          <w:szCs w:val="24"/>
          <w:vertAlign w:val="subscript"/>
        </w:rPr>
        <w:t>3</w:t>
      </w:r>
      <w:r w:rsidR="00C36E06">
        <w:rPr>
          <w:szCs w:val="24"/>
          <w:vertAlign w:val="subscript"/>
        </w:rPr>
        <w:t xml:space="preserve"> </w:t>
      </w:r>
      <w:r w:rsidR="00C36E06">
        <w:rPr>
          <w:szCs w:val="24"/>
        </w:rPr>
        <w:t xml:space="preserve">solution and glass content </w:t>
      </w:r>
      <w:r w:rsidR="00C36E06">
        <w:rPr>
          <w:szCs w:val="24"/>
        </w:rPr>
        <w:fldChar w:fldCharType="begin"/>
      </w:r>
      <w:r w:rsidR="00C36E06">
        <w:rPr>
          <w:szCs w:val="24"/>
        </w:rPr>
        <w:instrText xml:space="preserve"> ADDIN EN.CITE &lt;EndNote&gt;&lt;Cite&gt;&lt;Author&gt;Nath&lt;/Author&gt;&lt;Year&gt;2014&lt;/Year&gt;&lt;RecNum&gt;1834&lt;/RecNum&gt;&lt;DisplayText&gt;[4]&lt;/DisplayText&gt;&lt;record&gt;&lt;rec-number&gt;1834&lt;/rec-number&gt;&lt;foreign-keys&gt;&lt;key app="EN" db-id="5tv920ax620wx5e9wra5swe00tzaszfzw5ws" timestamp="1702309381" guid="31c10d6d-f073-412d-8a87-40f8afc47517"&gt;1834&lt;/key&gt;&lt;/foreign-keys&gt;&lt;ref-type name="Journal Article"&gt;17&lt;/ref-type&gt;&lt;contributors&gt;&lt;authors&gt;&lt;author&gt;Nath, Pradip&lt;/author&gt;&lt;author&gt;Sarker, Prabir Kumar&lt;/author&gt;&lt;/authors&gt;&lt;/contributors&gt;&lt;titles&gt;&lt;title&gt;Effect of GGBFS on setting, workability and early strength properties of fly ash geopolymer concrete cured in ambient condition&lt;/title&gt;&lt;secondary-title&gt;Construction and Building materials&lt;/secondary-title&gt;&lt;/titles&gt;&lt;periodical&gt;&lt;full-title&gt;Construction and Building Materials&lt;/full-title&gt;&lt;abbr-1&gt;Constr. Build. Mater.&lt;/abbr-1&gt;&lt;/periodical&gt;&lt;pages&gt;163-171&lt;/pages&gt;&lt;volume&gt;66&lt;/volume&gt;&lt;dates&gt;&lt;year&gt;2014&lt;/year&gt;&lt;/dates&gt;&lt;isbn&gt;0950-0618&lt;/isbn&gt;&lt;urls&gt;&lt;/urls&gt;&lt;electronic-resource-num&gt;10.1016/j.conbuildmat.2014.05.080&lt;/electronic-resource-num&gt;&lt;/record&gt;&lt;/Cite&gt;&lt;/EndNote&gt;</w:instrText>
      </w:r>
      <w:r w:rsidR="00C36E06">
        <w:rPr>
          <w:szCs w:val="24"/>
        </w:rPr>
        <w:fldChar w:fldCharType="separate"/>
      </w:r>
      <w:r w:rsidR="00C36E06">
        <w:rPr>
          <w:noProof/>
          <w:szCs w:val="24"/>
        </w:rPr>
        <w:t>[4]</w:t>
      </w:r>
      <w:r w:rsidR="00C36E06">
        <w:rPr>
          <w:szCs w:val="24"/>
        </w:rPr>
        <w:fldChar w:fldCharType="end"/>
      </w:r>
      <w:r w:rsidR="00C36E06">
        <w:rPr>
          <w:szCs w:val="24"/>
        </w:rPr>
        <w:t xml:space="preserve">. Moreover, the geopolymer mortar indicated a higher tendency to flow by the action of gravity than OPC in the fresh state.  </w:t>
      </w:r>
    </w:p>
    <w:p w14:paraId="04724B83" w14:textId="77777777" w:rsidR="00C36E06" w:rsidRDefault="00C36E06" w:rsidP="00E37211">
      <w:pPr>
        <w:spacing w:line="276" w:lineRule="auto"/>
        <w:ind w:left="90"/>
        <w:jc w:val="center"/>
        <w:rPr>
          <w:szCs w:val="24"/>
        </w:rPr>
      </w:pPr>
      <w:r>
        <w:rPr>
          <w:noProof/>
          <w:szCs w:val="24"/>
        </w:rPr>
        <w:drawing>
          <wp:inline distT="0" distB="0" distL="0" distR="0" wp14:anchorId="168B01B9" wp14:editId="6DCDC51C">
            <wp:extent cx="3937771" cy="2514600"/>
            <wp:effectExtent l="0" t="0" r="5715" b="0"/>
            <wp:docPr id="511373477" name="Picture 1" descr="A group of circular objects with cement in th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634378" name="Picture 1" descr="A group of circular objects with cement in them&#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37771" cy="2514600"/>
                    </a:xfrm>
                    <a:prstGeom prst="rect">
                      <a:avLst/>
                    </a:prstGeom>
                    <a:noFill/>
                  </pic:spPr>
                </pic:pic>
              </a:graphicData>
            </a:graphic>
          </wp:inline>
        </w:drawing>
      </w:r>
    </w:p>
    <w:p w14:paraId="2FC79424" w14:textId="330D1A07" w:rsidR="00C36E06" w:rsidRPr="00635D31" w:rsidRDefault="00436FDA" w:rsidP="00E37211">
      <w:pPr>
        <w:shd w:val="clear" w:color="auto" w:fill="FFFFFF"/>
        <w:spacing w:line="276" w:lineRule="auto"/>
        <w:jc w:val="center"/>
        <w:rPr>
          <w:bCs/>
          <w:szCs w:val="24"/>
        </w:rPr>
      </w:pPr>
      <w:r>
        <w:rPr>
          <w:szCs w:val="24"/>
        </w:rPr>
        <w:t>Fig.</w:t>
      </w:r>
      <w:r w:rsidR="00C36E06" w:rsidRPr="00072EA3">
        <w:rPr>
          <w:szCs w:val="24"/>
        </w:rPr>
        <w:t xml:space="preserve"> </w:t>
      </w:r>
      <w:r w:rsidR="00C36E06">
        <w:rPr>
          <w:szCs w:val="24"/>
        </w:rPr>
        <w:t>S.2</w:t>
      </w:r>
      <w:r w:rsidR="00C36E06" w:rsidRPr="00072EA3">
        <w:rPr>
          <w:szCs w:val="24"/>
        </w:rPr>
        <w:t xml:space="preserve">: Flow table (a) S100, (b) S75-CE25, (c) S50-CE50, (d) S25-CE75, and (e) </w:t>
      </w:r>
      <w:r w:rsidR="00C36E06">
        <w:rPr>
          <w:szCs w:val="24"/>
        </w:rPr>
        <w:t>OPC</w:t>
      </w:r>
    </w:p>
    <w:p w14:paraId="1AC4682F" w14:textId="1D1B980D" w:rsidR="00C36E06" w:rsidRPr="00635D31" w:rsidRDefault="00C36E06" w:rsidP="00C36E06">
      <w:pPr>
        <w:spacing w:line="276" w:lineRule="auto"/>
        <w:jc w:val="left"/>
        <w:rPr>
          <w:b/>
          <w:bCs/>
          <w:szCs w:val="24"/>
        </w:rPr>
      </w:pPr>
      <w:r>
        <w:rPr>
          <w:b/>
          <w:bCs/>
          <w:szCs w:val="24"/>
        </w:rPr>
        <w:lastRenderedPageBreak/>
        <w:t>S.</w:t>
      </w:r>
      <w:r w:rsidR="00FC633D">
        <w:rPr>
          <w:b/>
          <w:bCs/>
          <w:szCs w:val="24"/>
        </w:rPr>
        <w:t>3</w:t>
      </w:r>
      <w:r>
        <w:rPr>
          <w:b/>
          <w:bCs/>
          <w:szCs w:val="24"/>
        </w:rPr>
        <w:t xml:space="preserve">. </w:t>
      </w:r>
      <w:r w:rsidRPr="00635D31">
        <w:rPr>
          <w:b/>
          <w:bCs/>
          <w:szCs w:val="24"/>
        </w:rPr>
        <w:t>Water Absorption</w:t>
      </w:r>
    </w:p>
    <w:p w14:paraId="6A06D466" w14:textId="5CC166F2" w:rsidR="00C36E06" w:rsidRDefault="00C36E06" w:rsidP="00C36E06">
      <w:pPr>
        <w:spacing w:line="276" w:lineRule="auto"/>
        <w:rPr>
          <w:szCs w:val="24"/>
        </w:rPr>
      </w:pPr>
      <w:r>
        <w:rPr>
          <w:szCs w:val="24"/>
        </w:rPr>
        <w:t xml:space="preserve">Water absorption tests were conducted on </w:t>
      </w:r>
      <w:r w:rsidRPr="00C36E06">
        <w:rPr>
          <w:szCs w:val="24"/>
        </w:rPr>
        <w:t xml:space="preserve">50.8x50.8x50.8 mm </w:t>
      </w:r>
      <w:r>
        <w:rPr>
          <w:szCs w:val="24"/>
        </w:rPr>
        <w:t>samples. The procedure for water</w:t>
      </w:r>
      <w:r w:rsidRPr="00264EA5">
        <w:rPr>
          <w:szCs w:val="24"/>
        </w:rPr>
        <w:t xml:space="preserve"> absorption was </w:t>
      </w:r>
      <w:r>
        <w:rPr>
          <w:szCs w:val="24"/>
        </w:rPr>
        <w:t xml:space="preserve">adopted from </w:t>
      </w:r>
      <w:r w:rsidRPr="00B20F78">
        <w:rPr>
          <w:szCs w:val="24"/>
        </w:rPr>
        <w:t>ASTM C642</w:t>
      </w:r>
      <w:r>
        <w:rPr>
          <w:szCs w:val="24"/>
        </w:rPr>
        <w:t xml:space="preserve"> </w:t>
      </w:r>
      <w:r>
        <w:rPr>
          <w:szCs w:val="24"/>
        </w:rPr>
        <w:fldChar w:fldCharType="begin"/>
      </w:r>
      <w:r>
        <w:rPr>
          <w:szCs w:val="24"/>
        </w:rPr>
        <w:instrText xml:space="preserve"> ADDIN EN.CITE &lt;EndNote&gt;&lt;Cite&gt;&lt;Author&gt;ASTM C642&lt;/Author&gt;&lt;Year&gt;2013&lt;/Year&gt;&lt;RecNum&gt;119&lt;/RecNum&gt;&lt;DisplayText&gt;[2]&lt;/DisplayText&gt;&lt;record&gt;&lt;rec-number&gt;119&lt;/rec-number&gt;&lt;foreign-keys&gt;&lt;key app="EN" db-id="s55srsd5vaxtd4e9ff4v9raozw2avevefpv0" timestamp="1733830391"&gt;119&lt;/key&gt;&lt;/foreign-keys&gt;&lt;ref-type name="Journal Article"&gt;17&lt;/ref-type&gt;&lt;contributors&gt;&lt;authors&gt;&lt;author&gt;ASTM C642, A&lt;/author&gt;&lt;/authors&gt;&lt;/contributors&gt;&lt;titles&gt;&lt;title&gt;Standard test method for density, absorption, and voids in hardened concrete&lt;/title&gt;&lt;secondary-title&gt;ASTM, ASTM International&lt;/secondary-title&gt;&lt;/titles&gt;&lt;periodical&gt;&lt;full-title&gt;ASTM, ASTM International&lt;/full-title&gt;&lt;/periodical&gt;&lt;dates&gt;&lt;year&gt;2013&lt;/year&gt;&lt;/dates&gt;&lt;urls&gt;&lt;/urls&gt;&lt;/record&gt;&lt;/Cite&gt;&lt;/EndNote&gt;</w:instrText>
      </w:r>
      <w:r>
        <w:rPr>
          <w:szCs w:val="24"/>
        </w:rPr>
        <w:fldChar w:fldCharType="separate"/>
      </w:r>
      <w:r>
        <w:rPr>
          <w:noProof/>
          <w:szCs w:val="24"/>
        </w:rPr>
        <w:t>[2]</w:t>
      </w:r>
      <w:r>
        <w:rPr>
          <w:szCs w:val="24"/>
        </w:rPr>
        <w:fldChar w:fldCharType="end"/>
      </w:r>
      <w:r>
        <w:rPr>
          <w:szCs w:val="24"/>
        </w:rPr>
        <w:t xml:space="preserve"> to measure it </w:t>
      </w:r>
      <w:r w:rsidRPr="00264EA5">
        <w:rPr>
          <w:szCs w:val="24"/>
        </w:rPr>
        <w:t xml:space="preserve">at 28 and 91 days. The specimens were first cured in </w:t>
      </w:r>
      <w:r>
        <w:rPr>
          <w:szCs w:val="24"/>
        </w:rPr>
        <w:t xml:space="preserve">a curing chamber </w:t>
      </w:r>
      <w:r w:rsidRPr="00264EA5">
        <w:rPr>
          <w:szCs w:val="24"/>
        </w:rPr>
        <w:t xml:space="preserve">till testing age and then placed in </w:t>
      </w:r>
      <w:r>
        <w:rPr>
          <w:szCs w:val="24"/>
        </w:rPr>
        <w:t xml:space="preserve">an </w:t>
      </w:r>
      <w:r w:rsidRPr="00264EA5">
        <w:rPr>
          <w:szCs w:val="24"/>
        </w:rPr>
        <w:t xml:space="preserve">oven at 105 ± 5°C for 24 hours. Water absorption was calculated by </w:t>
      </w:r>
      <w:r>
        <w:rPr>
          <w:szCs w:val="24"/>
        </w:rPr>
        <w:t xml:space="preserve">Eq. S1 as shown below.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gridCol w:w="955"/>
      </w:tblGrid>
      <w:tr w:rsidR="00C36E06" w:rsidRPr="00EF1109" w14:paraId="77B8C5D0" w14:textId="77777777" w:rsidTr="00E37211">
        <w:tc>
          <w:tcPr>
            <w:tcW w:w="4521" w:type="pct"/>
            <w:vAlign w:val="center"/>
          </w:tcPr>
          <w:p w14:paraId="230F4910" w14:textId="77777777" w:rsidR="00C36E06" w:rsidRPr="00EF1109" w:rsidRDefault="00C36E06" w:rsidP="00E35068">
            <w:pPr>
              <w:spacing w:after="0" w:line="276" w:lineRule="auto"/>
              <w:jc w:val="center"/>
              <w:rPr>
                <w:iCs/>
                <w:szCs w:val="24"/>
              </w:rPr>
            </w:pPr>
            <m:oMathPara>
              <m:oMath>
                <m:r>
                  <m:rPr>
                    <m:sty m:val="p"/>
                  </m:rPr>
                  <w:rPr>
                    <w:rFonts w:ascii="Cambria Math" w:hAnsi="Cambria Math"/>
                    <w:szCs w:val="28"/>
                  </w:rPr>
                  <m:t xml:space="preserve">Water Absorption </m:t>
                </m:r>
                <m:d>
                  <m:dPr>
                    <m:ctrlPr>
                      <w:rPr>
                        <w:rFonts w:ascii="Cambria Math" w:hAnsi="Cambria Math"/>
                        <w:iCs/>
                        <w:szCs w:val="28"/>
                      </w:rPr>
                    </m:ctrlPr>
                  </m:dPr>
                  <m:e>
                    <m:r>
                      <m:rPr>
                        <m:sty m:val="p"/>
                      </m:rPr>
                      <w:rPr>
                        <w:rFonts w:ascii="Cambria Math" w:hAnsi="Cambria Math"/>
                        <w:szCs w:val="28"/>
                      </w:rPr>
                      <m:t>%</m:t>
                    </m:r>
                  </m:e>
                </m:d>
                <m:r>
                  <m:rPr>
                    <m:sty m:val="p"/>
                  </m:rPr>
                  <w:rPr>
                    <w:rFonts w:ascii="Cambria Math" w:hAnsi="Cambria Math"/>
                    <w:szCs w:val="28"/>
                  </w:rPr>
                  <m:t>=</m:t>
                </m:r>
                <m:f>
                  <m:fPr>
                    <m:ctrlPr>
                      <w:rPr>
                        <w:rFonts w:ascii="Cambria Math" w:hAnsi="Cambria Math"/>
                        <w:iCs/>
                        <w:szCs w:val="28"/>
                      </w:rPr>
                    </m:ctrlPr>
                  </m:fPr>
                  <m:num>
                    <m:sSub>
                      <m:sSubPr>
                        <m:ctrlPr>
                          <w:rPr>
                            <w:rFonts w:ascii="Cambria Math" w:hAnsi="Cambria Math"/>
                            <w:iCs/>
                            <w:szCs w:val="28"/>
                          </w:rPr>
                        </m:ctrlPr>
                      </m:sSubPr>
                      <m:e>
                        <m:r>
                          <m:rPr>
                            <m:sty m:val="p"/>
                          </m:rPr>
                          <w:rPr>
                            <w:rFonts w:ascii="Cambria Math" w:hAnsi="Cambria Math"/>
                            <w:szCs w:val="28"/>
                          </w:rPr>
                          <m:t>m</m:t>
                        </m:r>
                      </m:e>
                      <m:sub>
                        <m:r>
                          <m:rPr>
                            <m:sty m:val="p"/>
                          </m:rPr>
                          <w:rPr>
                            <w:rFonts w:ascii="Cambria Math" w:hAnsi="Cambria Math"/>
                            <w:szCs w:val="28"/>
                          </w:rPr>
                          <m:t>1</m:t>
                        </m:r>
                      </m:sub>
                    </m:sSub>
                    <m:r>
                      <m:rPr>
                        <m:sty m:val="p"/>
                      </m:rPr>
                      <w:rPr>
                        <w:rFonts w:ascii="Cambria Math" w:hAnsi="Cambria Math"/>
                        <w:szCs w:val="28"/>
                      </w:rPr>
                      <m:t>-</m:t>
                    </m:r>
                    <m:sSub>
                      <m:sSubPr>
                        <m:ctrlPr>
                          <w:rPr>
                            <w:rFonts w:ascii="Cambria Math" w:hAnsi="Cambria Math"/>
                            <w:iCs/>
                            <w:szCs w:val="28"/>
                          </w:rPr>
                        </m:ctrlPr>
                      </m:sSubPr>
                      <m:e>
                        <m:r>
                          <m:rPr>
                            <m:sty m:val="p"/>
                          </m:rPr>
                          <w:rPr>
                            <w:rFonts w:ascii="Cambria Math" w:hAnsi="Cambria Math"/>
                            <w:szCs w:val="28"/>
                          </w:rPr>
                          <m:t>m</m:t>
                        </m:r>
                      </m:e>
                      <m:sub>
                        <m:r>
                          <w:rPr>
                            <w:rFonts w:ascii="Cambria Math" w:hAnsi="Cambria Math"/>
                            <w:szCs w:val="28"/>
                          </w:rPr>
                          <m:t>2</m:t>
                        </m:r>
                      </m:sub>
                    </m:sSub>
                  </m:num>
                  <m:den>
                    <m:sSub>
                      <m:sSubPr>
                        <m:ctrlPr>
                          <w:rPr>
                            <w:rFonts w:ascii="Cambria Math" w:hAnsi="Cambria Math"/>
                            <w:iCs/>
                            <w:szCs w:val="28"/>
                          </w:rPr>
                        </m:ctrlPr>
                      </m:sSubPr>
                      <m:e>
                        <m:r>
                          <m:rPr>
                            <m:sty m:val="p"/>
                          </m:rPr>
                          <w:rPr>
                            <w:rFonts w:ascii="Cambria Math" w:hAnsi="Cambria Math"/>
                            <w:szCs w:val="28"/>
                          </w:rPr>
                          <m:t>m</m:t>
                        </m:r>
                      </m:e>
                      <m:sub>
                        <m:r>
                          <w:rPr>
                            <w:rFonts w:ascii="Cambria Math" w:hAnsi="Cambria Math"/>
                            <w:szCs w:val="28"/>
                          </w:rPr>
                          <m:t>2</m:t>
                        </m:r>
                      </m:sub>
                    </m:sSub>
                  </m:den>
                </m:f>
                <m:r>
                  <m:rPr>
                    <m:sty m:val="p"/>
                  </m:rPr>
                  <w:rPr>
                    <w:rFonts w:ascii="Cambria Math" w:hAnsi="Cambria Math"/>
                    <w:szCs w:val="28"/>
                  </w:rPr>
                  <m:t xml:space="preserve"> x 100</m:t>
                </m:r>
              </m:oMath>
            </m:oMathPara>
          </w:p>
        </w:tc>
        <w:tc>
          <w:tcPr>
            <w:tcW w:w="479" w:type="pct"/>
            <w:vAlign w:val="center"/>
          </w:tcPr>
          <w:p w14:paraId="1C72B5E5" w14:textId="77777777" w:rsidR="00C36E06" w:rsidRPr="00EF1109" w:rsidRDefault="00C36E06" w:rsidP="00E37211">
            <w:pPr>
              <w:spacing w:after="0" w:line="276" w:lineRule="auto"/>
              <w:jc w:val="right"/>
              <w:rPr>
                <w:szCs w:val="24"/>
              </w:rPr>
            </w:pPr>
            <w:r w:rsidRPr="00EF1109">
              <w:rPr>
                <w:szCs w:val="24"/>
              </w:rPr>
              <w:t xml:space="preserve">Eq. </w:t>
            </w:r>
            <w:r>
              <w:rPr>
                <w:szCs w:val="24"/>
              </w:rPr>
              <w:t>S1</w:t>
            </w:r>
          </w:p>
        </w:tc>
      </w:tr>
    </w:tbl>
    <w:p w14:paraId="0689C28A" w14:textId="77777777" w:rsidR="00C36E06" w:rsidRDefault="00C36E06" w:rsidP="00C36E06">
      <w:pPr>
        <w:spacing w:line="276" w:lineRule="auto"/>
        <w:rPr>
          <w:szCs w:val="24"/>
        </w:rPr>
      </w:pPr>
      <w:r w:rsidRPr="00EF1109">
        <w:rPr>
          <w:szCs w:val="24"/>
        </w:rPr>
        <w:t>Where m</w:t>
      </w:r>
      <w:r w:rsidRPr="00EF1109">
        <w:rPr>
          <w:szCs w:val="24"/>
          <w:vertAlign w:val="subscript"/>
        </w:rPr>
        <w:t>1</w:t>
      </w:r>
      <w:r w:rsidRPr="00EF1109">
        <w:rPr>
          <w:szCs w:val="24"/>
        </w:rPr>
        <w:t>= Saturated surface dry (SSD) mass; m</w:t>
      </w:r>
      <w:r w:rsidRPr="00EF1109">
        <w:rPr>
          <w:szCs w:val="24"/>
          <w:vertAlign w:val="subscript"/>
        </w:rPr>
        <w:t>2</w:t>
      </w:r>
      <w:r w:rsidRPr="00EF1109">
        <w:rPr>
          <w:szCs w:val="24"/>
        </w:rPr>
        <w:t>= Oven dry mass</w:t>
      </w:r>
    </w:p>
    <w:p w14:paraId="7BDDA4F8" w14:textId="264EBEB5" w:rsidR="00C36E06" w:rsidRPr="008E5E30" w:rsidRDefault="00436FDA" w:rsidP="00C36E06">
      <w:pPr>
        <w:spacing w:line="276" w:lineRule="auto"/>
        <w:rPr>
          <w:szCs w:val="24"/>
        </w:rPr>
      </w:pPr>
      <w:r>
        <w:rPr>
          <w:szCs w:val="24"/>
        </w:rPr>
        <w:t>Fig.</w:t>
      </w:r>
      <w:r w:rsidR="00C36E06">
        <w:rPr>
          <w:szCs w:val="24"/>
        </w:rPr>
        <w:t xml:space="preserve"> S.3 shows t</w:t>
      </w:r>
      <w:r w:rsidR="00C36E06" w:rsidRPr="008E5E30">
        <w:rPr>
          <w:szCs w:val="24"/>
        </w:rPr>
        <w:t>he water absorption of all geopolymer specimens and OPC mortar at 28 and 91 days</w:t>
      </w:r>
      <w:r w:rsidR="00C36E06">
        <w:rPr>
          <w:szCs w:val="24"/>
        </w:rPr>
        <w:t xml:space="preserve">. </w:t>
      </w:r>
      <w:r w:rsidR="00C36E06" w:rsidRPr="008E5E30">
        <w:rPr>
          <w:szCs w:val="24"/>
        </w:rPr>
        <w:t xml:space="preserve">The water absorption of all mix designs increased with age and can be related to the increased porosity of mixtures over time. The OPC mortar showed the least water absorption among all mixes. </w:t>
      </w:r>
    </w:p>
    <w:p w14:paraId="010EAC64" w14:textId="77777777" w:rsidR="00C36E06" w:rsidRPr="008E5E30" w:rsidRDefault="00C36E06" w:rsidP="00C36E06">
      <w:pPr>
        <w:spacing w:line="276" w:lineRule="auto"/>
        <w:rPr>
          <w:szCs w:val="24"/>
        </w:rPr>
      </w:pPr>
      <w:r w:rsidRPr="008E5E30">
        <w:rPr>
          <w:szCs w:val="24"/>
        </w:rPr>
        <w:t xml:space="preserve">Cenosphere incorporation effectively increased water absorption with increasing percentage substitution. The maximum water absorption was recorded for S25-CE75, reaching up to 19.3% at 91 days followed by S50-CE50, S75-CE25, and S100. The water absorption values for S50-CE50, S75-CE25, and S100 were found to be 13.4%, 12.1%, and 10.2%, respectively at 91 days. </w:t>
      </w:r>
    </w:p>
    <w:p w14:paraId="2AF83A31" w14:textId="77777777" w:rsidR="00C36E06" w:rsidRPr="008E5E30" w:rsidRDefault="00C36E06" w:rsidP="00C36E06">
      <w:pPr>
        <w:spacing w:line="276" w:lineRule="auto"/>
        <w:rPr>
          <w:szCs w:val="24"/>
        </w:rPr>
      </w:pPr>
      <w:r w:rsidRPr="008E5E30">
        <w:rPr>
          <w:szCs w:val="24"/>
        </w:rPr>
        <w:t>The elevated water absorption observed with greater cenosphere integration can be ascribed to its spherical morphology, increased porosity, reduced packing density, and equilibrium moisture content (EMC) approximately 18 times greater than that of sand</w:t>
      </w:r>
      <w:r>
        <w:rPr>
          <w:szCs w:val="24"/>
        </w:rPr>
        <w:t xml:space="preserve"> </w:t>
      </w:r>
      <w:r>
        <w:rPr>
          <w:szCs w:val="24"/>
        </w:rPr>
        <w:fldChar w:fldCharType="begin">
          <w:fldData xml:space="preserve">PEVuZE5vdGU+PENpdGU+PEF1dGhvcj5TYWxpbTwvQXV0aG9yPjxZZWFyPjIwMjE8L1llYXI+PFJl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</w:fldData>
        </w:fldChar>
      </w:r>
      <w:r w:rsidRPr="00C36E06">
        <w:rPr>
          <w:szCs w:val="24"/>
        </w:rPr>
        <w:instrText xml:space="preserve"> ADDIN EN.CITE </w:instrText>
      </w:r>
      <w:r w:rsidRPr="00C36E06">
        <w:rPr>
          <w:szCs w:val="24"/>
        </w:rPr>
        <w:fldChar w:fldCharType="begin">
          <w:fldData xml:space="preserve">PEVuZE5vdGU+PENpdGU+PEF1dGhvcj5TYWxpbTwvQXV0aG9yPjxZZWFyPjIwMjE8L1llYXI+PFJl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</w:fldData>
        </w:fldChar>
      </w:r>
      <w:r w:rsidRPr="00C36E06">
        <w:rPr>
          <w:szCs w:val="24"/>
        </w:rPr>
        <w:instrText xml:space="preserve"> ADDIN EN.CITE.DATA </w:instrText>
      </w:r>
      <w:r w:rsidRPr="00C36E06">
        <w:rPr>
          <w:szCs w:val="24"/>
        </w:rPr>
      </w:r>
      <w:r w:rsidRPr="00C36E06">
        <w:rPr>
          <w:szCs w:val="24"/>
        </w:rPr>
        <w:fldChar w:fldCharType="end"/>
      </w:r>
      <w:r>
        <w:rPr>
          <w:szCs w:val="24"/>
        </w:rPr>
      </w:r>
      <w:r>
        <w:rPr>
          <w:szCs w:val="24"/>
        </w:rPr>
        <w:fldChar w:fldCharType="separate"/>
      </w:r>
      <w:r>
        <w:rPr>
          <w:noProof/>
          <w:szCs w:val="24"/>
        </w:rPr>
        <w:t>[11-13]</w:t>
      </w:r>
      <w:r>
        <w:rPr>
          <w:szCs w:val="24"/>
        </w:rPr>
        <w:fldChar w:fldCharType="end"/>
      </w:r>
      <w:r w:rsidRPr="008E5E30">
        <w:rPr>
          <w:szCs w:val="24"/>
        </w:rPr>
        <w:t xml:space="preserve">. Barbare et al. </w:t>
      </w:r>
      <w:r>
        <w:rPr>
          <w:szCs w:val="24"/>
        </w:rPr>
        <w:fldChar w:fldCharType="begin"/>
      </w:r>
      <w:r>
        <w:rPr>
          <w:szCs w:val="24"/>
        </w:rPr>
        <w:instrText xml:space="preserve"> ADDIN EN.CITE &lt;EndNote&gt;&lt;Cite&gt;&lt;Author&gt;Barbare&lt;/Author&gt;&lt;Year&gt;2003&lt;/Year&gt;&lt;RecNum&gt;1766&lt;/RecNum&gt;&lt;DisplayText&gt;[14]&lt;/DisplayText&gt;&lt;record&gt;&lt;rec-number&gt;1766&lt;/rec-number&gt;&lt;foreign-keys&gt;&lt;key app="EN" db-id="5tv920ax620wx5e9wra5swe00tzaszfzw5ws" timestamp="1700238418" guid="7dde77e6-81ae-482f-b82d-191f8cd72534"&gt;1766&lt;/key&gt;&lt;/foreign-keys&gt;&lt;ref-type name="Journal Article"&gt;17&lt;/ref-type&gt;&lt;contributors&gt;&lt;authors&gt;&lt;author&gt;Barbare, Nikhil&lt;/author&gt;&lt;author&gt;Shukla, Arun&lt;/author&gt;&lt;author&gt;Bose, Arijit&lt;/author&gt;&lt;/authors&gt;&lt;/contributors&gt;&lt;titles&gt;&lt;title&gt;Uptake and loss of water in a cenosphere–concrete composite material&lt;/title&gt;&lt;secondary-title&gt;Cement and Concrete Research&lt;/secondary-title&gt;&lt;/titles&gt;&lt;periodical&gt;&lt;full-title&gt;Cement and Concrete Research&lt;/full-title&gt;&lt;abbr-1&gt;Cem. Concr. Res.&lt;/abbr-1&gt;&lt;abbr-2&gt;Cem Concr Res&lt;/abbr-2&gt;&lt;/periodical&gt;&lt;pages&gt;1681-1686&lt;/pages&gt;&lt;volume&gt;33&lt;/volume&gt;&lt;number&gt;10&lt;/number&gt;&lt;dates&gt;&lt;year&gt;2003&lt;/year&gt;&lt;/dates&gt;&lt;isbn&gt;0008-8846&lt;/isbn&gt;&lt;urls&gt;&lt;/urls&gt;&lt;electronic-resource-num&gt;10.1016/S0008-8846(03)00148-0&lt;/electronic-resource-num&gt;&lt;/record&gt;&lt;/Cite&gt;&lt;/EndNote&gt;</w:instrText>
      </w:r>
      <w:r>
        <w:rPr>
          <w:szCs w:val="24"/>
        </w:rPr>
        <w:fldChar w:fldCharType="separate"/>
      </w:r>
      <w:r>
        <w:rPr>
          <w:noProof/>
          <w:szCs w:val="24"/>
        </w:rPr>
        <w:t>[14]</w:t>
      </w:r>
      <w:r>
        <w:rPr>
          <w:szCs w:val="24"/>
        </w:rPr>
        <w:fldChar w:fldCharType="end"/>
      </w:r>
      <w:r w:rsidRPr="008E5E30">
        <w:rPr>
          <w:szCs w:val="24"/>
        </w:rPr>
        <w:t xml:space="preserve"> also documented that cenospheres exhibit a notable capacity for water absorption, surpassing even that of sand by a significant margin. This occurrence can be ascribed to </w:t>
      </w:r>
      <w:r>
        <w:rPr>
          <w:szCs w:val="24"/>
        </w:rPr>
        <w:t>open pores arising</w:t>
      </w:r>
      <w:r w:rsidRPr="008E5E30">
        <w:rPr>
          <w:szCs w:val="24"/>
        </w:rPr>
        <w:t xml:space="preserve"> from the spherical shape and hollow interior of the cenospheres </w:t>
      </w:r>
      <w:r>
        <w:rPr>
          <w:szCs w:val="24"/>
        </w:rPr>
        <w:fldChar w:fldCharType="begin">
          <w:fldData xml:space="preserve">PEVuZE5vdGU+PENpdGU+PEF1dGhvcj5TYXRwYXRoeTwvQXV0aG9yPjxZZWFyPjIwMTk8L1llYXI+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</w:fldData>
        </w:fldChar>
      </w:r>
      <w:r>
        <w:rPr>
          <w:szCs w:val="24"/>
        </w:rPr>
        <w:instrText xml:space="preserve"> ADDIN EN.CITE </w:instrText>
      </w:r>
      <w:r>
        <w:rPr>
          <w:szCs w:val="24"/>
        </w:rPr>
        <w:fldChar w:fldCharType="begin">
          <w:fldData xml:space="preserve">PEVuZE5vdGU+PENpdGU+PEF1dGhvcj5TYXRwYXRoeTwvQXV0aG9yPjxZZWFyPjIwMTk8L1llYXI+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</w:fldData>
        </w:fldChar>
      </w:r>
      <w:r>
        <w:rPr>
          <w:szCs w:val="24"/>
        </w:rPr>
        <w:instrText xml:space="preserve"> ADDIN EN.CITE.DATA </w:instrText>
      </w:r>
      <w:r>
        <w:rPr>
          <w:szCs w:val="24"/>
        </w:rPr>
      </w:r>
      <w:r>
        <w:rPr>
          <w:szCs w:val="24"/>
        </w:rPr>
        <w:fldChar w:fldCharType="end"/>
      </w:r>
      <w:r>
        <w:rPr>
          <w:szCs w:val="24"/>
        </w:rPr>
      </w:r>
      <w:r>
        <w:rPr>
          <w:szCs w:val="24"/>
        </w:rPr>
        <w:fldChar w:fldCharType="separate"/>
      </w:r>
      <w:r>
        <w:rPr>
          <w:noProof/>
          <w:szCs w:val="24"/>
        </w:rPr>
        <w:t>[15, 16]</w:t>
      </w:r>
      <w:r>
        <w:rPr>
          <w:szCs w:val="24"/>
        </w:rPr>
        <w:fldChar w:fldCharType="end"/>
      </w:r>
      <w:r>
        <w:rPr>
          <w:szCs w:val="24"/>
        </w:rPr>
        <w:t xml:space="preserve">. </w:t>
      </w:r>
    </w:p>
    <w:p w14:paraId="0FDD36AF" w14:textId="77777777" w:rsidR="00C36E06" w:rsidRPr="00AC61E9" w:rsidRDefault="00C36E06" w:rsidP="00C36E06">
      <w:pPr>
        <w:spacing w:line="276" w:lineRule="auto"/>
        <w:ind w:left="90"/>
        <w:jc w:val="center"/>
        <w:rPr>
          <w:b/>
          <w:bCs/>
          <w:szCs w:val="24"/>
        </w:rPr>
      </w:pPr>
      <w:r>
        <w:rPr>
          <w:b/>
          <w:bCs/>
          <w:noProof/>
          <w:szCs w:val="24"/>
        </w:rPr>
        <w:drawing>
          <wp:inline distT="0" distB="0" distL="0" distR="0" wp14:anchorId="4CFE69B4" wp14:editId="0AACEDBE">
            <wp:extent cx="3433073" cy="2514600"/>
            <wp:effectExtent l="0" t="0" r="0" b="0"/>
            <wp:docPr id="1375228155" name="Picture 4"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182504" name="Picture 4" descr="A screenshot of a video gam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33073" cy="2514600"/>
                    </a:xfrm>
                    <a:prstGeom prst="rect">
                      <a:avLst/>
                    </a:prstGeom>
                    <a:noFill/>
                  </pic:spPr>
                </pic:pic>
              </a:graphicData>
            </a:graphic>
          </wp:inline>
        </w:drawing>
      </w:r>
    </w:p>
    <w:p w14:paraId="34877E20" w14:textId="5CD85CFF" w:rsidR="00C36E06" w:rsidRPr="00BB0B5A" w:rsidRDefault="00436FDA" w:rsidP="00C36E06">
      <w:pPr>
        <w:spacing w:line="276" w:lineRule="auto"/>
        <w:jc w:val="center"/>
        <w:rPr>
          <w:szCs w:val="24"/>
        </w:rPr>
      </w:pPr>
      <w:r>
        <w:rPr>
          <w:szCs w:val="24"/>
        </w:rPr>
        <w:t>Fig.</w:t>
      </w:r>
      <w:r w:rsidR="00C36E06">
        <w:rPr>
          <w:szCs w:val="24"/>
        </w:rPr>
        <w:t xml:space="preserve"> S.3: Water absorption of all geopolymers and OPC mixtures at 28, and 91 days</w:t>
      </w:r>
    </w:p>
    <w:p w14:paraId="0CFF71A7" w14:textId="3F2C2DD8" w:rsidR="00635D31" w:rsidRPr="00635D31" w:rsidRDefault="00635D31" w:rsidP="00E37211">
      <w:pPr>
        <w:spacing w:line="276" w:lineRule="auto"/>
        <w:jc w:val="left"/>
        <w:rPr>
          <w:b/>
          <w:bCs/>
          <w:szCs w:val="24"/>
        </w:rPr>
      </w:pPr>
      <w:r>
        <w:rPr>
          <w:b/>
          <w:bCs/>
          <w:szCs w:val="24"/>
        </w:rPr>
        <w:t>S.</w:t>
      </w:r>
      <w:r w:rsidR="00FC633D">
        <w:rPr>
          <w:b/>
          <w:bCs/>
          <w:szCs w:val="24"/>
        </w:rPr>
        <w:t>4</w:t>
      </w:r>
      <w:r>
        <w:rPr>
          <w:b/>
          <w:bCs/>
          <w:szCs w:val="24"/>
        </w:rPr>
        <w:t xml:space="preserve">. </w:t>
      </w:r>
      <w:r w:rsidRPr="00635D31">
        <w:rPr>
          <w:b/>
          <w:bCs/>
          <w:szCs w:val="24"/>
        </w:rPr>
        <w:t>Surface Electrical Resistivity</w:t>
      </w:r>
    </w:p>
    <w:p w14:paraId="04446C12" w14:textId="77777777" w:rsidR="003903A5" w:rsidRDefault="003903A5" w:rsidP="003903A5">
      <w:pPr>
        <w:spacing w:line="276" w:lineRule="auto"/>
        <w:rPr>
          <w:szCs w:val="24"/>
        </w:rPr>
      </w:pPr>
      <w:r w:rsidRPr="00792372">
        <w:rPr>
          <w:szCs w:val="24"/>
        </w:rPr>
        <w:t xml:space="preserve">Electrical resistivity is a key parameter </w:t>
      </w:r>
      <w:r>
        <w:rPr>
          <w:szCs w:val="24"/>
        </w:rPr>
        <w:t>that</w:t>
      </w:r>
      <w:r w:rsidRPr="00792372">
        <w:rPr>
          <w:szCs w:val="24"/>
        </w:rPr>
        <w:t xml:space="preserve"> provides reasonable information about the resistance capacity of a material against the flow of current. In this study, electrical resistivity was determined by </w:t>
      </w:r>
      <w:r>
        <w:rPr>
          <w:szCs w:val="24"/>
        </w:rPr>
        <w:t xml:space="preserve">the </w:t>
      </w:r>
      <w:proofErr w:type="spellStart"/>
      <w:r w:rsidRPr="00792372">
        <w:rPr>
          <w:szCs w:val="24"/>
        </w:rPr>
        <w:t>Resipod</w:t>
      </w:r>
      <w:proofErr w:type="spellEnd"/>
      <w:r w:rsidRPr="00792372">
        <w:rPr>
          <w:szCs w:val="24"/>
        </w:rPr>
        <w:t xml:space="preserve"> Proceq apparatus. This simple apparatus includes 4 probes having a space of 38 mm between each other which meets the guidelines of </w:t>
      </w:r>
      <w:r>
        <w:rPr>
          <w:szCs w:val="24"/>
        </w:rPr>
        <w:t xml:space="preserve">the </w:t>
      </w:r>
      <w:r w:rsidRPr="00792372">
        <w:rPr>
          <w:szCs w:val="24"/>
        </w:rPr>
        <w:t xml:space="preserve">AASHTO T 358 surface resistivity test method </w:t>
      </w:r>
      <w:r>
        <w:rPr>
          <w:szCs w:val="24"/>
        </w:rPr>
        <w:fldChar w:fldCharType="begin"/>
      </w:r>
      <w:r>
        <w:rPr>
          <w:szCs w:val="24"/>
        </w:rPr>
        <w:instrText xml:space="preserve"> ADDIN EN.CITE &lt;EndNote&gt;&lt;Cite&gt;&lt;Author&gt;Almarshoud&lt;/Author&gt;&lt;Year&gt;2021&lt;/Year&gt;&lt;RecNum&gt;2&lt;/RecNum&gt;&lt;DisplayText&gt;[3]&lt;/DisplayText&gt;&lt;record&gt;&lt;rec-number&gt;2&lt;/rec-number&gt;&lt;foreign-keys&gt;&lt;key app="EN" db-id="s55srsd5vaxtd4e9ff4v9raozw2avevefpv0" timestamp="1726041619"&gt;2&lt;/key&gt;&lt;/foreign-keys&gt;&lt;ref-type name="Journal Article"&gt;17&lt;/ref-type&gt;&lt;contributors&gt;&lt;authors&gt;&lt;author&gt;Almarshoud, M&lt;/author&gt;&lt;author&gt;Mosavi, H&lt;/author&gt;&lt;author&gt;Alrashidi, R&lt;/author&gt;&lt;author&gt;Alyami, MHM&lt;/author&gt;&lt;author&gt;Ferraro, CC&lt;/author&gt;&lt;author&gt;DeFord, HD&lt;/author&gt;&lt;author&gt;Riding, KA&lt;/author&gt;&lt;/authors&gt;&lt;/contributors&gt;&lt;titles&gt;&lt;title&gt;Use of Electrical Resistivity-Based Tests for Concrete Penetrability Measurement&lt;/title&gt;&lt;secondary-title&gt;ACI Materials Journal&lt;/secondary-title&gt;&lt;/titles&gt;&lt;periodical&gt;&lt;full-title&gt;ACI Materials Journal&lt;/full-title&gt;&lt;/periodical&gt;&lt;volume&gt;118&lt;/volume&gt;&lt;number&gt;1&lt;/number&gt;&lt;dates&gt;&lt;year&gt;2021&lt;/year&gt;&lt;/dates&gt;&lt;isbn&gt;0889-325X&lt;/isbn&gt;&lt;urls&gt;&lt;/urls&gt;&lt;electronic-resource-num&gt;10.14359/51729334&lt;/electronic-resource-num&gt;&lt;/record&gt;&lt;/Cite&gt;&lt;/EndNote&gt;</w:instrText>
      </w:r>
      <w:r>
        <w:rPr>
          <w:szCs w:val="24"/>
        </w:rPr>
        <w:fldChar w:fldCharType="separate"/>
      </w:r>
      <w:r>
        <w:rPr>
          <w:noProof/>
          <w:szCs w:val="24"/>
        </w:rPr>
        <w:t>[3]</w:t>
      </w:r>
      <w:r>
        <w:rPr>
          <w:szCs w:val="24"/>
        </w:rPr>
        <w:fldChar w:fldCharType="end"/>
      </w:r>
      <w:r w:rsidRPr="00792372">
        <w:rPr>
          <w:szCs w:val="24"/>
        </w:rPr>
        <w:t xml:space="preserve">. The </w:t>
      </w:r>
      <w:proofErr w:type="spellStart"/>
      <w:r w:rsidRPr="00792372">
        <w:rPr>
          <w:szCs w:val="24"/>
        </w:rPr>
        <w:t>Resipod</w:t>
      </w:r>
      <w:proofErr w:type="spellEnd"/>
      <w:r w:rsidRPr="00792372">
        <w:rPr>
          <w:szCs w:val="24"/>
        </w:rPr>
        <w:t xml:space="preserve"> Proceq </w:t>
      </w:r>
      <w:r w:rsidRPr="00792372">
        <w:rPr>
          <w:szCs w:val="24"/>
        </w:rPr>
        <w:lastRenderedPageBreak/>
        <w:t xml:space="preserve">method for assessing electrical resistivity involves passing current through the outer probe and measuring the resulting potential difference with the inner probes. </w:t>
      </w:r>
      <w:r>
        <w:rPr>
          <w:szCs w:val="24"/>
        </w:rPr>
        <w:t xml:space="preserve">The tests were conducted on </w:t>
      </w:r>
      <w:r w:rsidRPr="003903A5">
        <w:rPr>
          <w:szCs w:val="24"/>
        </w:rPr>
        <w:t xml:space="preserve">40x40x160 mm </w:t>
      </w:r>
      <w:r>
        <w:rPr>
          <w:szCs w:val="24"/>
        </w:rPr>
        <w:t xml:space="preserve">specimens. </w:t>
      </w:r>
      <w:r w:rsidRPr="00792372">
        <w:rPr>
          <w:szCs w:val="24"/>
        </w:rPr>
        <w:t>The ions in the mortar's pore solution enable the current flow, and the corresponding resistivity in (</w:t>
      </w:r>
      <w:proofErr w:type="spellStart"/>
      <w:r w:rsidRPr="00792372">
        <w:rPr>
          <w:szCs w:val="24"/>
        </w:rPr>
        <w:t>Ω∙m</w:t>
      </w:r>
      <w:proofErr w:type="spellEnd"/>
      <w:r w:rsidRPr="00792372">
        <w:rPr>
          <w:szCs w:val="24"/>
        </w:rPr>
        <w:t xml:space="preserve">) can be calculated using Eq. </w:t>
      </w:r>
      <w:r>
        <w:rPr>
          <w:szCs w:val="24"/>
        </w:rPr>
        <w:t>S2</w:t>
      </w:r>
      <w:r w:rsidRPr="00792372">
        <w:rPr>
          <w:szCs w:val="24"/>
        </w:rPr>
        <w:t>.</w:t>
      </w:r>
    </w:p>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8"/>
        <w:gridCol w:w="1332"/>
      </w:tblGrid>
      <w:tr w:rsidR="003903A5" w:rsidRPr="001462AD" w14:paraId="280EEA60" w14:textId="77777777" w:rsidTr="00E37211">
        <w:tc>
          <w:tcPr>
            <w:tcW w:w="8658" w:type="dxa"/>
            <w:vAlign w:val="center"/>
          </w:tcPr>
          <w:p w14:paraId="4FF2A323" w14:textId="77777777" w:rsidR="003903A5" w:rsidRPr="001462AD" w:rsidRDefault="003903A5" w:rsidP="00E35068">
            <w:pPr>
              <w:spacing w:after="0" w:line="276" w:lineRule="auto"/>
              <w:jc w:val="center"/>
              <w:rPr>
                <w:szCs w:val="24"/>
              </w:rPr>
            </w:pPr>
            <m:oMathPara>
              <m:oMath>
                <m:r>
                  <m:rPr>
                    <m:sty m:val="p"/>
                  </m:rPr>
                  <w:rPr>
                    <w:rFonts w:ascii="Cambria Math" w:hAnsi="Cambria Math"/>
                    <w:szCs w:val="24"/>
                  </w:rPr>
                  <m:t xml:space="preserve">ρ = </m:t>
                </m:r>
                <m:f>
                  <m:fPr>
                    <m:ctrlPr>
                      <w:rPr>
                        <w:rFonts w:ascii="Cambria Math" w:hAnsi="Cambria Math"/>
                        <w:szCs w:val="24"/>
                      </w:rPr>
                    </m:ctrlPr>
                  </m:fPr>
                  <m:num>
                    <m:r>
                      <m:rPr>
                        <m:sty m:val="p"/>
                      </m:rPr>
                      <w:rPr>
                        <w:rFonts w:ascii="Cambria Math" w:hAnsi="Cambria Math"/>
                        <w:szCs w:val="24"/>
                      </w:rPr>
                      <m:t>2π a V</m:t>
                    </m:r>
                  </m:num>
                  <m:den>
                    <m:r>
                      <m:rPr>
                        <m:sty m:val="p"/>
                      </m:rPr>
                      <w:rPr>
                        <w:rFonts w:ascii="Cambria Math" w:hAnsi="Cambria Math"/>
                        <w:szCs w:val="24"/>
                      </w:rPr>
                      <m:t>I</m:t>
                    </m:r>
                  </m:den>
                </m:f>
                <m:r>
                  <m:rPr>
                    <m:sty m:val="p"/>
                  </m:rPr>
                  <w:rPr>
                    <w:rFonts w:ascii="Cambria Math" w:hAnsi="Cambria Math"/>
                    <w:szCs w:val="24"/>
                  </w:rPr>
                  <m:t xml:space="preserve"> (Ω∙m)</m:t>
                </m:r>
              </m:oMath>
            </m:oMathPara>
          </w:p>
        </w:tc>
        <w:tc>
          <w:tcPr>
            <w:tcW w:w="1332" w:type="dxa"/>
            <w:vAlign w:val="center"/>
          </w:tcPr>
          <w:p w14:paraId="2A696330" w14:textId="77777777" w:rsidR="003903A5" w:rsidRPr="001462AD" w:rsidRDefault="003903A5" w:rsidP="00E35068">
            <w:pPr>
              <w:spacing w:after="0" w:line="276" w:lineRule="auto"/>
              <w:jc w:val="right"/>
              <w:rPr>
                <w:szCs w:val="24"/>
              </w:rPr>
            </w:pPr>
            <w:r w:rsidRPr="001462AD">
              <w:rPr>
                <w:szCs w:val="24"/>
              </w:rPr>
              <w:t xml:space="preserve">Eq. </w:t>
            </w:r>
            <w:r>
              <w:rPr>
                <w:szCs w:val="24"/>
              </w:rPr>
              <w:t>S2</w:t>
            </w:r>
          </w:p>
        </w:tc>
      </w:tr>
    </w:tbl>
    <w:p w14:paraId="5F4238B8" w14:textId="5857410D" w:rsidR="003903A5" w:rsidRDefault="003903A5" w:rsidP="003903A5">
      <w:pPr>
        <w:shd w:val="clear" w:color="auto" w:fill="FFFFFF"/>
        <w:spacing w:line="276" w:lineRule="auto"/>
        <w:rPr>
          <w:szCs w:val="24"/>
        </w:rPr>
      </w:pPr>
      <w:r>
        <w:rPr>
          <w:szCs w:val="24"/>
        </w:rPr>
        <w:t>Where:</w:t>
      </w:r>
      <w:r w:rsidRPr="00792372">
        <w:rPr>
          <w:szCs w:val="24"/>
        </w:rPr>
        <w:t xml:space="preserve"> “ρ” is the electrical resistivity; “a” depicts spacing in probes; “V” corresponds to the potential difference; and “I” shows the current.</w:t>
      </w:r>
    </w:p>
    <w:p w14:paraId="3EB7DA40" w14:textId="59A6C5A9" w:rsidR="00635D31" w:rsidRPr="009116E9" w:rsidRDefault="00635D31" w:rsidP="00E37211">
      <w:pPr>
        <w:spacing w:line="276" w:lineRule="auto"/>
        <w:rPr>
          <w:szCs w:val="24"/>
        </w:rPr>
      </w:pPr>
      <w:r w:rsidRPr="009116E9">
        <w:rPr>
          <w:szCs w:val="24"/>
        </w:rPr>
        <w:t xml:space="preserve">The </w:t>
      </w:r>
      <w:r>
        <w:rPr>
          <w:szCs w:val="24"/>
        </w:rPr>
        <w:t xml:space="preserve">surface </w:t>
      </w:r>
      <w:r w:rsidRPr="009116E9">
        <w:rPr>
          <w:szCs w:val="24"/>
        </w:rPr>
        <w:t xml:space="preserve">electrical resistivity of OPC mortar and geopolymer mixes with different substitution levels of cenosphere at 3, 7, 28, 56, 91, and 119 days are exemplified in </w:t>
      </w:r>
      <w:r w:rsidR="00436FDA">
        <w:rPr>
          <w:szCs w:val="24"/>
        </w:rPr>
        <w:t>Fig.</w:t>
      </w:r>
      <w:r w:rsidRPr="009116E9">
        <w:rPr>
          <w:szCs w:val="24"/>
        </w:rPr>
        <w:t xml:space="preserve"> </w:t>
      </w:r>
      <w:r>
        <w:rPr>
          <w:szCs w:val="24"/>
        </w:rPr>
        <w:t>S.4</w:t>
      </w:r>
      <w:r w:rsidRPr="009116E9">
        <w:rPr>
          <w:szCs w:val="24"/>
        </w:rPr>
        <w:t xml:space="preserve">. The </w:t>
      </w:r>
      <w:r>
        <w:rPr>
          <w:szCs w:val="24"/>
        </w:rPr>
        <w:t xml:space="preserve">surface </w:t>
      </w:r>
      <w:r w:rsidRPr="009116E9">
        <w:rPr>
          <w:szCs w:val="24"/>
        </w:rPr>
        <w:t xml:space="preserve">electrical resistivity of a material is indicative of its capacity to conduct electrical charge </w:t>
      </w:r>
      <w:r>
        <w:rPr>
          <w:szCs w:val="24"/>
        </w:rPr>
        <w:fldChar w:fldCharType="begin"/>
      </w:r>
      <w:r w:rsidR="00774092">
        <w:rPr>
          <w:szCs w:val="24"/>
        </w:rPr>
        <w:instrText xml:space="preserve"> ADDIN EN.CITE &lt;EndNote&gt;&lt;Cite&gt;&lt;Author&gt;Andrade&lt;/Author&gt;&lt;Year&gt;2014&lt;/Year&gt;&lt;RecNum&gt;9&lt;/RecNum&gt;&lt;DisplayText&gt;[17]&lt;/DisplayText&gt;&lt;record&gt;&lt;rec-number&gt;9&lt;/rec-number&gt;&lt;foreign-keys&gt;&lt;key app="EN" db-id="s55srsd5vaxtd4e9ff4v9raozw2avevefpv0" timestamp="1726041619"&gt;9&lt;/key&gt;&lt;/foreign-keys&gt;&lt;ref-type name="Journal Article"&gt;17&lt;/ref-type&gt;&lt;contributors&gt;&lt;authors&gt;&lt;author&gt;Andrade, C&lt;/author&gt;&lt;/authors&gt;&lt;/contributors&gt;&lt;titles&gt;&lt;title&gt;Resistivity test criteria for durability design and quality control of concrete in chloride exposures&lt;/title&gt;&lt;secondary-title&gt;Concr. Aust&lt;/secondary-title&gt;&lt;/titles&gt;&lt;periodical&gt;&lt;full-title&gt;Concr. Aust&lt;/full-title&gt;&lt;/periodical&gt;&lt;pages&gt;57-64&lt;/pages&gt;&lt;volume&gt;40&lt;/volume&gt;&lt;number&gt;4&lt;/number&gt;&lt;dates&gt;&lt;year&gt;2014&lt;/year&gt;&lt;/dates&gt;&lt;urls&gt;&lt;/urls&gt;&lt;/record&gt;&lt;/Cite&gt;&lt;/EndNote&gt;</w:instrText>
      </w:r>
      <w:r>
        <w:rPr>
          <w:szCs w:val="24"/>
        </w:rPr>
        <w:fldChar w:fldCharType="separate"/>
      </w:r>
      <w:r w:rsidR="00774092">
        <w:rPr>
          <w:noProof/>
          <w:szCs w:val="24"/>
        </w:rPr>
        <w:t>[17]</w:t>
      </w:r>
      <w:r>
        <w:rPr>
          <w:szCs w:val="24"/>
        </w:rPr>
        <w:fldChar w:fldCharType="end"/>
      </w:r>
      <w:r w:rsidRPr="009116E9">
        <w:rPr>
          <w:szCs w:val="24"/>
        </w:rPr>
        <w:t xml:space="preserve">. This characteristic serves as a valuable metric for assessing the pore connectivity in saturated materials. Composites with well-interconnected pores and less compact structures enhance the flow of electrical ions, resulting in lower electrical resistivity, and conversely, materials with denser structures exhibit higher resistivity </w:t>
      </w:r>
      <w:r>
        <w:rPr>
          <w:szCs w:val="24"/>
        </w:rPr>
        <w:fldChar w:fldCharType="begin"/>
      </w:r>
      <w:r w:rsidR="00774092">
        <w:rPr>
          <w:szCs w:val="24"/>
        </w:rPr>
        <w:instrText xml:space="preserve"> ADDIN EN.CITE &lt;EndNote&gt;&lt;Cite&gt;&lt;Author&gt;Nadelman&lt;/Author&gt;&lt;Year&gt;2014&lt;/Year&gt;&lt;RecNum&gt;10&lt;/RecNum&gt;&lt;DisplayText&gt;[18]&lt;/DisplayText&gt;&lt;record&gt;&lt;rec-number&gt;10&lt;/rec-number&gt;&lt;foreign-keys&gt;&lt;key app="EN" db-id="s55srsd5vaxtd4e9ff4v9raozw2avevefpv0" timestamp="1726041619"&gt;10&lt;/key&gt;&lt;/foreign-keys&gt;&lt;ref-type name="Journal Article"&gt;17&lt;/ref-type&gt;&lt;contributors&gt;&lt;authors&gt;&lt;author&gt;Nadelman, Elizabeth I&lt;/author&gt;&lt;author&gt;Kurtis, Kimberly E&lt;/author&gt;&lt;/authors&gt;&lt;/contributors&gt;&lt;titles&gt;&lt;title&gt;A resistivity-based approach to optimizing concrete performance&lt;/title&gt;&lt;secondary-title&gt;Concrete international&lt;/secondary-title&gt;&lt;/titles&gt;&lt;periodical&gt;&lt;full-title&gt;Concrete international&lt;/full-title&gt;&lt;/periodical&gt;&lt;pages&gt;50-54&lt;/pages&gt;&lt;volume&gt;36&lt;/volume&gt;&lt;number&gt;5&lt;/number&gt;&lt;dates&gt;&lt;year&gt;2014&lt;/year&gt;&lt;/dates&gt;&lt;urls&gt;&lt;/urls&gt;&lt;/record&gt;&lt;/Cite&gt;&lt;/EndNote&gt;</w:instrText>
      </w:r>
      <w:r>
        <w:rPr>
          <w:szCs w:val="24"/>
        </w:rPr>
        <w:fldChar w:fldCharType="separate"/>
      </w:r>
      <w:r w:rsidR="00774092">
        <w:rPr>
          <w:noProof/>
          <w:szCs w:val="24"/>
        </w:rPr>
        <w:t>[18]</w:t>
      </w:r>
      <w:r>
        <w:rPr>
          <w:szCs w:val="24"/>
        </w:rPr>
        <w:fldChar w:fldCharType="end"/>
      </w:r>
      <w:r w:rsidRPr="009116E9">
        <w:rPr>
          <w:szCs w:val="24"/>
        </w:rPr>
        <w:t>. Moreover, understanding electrical resistivity offers valuable insights into a material's susceptibility to the penetration of detrimental substances like salts, chlorides, and atmospheric CO</w:t>
      </w:r>
      <w:r w:rsidRPr="00BF516E">
        <w:rPr>
          <w:szCs w:val="24"/>
          <w:vertAlign w:val="subscript"/>
        </w:rPr>
        <w:t>2</w:t>
      </w:r>
      <w:r w:rsidRPr="009116E9">
        <w:rPr>
          <w:szCs w:val="24"/>
        </w:rPr>
        <w:t xml:space="preserve">. This information proves crucial in gauging the material's resistance against deteriorating agents, thereby contributing to a comprehensive assessment of its durability and performance </w:t>
      </w:r>
      <w:r>
        <w:rPr>
          <w:szCs w:val="24"/>
        </w:rPr>
        <w:fldChar w:fldCharType="begin"/>
      </w:r>
      <w:r w:rsidR="00774092">
        <w:rPr>
          <w:szCs w:val="24"/>
        </w:rPr>
        <w:instrText xml:space="preserve"> ADDIN EN.CITE &lt;EndNote&gt;&lt;Cite&gt;&lt;Author&gt;Andrade&lt;/Author&gt;&lt;Year&gt;2014&lt;/Year&gt;&lt;RecNum&gt;9&lt;/RecNum&gt;&lt;DisplayText&gt;[17, 19]&lt;/DisplayText&gt;&lt;record&gt;&lt;rec-number&gt;9&lt;/rec-number&gt;&lt;foreign-keys&gt;&lt;key app="EN" db-id="s55srsd5vaxtd4e9ff4v9raozw2avevefpv0" timestamp="1726041619"&gt;9&lt;/key&gt;&lt;/foreign-keys&gt;&lt;ref-type name="Journal Article"&gt;17&lt;/ref-type&gt;&lt;contributors&gt;&lt;authors&gt;&lt;author&gt;Andrade, C&lt;/author&gt;&lt;/authors&gt;&lt;/contributors&gt;&lt;titles&gt;&lt;title&gt;Resistivity test criteria for durability design and quality control of concrete in chloride exposures&lt;/title&gt;&lt;secondary-title&gt;Concr. Aust&lt;/secondary-title&gt;&lt;/titles&gt;&lt;periodical&gt;&lt;full-title&gt;Concr. Aust&lt;/full-title&gt;&lt;/periodical&gt;&lt;pages&gt;57-64&lt;/pages&gt;&lt;volume&gt;40&lt;/volume&gt;&lt;number&gt;4&lt;/number&gt;&lt;dates&gt;&lt;year&gt;2014&lt;/year&gt;&lt;/dates&gt;&lt;urls&gt;&lt;/urls&gt;&lt;/record&gt;&lt;/Cite&gt;&lt;Cite&gt;&lt;Author&gt;Noushini&lt;/Author&gt;&lt;Year&gt;2016&lt;/Year&gt;&lt;RecNum&gt;11&lt;/RecNum&gt;&lt;record&gt;&lt;rec-number&gt;11&lt;/rec-number&gt;&lt;foreign-keys&gt;&lt;key app="EN" db-id="s55srsd5vaxtd4e9ff4v9raozw2avevefpv0" timestamp="1726041619"&gt;11&lt;/key&gt;&lt;/foreign-keys&gt;&lt;ref-type name="Journal Article"&gt;17&lt;/ref-type&gt;&lt;contributors&gt;&lt;authors&gt;&lt;author&gt;Noushini, Amin&lt;/author&gt;&lt;author&gt;Castel, Arnaud&lt;/author&gt;&lt;/authors&gt;&lt;/contributors&gt;&lt;titles&gt;&lt;title&gt;The effect of heat-curing on transport properties of low-calcium fly ash-based geopolymer concrete&lt;/title&gt;&lt;secondary-title&gt;Construction and Building Materials&lt;/secondary-title&gt;&lt;/titles&gt;&lt;periodical&gt;&lt;full-title&gt;Construction and Building Materials&lt;/full-title&gt;&lt;/periodical&gt;&lt;pages&gt;464-477&lt;/pages&gt;&lt;volume&gt;112&lt;/volume&gt;&lt;dates&gt;&lt;year&gt;2016&lt;/year&gt;&lt;/dates&gt;&lt;isbn&gt;0950-0618&lt;/isbn&gt;&lt;urls&gt;&lt;/urls&gt;&lt;electronic-resource-num&gt;10.1016/j.conbuildmat.2016.02.210&lt;/electronic-resource-num&gt;&lt;/record&gt;&lt;/Cite&gt;&lt;/EndNote&gt;</w:instrText>
      </w:r>
      <w:r>
        <w:rPr>
          <w:szCs w:val="24"/>
        </w:rPr>
        <w:fldChar w:fldCharType="separate"/>
      </w:r>
      <w:r w:rsidR="00774092">
        <w:rPr>
          <w:noProof/>
          <w:szCs w:val="24"/>
        </w:rPr>
        <w:t>[17, 19]</w:t>
      </w:r>
      <w:r>
        <w:rPr>
          <w:szCs w:val="24"/>
        </w:rPr>
        <w:fldChar w:fldCharType="end"/>
      </w:r>
      <w:r w:rsidRPr="009116E9">
        <w:rPr>
          <w:szCs w:val="24"/>
        </w:rPr>
        <w:t xml:space="preserve">.  </w:t>
      </w:r>
    </w:p>
    <w:p w14:paraId="2E3CA723" w14:textId="7605702C" w:rsidR="00635D31" w:rsidRPr="009116E9" w:rsidRDefault="00635D31" w:rsidP="00E37211">
      <w:pPr>
        <w:spacing w:line="276" w:lineRule="auto"/>
        <w:rPr>
          <w:szCs w:val="24"/>
        </w:rPr>
      </w:pPr>
      <w:r w:rsidRPr="009116E9">
        <w:rPr>
          <w:szCs w:val="24"/>
        </w:rPr>
        <w:t xml:space="preserve">The </w:t>
      </w:r>
      <w:r>
        <w:rPr>
          <w:szCs w:val="24"/>
        </w:rPr>
        <w:t xml:space="preserve">surface </w:t>
      </w:r>
      <w:r w:rsidRPr="009116E9">
        <w:rPr>
          <w:szCs w:val="24"/>
        </w:rPr>
        <w:t xml:space="preserve">electrical resistivity of all specimens increased with age. However, the extent of enhancement was different for each mix design depending upon the interconnected pores and characteristics of </w:t>
      </w:r>
      <w:r>
        <w:rPr>
          <w:szCs w:val="24"/>
        </w:rPr>
        <w:t xml:space="preserve">the </w:t>
      </w:r>
      <w:r w:rsidRPr="009116E9">
        <w:rPr>
          <w:szCs w:val="24"/>
        </w:rPr>
        <w:t xml:space="preserve">microstructure. The enhanced electrical resistivity observed can be attributed to the gradual strengthening of mortar mixes, resulting in a more compact microstructure. This phenomenon is a consequence of the progressive filling of interconnected pores with hydration products over time </w:t>
      </w:r>
      <w:r>
        <w:rPr>
          <w:szCs w:val="24"/>
        </w:rPr>
        <w:fldChar w:fldCharType="begin"/>
      </w:r>
      <w:r w:rsidR="00774092">
        <w:rPr>
          <w:szCs w:val="24"/>
        </w:rPr>
        <w:instrText xml:space="preserve"> ADDIN EN.CITE &lt;EndNote&gt;&lt;Cite&gt;&lt;Author&gt;Zainal&lt;/Author&gt;&lt;Year&gt;2015&lt;/Year&gt;&lt;RecNum&gt;12&lt;/RecNum&gt;&lt;DisplayText&gt;[20]&lt;/DisplayText&gt;&lt;record&gt;&lt;rec-number&gt;12&lt;/rec-number&gt;&lt;foreign-keys&gt;&lt;key app="EN" db-id="s55srsd5vaxtd4e9ff4v9raozw2avevefpv0" timestamp="1726041619"&gt;12&lt;/key&gt;&lt;/foreign-keys&gt;&lt;ref-type name="Journal Article"&gt;17&lt;/ref-type&gt;&lt;contributors&gt;&lt;authors&gt;&lt;author&gt;Zainal, Farah Farhana&lt;/author&gt;&lt;author&gt;Kamarudin, Hussin&lt;/author&gt;&lt;author&gt;Rahmat, Azmi&lt;/author&gt;&lt;author&gt;Abdullah, Mohd Mustafa Al Bakri&lt;/author&gt;&lt;author&gt;Rizam, Shaiful&lt;/author&gt;&lt;author&gt;Selimin, Mohammad Tamizi&lt;/author&gt;&lt;author&gt;Sandu, Andrei Victor&lt;/author&gt;&lt;/authors&gt;&lt;/contributors&gt;&lt;titles&gt;&lt;title&gt;The electrical resistivity of geopolymer paste by using wenner four probe Method&lt;/title&gt;&lt;secondary-title&gt;Key Engineering Materials&lt;/secondary-title&gt;&lt;/titles&gt;&lt;periodical&gt;&lt;full-title&gt;Key Engineering Materials&lt;/full-title&gt;&lt;/periodical&gt;&lt;pages&gt;28-33&lt;/pages&gt;&lt;volume&gt;660&lt;/volume&gt;&lt;dates&gt;&lt;year&gt;2015&lt;/year&gt;&lt;/dates&gt;&lt;isbn&gt;1662-9795&lt;/isbn&gt;&lt;urls&gt;&lt;/urls&gt;&lt;electronic-resource-num&gt;10.4028/www.scientific.net/KEM.660.28&lt;/electronic-resource-num&gt;&lt;/record&gt;&lt;/Cite&gt;&lt;/EndNote&gt;</w:instrText>
      </w:r>
      <w:r>
        <w:rPr>
          <w:szCs w:val="24"/>
        </w:rPr>
        <w:fldChar w:fldCharType="separate"/>
      </w:r>
      <w:r w:rsidR="00774092">
        <w:rPr>
          <w:noProof/>
          <w:szCs w:val="24"/>
        </w:rPr>
        <w:t>[20]</w:t>
      </w:r>
      <w:r>
        <w:rPr>
          <w:szCs w:val="24"/>
        </w:rPr>
        <w:fldChar w:fldCharType="end"/>
      </w:r>
      <w:r w:rsidRPr="009116E9">
        <w:rPr>
          <w:szCs w:val="24"/>
        </w:rPr>
        <w:t xml:space="preserve">. </w:t>
      </w:r>
    </w:p>
    <w:p w14:paraId="67E4B40B" w14:textId="21C74CAD" w:rsidR="00635D31" w:rsidRPr="009116E9" w:rsidRDefault="00635D31" w:rsidP="00E37211">
      <w:pPr>
        <w:spacing w:line="276" w:lineRule="auto"/>
        <w:rPr>
          <w:szCs w:val="24"/>
        </w:rPr>
      </w:pPr>
      <w:r w:rsidRPr="009116E9">
        <w:rPr>
          <w:szCs w:val="24"/>
        </w:rPr>
        <w:t xml:space="preserve">The </w:t>
      </w:r>
      <w:r>
        <w:rPr>
          <w:szCs w:val="24"/>
        </w:rPr>
        <w:t xml:space="preserve">surface </w:t>
      </w:r>
      <w:r w:rsidRPr="009116E9">
        <w:rPr>
          <w:szCs w:val="24"/>
        </w:rPr>
        <w:t xml:space="preserve">electrical resistivity assessment of the S100 specimen indicated the highest value among all mixes, peaking at nearly 700 Ω-m. After S100, the electrical resistivity of OPC was higher than all other mixes till 91 days, afterwards, S75-CE25 surpassed the OPC at 119 days. The S50-CE50 and S25-CE75 showed much less </w:t>
      </w:r>
      <w:r>
        <w:rPr>
          <w:szCs w:val="24"/>
        </w:rPr>
        <w:t xml:space="preserve">surface </w:t>
      </w:r>
      <w:r w:rsidRPr="009116E9">
        <w:rPr>
          <w:szCs w:val="24"/>
        </w:rPr>
        <w:t xml:space="preserve">electrical resistivity than other formulations. The decrease in electrical resistance of geopolymer specimens with higher cenosphere incorporation can be attributed to </w:t>
      </w:r>
      <w:r>
        <w:rPr>
          <w:szCs w:val="24"/>
        </w:rPr>
        <w:t xml:space="preserve">the </w:t>
      </w:r>
      <w:r w:rsidRPr="009116E9">
        <w:rPr>
          <w:szCs w:val="24"/>
        </w:rPr>
        <w:t xml:space="preserve">higher water absorption capacity of </w:t>
      </w:r>
      <w:r>
        <w:rPr>
          <w:szCs w:val="24"/>
        </w:rPr>
        <w:t xml:space="preserve">the </w:t>
      </w:r>
      <w:r w:rsidRPr="009116E9">
        <w:rPr>
          <w:szCs w:val="24"/>
        </w:rPr>
        <w:t xml:space="preserve">cenosphere owing to its porous nature which is also evident from </w:t>
      </w:r>
      <w:r w:rsidR="00436FDA">
        <w:rPr>
          <w:szCs w:val="24"/>
        </w:rPr>
        <w:t>Fig.</w:t>
      </w:r>
      <w:r w:rsidRPr="009116E9">
        <w:rPr>
          <w:szCs w:val="24"/>
        </w:rPr>
        <w:t xml:space="preserve"> 6</w:t>
      </w:r>
      <w:r>
        <w:rPr>
          <w:szCs w:val="24"/>
        </w:rPr>
        <w:t xml:space="preserve"> </w:t>
      </w:r>
      <w:r>
        <w:rPr>
          <w:szCs w:val="24"/>
        </w:rPr>
        <w:fldChar w:fldCharType="begin"/>
      </w:r>
      <w:r w:rsidR="00774092">
        <w:rPr>
          <w:szCs w:val="24"/>
        </w:rPr>
        <w:instrText xml:space="preserve"> ADDIN EN.CITE &lt;EndNote&gt;&lt;Cite&gt;&lt;Author&gt;Vijayalakshmi&lt;/Author&gt;&lt;Year&gt;2022&lt;/Year&gt;&lt;RecNum&gt;3&lt;/RecNum&gt;&lt;DisplayText&gt;[12]&lt;/DisplayText&gt;&lt;record&gt;&lt;rec-number&gt;3&lt;/rec-number&gt;&lt;foreign-keys&gt;&lt;key app="EN" db-id="s55srsd5vaxtd4e9ff4v9raozw2avevefpv0" timestamp="1726041619"&gt;3&lt;/key&gt;&lt;/foreign-keys&gt;&lt;ref-type name="Conference Proceedings"&gt;10&lt;/ref-type&gt;&lt;contributors&gt;&lt;authors&gt;&lt;author&gt;Vijayalakshmi, R&lt;/author&gt;&lt;author&gt;Naganathan, Sivakumar&lt;/author&gt;&lt;author&gt;Ramanagopal, S&lt;/author&gt;&lt;/authors&gt;&lt;/contributors&gt;&lt;titles&gt;&lt;title&gt;Study on the Compressive Strength and Water Absorption Characteristics of Mortar Blocks with Cenosphere as Partial Replacement for Cement&lt;/title&gt;&lt;secondary-title&gt;Sustainable Practices and Innovations in Civil Engineering: Select Proceedings of SPICE 2021&lt;/secondary-title&gt;&lt;/titles&gt;&lt;pages&gt;251-263&lt;/pages&gt;&lt;dates&gt;&lt;year&gt;2022&lt;/year&gt;&lt;/dates&gt;&lt;publisher&gt;Springer&lt;/publisher&gt;&lt;isbn&gt;9811650403&lt;/isbn&gt;&lt;urls&gt;&lt;/urls&gt;&lt;electronic-resource-num&gt;10.1007/978-981-16-5041-3_19&lt;/electronic-resource-num&gt;&lt;/record&gt;&lt;/Cite&gt;&lt;/EndNote&gt;</w:instrText>
      </w:r>
      <w:r>
        <w:rPr>
          <w:szCs w:val="24"/>
        </w:rPr>
        <w:fldChar w:fldCharType="separate"/>
      </w:r>
      <w:r w:rsidR="00774092">
        <w:rPr>
          <w:noProof/>
          <w:szCs w:val="24"/>
        </w:rPr>
        <w:t>[12]</w:t>
      </w:r>
      <w:r>
        <w:rPr>
          <w:szCs w:val="24"/>
        </w:rPr>
        <w:fldChar w:fldCharType="end"/>
      </w:r>
      <w:r w:rsidRPr="009116E9">
        <w:rPr>
          <w:szCs w:val="24"/>
        </w:rPr>
        <w:t xml:space="preserve">. Moreover, </w:t>
      </w:r>
      <w:r>
        <w:rPr>
          <w:szCs w:val="24"/>
        </w:rPr>
        <w:t>the s</w:t>
      </w:r>
      <w:r w:rsidRPr="009116E9">
        <w:rPr>
          <w:szCs w:val="24"/>
        </w:rPr>
        <w:t xml:space="preserve">pherical morphology of </w:t>
      </w:r>
      <w:r>
        <w:rPr>
          <w:szCs w:val="24"/>
        </w:rPr>
        <w:t xml:space="preserve">the </w:t>
      </w:r>
      <w:r w:rsidRPr="009116E9">
        <w:rPr>
          <w:szCs w:val="24"/>
        </w:rPr>
        <w:t xml:space="preserve">cenosphere can generate pores in the microstructure resulting in reduced electrical resistivity </w:t>
      </w:r>
      <w:r>
        <w:rPr>
          <w:szCs w:val="24"/>
        </w:rPr>
        <w:fldChar w:fldCharType="begin"/>
      </w:r>
      <w:r w:rsidR="00774092">
        <w:rPr>
          <w:szCs w:val="24"/>
        </w:rPr>
        <w:instrText xml:space="preserve"> ADDIN EN.CITE &lt;EndNote&gt;&lt;Cite&gt;&lt;Author&gt;Liu&lt;/Author&gt;&lt;Year&gt;2016&lt;/Year&gt;&lt;RecNum&gt;8&lt;/RecNum&gt;&lt;DisplayText&gt;[16]&lt;/DisplayText&gt;&lt;record&gt;&lt;rec-number&gt;8&lt;/rec-number&gt;&lt;foreign-keys&gt;&lt;key app="EN" db-id="s55srsd5vaxtd4e9ff4v9raozw2avevefpv0" timestamp="1726041619"&gt;8&lt;/key&gt;&lt;/foreign-keys&gt;&lt;ref-type name="Journal Article"&gt;17&lt;/ref-type&gt;&lt;contributors&gt;&lt;authors&gt;&lt;author&gt;Liu, Xuemei&lt;/author&gt;&lt;author&gt;Zhang, Min-Hong&lt;/author&gt;&lt;author&gt;Chia, Kok Seng&lt;/author&gt;&lt;author&gt;Yan, Jiabao&lt;/author&gt;&lt;author&gt;Liew, JY Richard&lt;/author&gt;&lt;/authors&gt;&lt;/contributors&gt;&lt;titles&gt;&lt;title&gt;&lt;style face="normal" font="default" size="100%"&gt;Mechanical properties of ultra-lightweight cement composite at low temperatures of 0 to&lt;/style&gt;&lt;style face="normal" font="default" charset="1" size="100%"&gt;−&lt;/style&gt;&lt;style face="normal" font="default" size="100%"&gt; 60° C&lt;/style&gt;&lt;/title&gt;&lt;secondary-title&gt;Cement and Concrete Composites&lt;/secondary-title&gt;&lt;/titles&gt;&lt;periodical&gt;&lt;full-title&gt;Cement and Concrete Composites&lt;/full-title&gt;&lt;/periodical&gt;&lt;pages&gt;289-298&lt;/pages&gt;&lt;volume&gt;73&lt;/volume&gt;&lt;dates&gt;&lt;year&gt;2016&lt;/year&gt;&lt;/dates&gt;&lt;isbn&gt;0958-9465&lt;/isbn&gt;&lt;urls&gt;&lt;/urls&gt;&lt;electronic-resource-num&gt;10.1016/j.cemconcomp.2016.05.014&lt;/electronic-resource-num&gt;&lt;/record&gt;&lt;/Cite&gt;&lt;/EndNote&gt;</w:instrText>
      </w:r>
      <w:r>
        <w:rPr>
          <w:szCs w:val="24"/>
        </w:rPr>
        <w:fldChar w:fldCharType="separate"/>
      </w:r>
      <w:r w:rsidR="00774092">
        <w:rPr>
          <w:noProof/>
          <w:szCs w:val="24"/>
        </w:rPr>
        <w:t>[16]</w:t>
      </w:r>
      <w:r>
        <w:rPr>
          <w:szCs w:val="24"/>
        </w:rPr>
        <w:fldChar w:fldCharType="end"/>
      </w:r>
      <w:r w:rsidRPr="009116E9">
        <w:rPr>
          <w:szCs w:val="24"/>
        </w:rPr>
        <w:t>.</w:t>
      </w:r>
    </w:p>
    <w:p w14:paraId="4BDBEB07" w14:textId="77777777" w:rsidR="00635D31" w:rsidRDefault="00635D31" w:rsidP="00E37211">
      <w:pPr>
        <w:spacing w:after="0" w:line="276" w:lineRule="auto"/>
        <w:ind w:left="90"/>
        <w:jc w:val="center"/>
        <w:rPr>
          <w:szCs w:val="24"/>
        </w:rPr>
      </w:pPr>
      <w:r w:rsidRPr="00482938">
        <w:rPr>
          <w:noProof/>
          <w:szCs w:val="24"/>
        </w:rPr>
        <w:lastRenderedPageBreak/>
        <w:drawing>
          <wp:inline distT="0" distB="0" distL="0" distR="0" wp14:anchorId="79952DD4" wp14:editId="6E493CC3">
            <wp:extent cx="3663095" cy="3657600"/>
            <wp:effectExtent l="0" t="0" r="0" b="0"/>
            <wp:docPr id="924628978" name="Picture 4" descr="A graph of growth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628978" name="Picture 4" descr="A graph of growth of people&#10;&#10;Description automatically generated with medium confidenc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35883"/>
                    <a:stretch/>
                  </pic:blipFill>
                  <pic:spPr bwMode="auto">
                    <a:xfrm>
                      <a:off x="0" y="0"/>
                      <a:ext cx="3663095" cy="3657600"/>
                    </a:xfrm>
                    <a:prstGeom prst="rect">
                      <a:avLst/>
                    </a:prstGeom>
                    <a:noFill/>
                    <a:ln>
                      <a:noFill/>
                    </a:ln>
                    <a:extLst>
                      <a:ext uri="{53640926-AAD7-44D8-BBD7-CCE9431645EC}">
                        <a14:shadowObscured xmlns:a14="http://schemas.microsoft.com/office/drawing/2010/main"/>
                      </a:ext>
                    </a:extLst>
                  </pic:spPr>
                </pic:pic>
              </a:graphicData>
            </a:graphic>
          </wp:inline>
        </w:drawing>
      </w:r>
    </w:p>
    <w:p w14:paraId="406288BE" w14:textId="146BE04E" w:rsidR="00635D31" w:rsidRDefault="00436FDA" w:rsidP="00E37211">
      <w:pPr>
        <w:spacing w:line="276" w:lineRule="auto"/>
        <w:ind w:left="90"/>
        <w:jc w:val="center"/>
        <w:rPr>
          <w:b/>
          <w:bCs/>
          <w:szCs w:val="24"/>
        </w:rPr>
      </w:pPr>
      <w:r>
        <w:rPr>
          <w:szCs w:val="24"/>
        </w:rPr>
        <w:t>Fig.</w:t>
      </w:r>
      <w:r w:rsidR="00635D31">
        <w:rPr>
          <w:szCs w:val="24"/>
        </w:rPr>
        <w:t xml:space="preserve"> </w:t>
      </w:r>
      <w:r w:rsidR="00774092">
        <w:rPr>
          <w:szCs w:val="24"/>
        </w:rPr>
        <w:t>S.4</w:t>
      </w:r>
      <w:r w:rsidR="00635D31">
        <w:rPr>
          <w:szCs w:val="24"/>
        </w:rPr>
        <w:t>: Surface electrical resistivity of</w:t>
      </w:r>
      <w:bookmarkStart w:id="0" w:name="_Hlk161038597"/>
      <w:r w:rsidR="00635D31">
        <w:rPr>
          <w:szCs w:val="24"/>
        </w:rPr>
        <w:t xml:space="preserve"> all geopolymers and OPC mixtures at </w:t>
      </w:r>
      <w:r w:rsidR="003903A5">
        <w:rPr>
          <w:szCs w:val="24"/>
        </w:rPr>
        <w:t>different ages</w:t>
      </w:r>
      <w:bookmarkEnd w:id="0"/>
    </w:p>
    <w:p w14:paraId="49396F0A" w14:textId="77777777" w:rsidR="003903A5" w:rsidRDefault="003903A5" w:rsidP="00774092">
      <w:pPr>
        <w:suppressAutoHyphens w:val="0"/>
        <w:overflowPunct/>
        <w:autoSpaceDE/>
        <w:autoSpaceDN/>
        <w:adjustRightInd/>
        <w:spacing w:after="0" w:line="240" w:lineRule="auto"/>
        <w:jc w:val="left"/>
        <w:textAlignment w:val="auto"/>
        <w:rPr>
          <w:b/>
          <w:bCs/>
          <w:szCs w:val="24"/>
        </w:rPr>
      </w:pPr>
    </w:p>
    <w:p w14:paraId="458F4EAB" w14:textId="58C21021" w:rsidR="00774092" w:rsidRDefault="00774092" w:rsidP="00E37211">
      <w:pPr>
        <w:suppressAutoHyphens w:val="0"/>
        <w:overflowPunct/>
        <w:autoSpaceDE/>
        <w:autoSpaceDN/>
        <w:adjustRightInd/>
        <w:spacing w:line="240" w:lineRule="auto"/>
        <w:jc w:val="left"/>
        <w:textAlignment w:val="auto"/>
        <w:rPr>
          <w:b/>
          <w:bCs/>
          <w:szCs w:val="24"/>
        </w:rPr>
      </w:pPr>
      <w:r>
        <w:rPr>
          <w:b/>
          <w:bCs/>
          <w:szCs w:val="24"/>
        </w:rPr>
        <w:t>References</w:t>
      </w:r>
      <w:r w:rsidR="003903A5">
        <w:rPr>
          <w:b/>
          <w:bCs/>
          <w:szCs w:val="24"/>
        </w:rPr>
        <w:t>:</w:t>
      </w:r>
    </w:p>
    <w:p w14:paraId="3261B4E5" w14:textId="718243A2" w:rsidR="00774092" w:rsidRPr="00774092" w:rsidRDefault="00635D31" w:rsidP="00774092">
      <w:pPr>
        <w:pStyle w:val="EndNoteBibliography"/>
        <w:spacing w:after="0"/>
        <w:ind w:left="720" w:hanging="720"/>
      </w:pPr>
      <w:r>
        <w:rPr>
          <w:bCs/>
          <w:szCs w:val="24"/>
        </w:rPr>
        <w:fldChar w:fldCharType="begin"/>
      </w:r>
      <w:r>
        <w:rPr>
          <w:bCs/>
          <w:szCs w:val="24"/>
        </w:rPr>
        <w:instrText xml:space="preserve"> ADDIN EN.REFLIST </w:instrText>
      </w:r>
      <w:r>
        <w:rPr>
          <w:bCs/>
          <w:szCs w:val="24"/>
        </w:rPr>
        <w:fldChar w:fldCharType="separate"/>
      </w:r>
      <w:r w:rsidR="00774092" w:rsidRPr="00774092">
        <w:t>[1]</w:t>
      </w:r>
      <w:r w:rsidR="00774092" w:rsidRPr="00774092">
        <w:tab/>
      </w:r>
      <w:r w:rsidR="00774092" w:rsidRPr="00774092">
        <w:rPr>
          <w:i/>
        </w:rPr>
        <w:t>ASTM C349 - Standard Test Method for Compressive Strength of Hydraulic-Cement Mortars (Using Portions of Prisms Broken in Flexure)</w:t>
      </w:r>
      <w:r w:rsidR="00774092" w:rsidRPr="00774092">
        <w:t xml:space="preserve">, American Society for Testing and Materials (ASTM), West Conshohocken, PA, 2018. [Online]. Available: </w:t>
      </w:r>
      <w:hyperlink r:id="rId12" w:history="1">
        <w:r w:rsidR="00774092" w:rsidRPr="00774092">
          <w:rPr>
            <w:rStyle w:val="Hyperlink"/>
          </w:rPr>
          <w:t>https://compass.astm.org/document/?contentCode=ASTM%7CC0349-18%7Cen-US</w:t>
        </w:r>
      </w:hyperlink>
    </w:p>
    <w:p w14:paraId="78E4EF4C" w14:textId="77777777" w:rsidR="00774092" w:rsidRPr="00774092" w:rsidRDefault="00774092" w:rsidP="00774092">
      <w:pPr>
        <w:pStyle w:val="EndNoteBibliography"/>
        <w:spacing w:after="0"/>
        <w:ind w:left="720" w:hanging="720"/>
      </w:pPr>
      <w:r w:rsidRPr="00774092">
        <w:t>[2]</w:t>
      </w:r>
      <w:r w:rsidRPr="00774092">
        <w:tab/>
        <w:t xml:space="preserve">A. ASTM C642, "Standard test method for density, absorption, and voids in hardened concrete," </w:t>
      </w:r>
      <w:r w:rsidRPr="00774092">
        <w:rPr>
          <w:i/>
        </w:rPr>
        <w:t xml:space="preserve">ASTM, ASTM International, </w:t>
      </w:r>
      <w:r w:rsidRPr="00774092">
        <w:t>2013.</w:t>
      </w:r>
    </w:p>
    <w:p w14:paraId="560303B7" w14:textId="77777777" w:rsidR="00774092" w:rsidRPr="00774092" w:rsidRDefault="00774092" w:rsidP="00774092">
      <w:pPr>
        <w:pStyle w:val="EndNoteBibliography"/>
        <w:spacing w:after="0"/>
        <w:ind w:left="720" w:hanging="720"/>
      </w:pPr>
      <w:r w:rsidRPr="00774092">
        <w:t>[3]</w:t>
      </w:r>
      <w:r w:rsidRPr="00774092">
        <w:tab/>
        <w:t>M. Almarshoud</w:t>
      </w:r>
      <w:r w:rsidRPr="00774092">
        <w:rPr>
          <w:i/>
        </w:rPr>
        <w:t xml:space="preserve"> et al.</w:t>
      </w:r>
      <w:r w:rsidRPr="00774092">
        <w:t xml:space="preserve">, "Use of Electrical Resistivity-Based Tests for Concrete Penetrability Measurement," </w:t>
      </w:r>
      <w:r w:rsidRPr="00774092">
        <w:rPr>
          <w:i/>
        </w:rPr>
        <w:t xml:space="preserve">ACI Materials Journal, </w:t>
      </w:r>
      <w:r w:rsidRPr="00774092">
        <w:t>vol. 118, no. 1, 2021, doi: 10.14359/51729334.</w:t>
      </w:r>
    </w:p>
    <w:p w14:paraId="2B656FF2" w14:textId="77777777" w:rsidR="00774092" w:rsidRPr="00774092" w:rsidRDefault="00774092" w:rsidP="00774092">
      <w:pPr>
        <w:pStyle w:val="EndNoteBibliography"/>
        <w:spacing w:after="0"/>
        <w:ind w:left="720" w:hanging="720"/>
      </w:pPr>
      <w:r w:rsidRPr="00774092">
        <w:t>[4]</w:t>
      </w:r>
      <w:r w:rsidRPr="00774092">
        <w:tab/>
        <w:t xml:space="preserve">P. Nath and P. K. Sarker, "Effect of GGBFS on setting, workability and early strength properties of fly ash geopolymer concrete cured in ambient condition," </w:t>
      </w:r>
      <w:r w:rsidRPr="00774092">
        <w:rPr>
          <w:i/>
        </w:rPr>
        <w:t xml:space="preserve">Constr. Build. Mater., </w:t>
      </w:r>
      <w:r w:rsidRPr="00774092">
        <w:t>vol. 66, pp. 163-171, 2014, doi: 10.1016/j.conbuildmat.2014.05.080.</w:t>
      </w:r>
    </w:p>
    <w:p w14:paraId="0D57B6DD" w14:textId="77777777" w:rsidR="00774092" w:rsidRPr="00774092" w:rsidRDefault="00774092" w:rsidP="00774092">
      <w:pPr>
        <w:pStyle w:val="EndNoteBibliography"/>
        <w:spacing w:after="0"/>
        <w:ind w:left="720" w:hanging="720"/>
      </w:pPr>
      <w:r w:rsidRPr="00774092">
        <w:t>[5]</w:t>
      </w:r>
      <w:r w:rsidRPr="00774092">
        <w:tab/>
        <w:t xml:space="preserve">S. Aydın and B. Baradan, "Effect of activator type and content on properties of alkali-activated slag mortars," </w:t>
      </w:r>
      <w:r w:rsidRPr="00774092">
        <w:rPr>
          <w:i/>
        </w:rPr>
        <w:t xml:space="preserve">Composites Part B: Engineering, </w:t>
      </w:r>
      <w:r w:rsidRPr="00774092">
        <w:t>vol. 57, pp. 166-172, 2014, doi: 10.1016/j.compositesb.2013.10.001.</w:t>
      </w:r>
    </w:p>
    <w:p w14:paraId="637EA93C" w14:textId="77777777" w:rsidR="00774092" w:rsidRPr="00774092" w:rsidRDefault="00774092" w:rsidP="00774092">
      <w:pPr>
        <w:pStyle w:val="EndNoteBibliography"/>
        <w:spacing w:after="0"/>
        <w:ind w:left="720" w:hanging="720"/>
      </w:pPr>
      <w:r w:rsidRPr="00774092">
        <w:t>[6]</w:t>
      </w:r>
      <w:r w:rsidRPr="00774092">
        <w:tab/>
        <w:t>A. A. Alnkaa</w:t>
      </w:r>
      <w:r w:rsidRPr="00774092">
        <w:rPr>
          <w:i/>
        </w:rPr>
        <w:t xml:space="preserve"> et al.</w:t>
      </w:r>
      <w:r w:rsidRPr="00774092">
        <w:t xml:space="preserve">, "Performance evaluation and cost analysis of ternary blended geopolymers for sustainable built environment under different curing regimes," </w:t>
      </w:r>
      <w:r w:rsidRPr="00774092">
        <w:rPr>
          <w:i/>
        </w:rPr>
        <w:t xml:space="preserve">Construction and Building Materials, </w:t>
      </w:r>
      <w:r w:rsidRPr="00774092">
        <w:t>vol. 409, p. 133842, 2023, doi: 10.1016/j.conbuildmat.2023.133842.</w:t>
      </w:r>
    </w:p>
    <w:p w14:paraId="17C6C480" w14:textId="77777777" w:rsidR="00774092" w:rsidRPr="00774092" w:rsidRDefault="00774092" w:rsidP="00774092">
      <w:pPr>
        <w:pStyle w:val="EndNoteBibliography"/>
        <w:spacing w:after="0"/>
        <w:ind w:left="720" w:hanging="720"/>
      </w:pPr>
      <w:r w:rsidRPr="00774092">
        <w:t>[7]</w:t>
      </w:r>
      <w:r w:rsidRPr="00774092">
        <w:tab/>
        <w:t xml:space="preserve">H. Zhang, X. Shi, and Q. Wang, "Effect of Curing Condition on Compressive Strength of Fly Ash Geopolymer Concrete," </w:t>
      </w:r>
      <w:r w:rsidRPr="00774092">
        <w:rPr>
          <w:i/>
        </w:rPr>
        <w:t xml:space="preserve">ACI Materials Journal, </w:t>
      </w:r>
      <w:r w:rsidRPr="00774092">
        <w:t>vol. 115, no. 2, 2018, doi: .14359/51701124.</w:t>
      </w:r>
    </w:p>
    <w:p w14:paraId="57F39DDA" w14:textId="77777777" w:rsidR="00774092" w:rsidRPr="00774092" w:rsidRDefault="00774092" w:rsidP="00774092">
      <w:pPr>
        <w:pStyle w:val="EndNoteBibliography"/>
        <w:spacing w:after="0"/>
        <w:ind w:left="720" w:hanging="720"/>
      </w:pPr>
      <w:r w:rsidRPr="00774092">
        <w:t>[8]</w:t>
      </w:r>
      <w:r w:rsidRPr="00774092">
        <w:tab/>
        <w:t xml:space="preserve">P. Chen, J. Wang, L. Wang, and Y. Xu, "Perforated cenospheres: A reactive internal curing agent for alkali activated slag mortars," </w:t>
      </w:r>
      <w:r w:rsidRPr="00774092">
        <w:rPr>
          <w:i/>
        </w:rPr>
        <w:t xml:space="preserve">Cement and Concrete Composites, </w:t>
      </w:r>
      <w:r w:rsidRPr="00774092">
        <w:t>vol. 104, p. 103351, 2019, doi: 10.1016/j.cemconcomp.2019.103351.</w:t>
      </w:r>
    </w:p>
    <w:p w14:paraId="4D068D02" w14:textId="77777777" w:rsidR="00774092" w:rsidRPr="00774092" w:rsidRDefault="00774092" w:rsidP="00774092">
      <w:pPr>
        <w:pStyle w:val="EndNoteBibliography"/>
        <w:spacing w:after="0"/>
        <w:ind w:left="720" w:hanging="720"/>
      </w:pPr>
      <w:r w:rsidRPr="00774092">
        <w:lastRenderedPageBreak/>
        <w:t>[9]</w:t>
      </w:r>
      <w:r w:rsidRPr="00774092">
        <w:tab/>
        <w:t xml:space="preserve">Z. Najeeb and M. A. Mosaberpanah, "Mechanical and durability properties of modified High-Performance mortar by using cenospheres and Nano-Silica," </w:t>
      </w:r>
      <w:r w:rsidRPr="00774092">
        <w:rPr>
          <w:i/>
        </w:rPr>
        <w:t xml:space="preserve">Construction and Building Materials, </w:t>
      </w:r>
      <w:r w:rsidRPr="00774092">
        <w:t>vol. 362, p. 129782, 2023, doi: 10.1016/j.conbuildmat.2022.129782.</w:t>
      </w:r>
    </w:p>
    <w:p w14:paraId="222DEBFF" w14:textId="77777777" w:rsidR="00774092" w:rsidRPr="00774092" w:rsidRDefault="00774092" w:rsidP="00774092">
      <w:pPr>
        <w:pStyle w:val="EndNoteBibliography"/>
        <w:spacing w:after="0"/>
        <w:ind w:left="720" w:hanging="720"/>
      </w:pPr>
      <w:r w:rsidRPr="00774092">
        <w:t>[10]</w:t>
      </w:r>
      <w:r w:rsidRPr="00774092">
        <w:tab/>
        <w:t xml:space="preserve">A. Hanif, P. Parthasarathy, H. Ma, T. Fan, and Z. Li, "Properties improvement of fly ash cenosphere modified cement pastes using nano silica," </w:t>
      </w:r>
      <w:r w:rsidRPr="00774092">
        <w:rPr>
          <w:i/>
        </w:rPr>
        <w:t xml:space="preserve">Cement and Concrete Composites, </w:t>
      </w:r>
      <w:r w:rsidRPr="00774092">
        <w:t>vol. 81, pp. 35-48, 2017, doi: 10.1016/j.cemconcomp.2017.04.008.</w:t>
      </w:r>
    </w:p>
    <w:p w14:paraId="7B3A0509" w14:textId="77777777" w:rsidR="00774092" w:rsidRPr="00774092" w:rsidRDefault="00774092" w:rsidP="00774092">
      <w:pPr>
        <w:pStyle w:val="EndNoteBibliography"/>
        <w:spacing w:after="0"/>
        <w:ind w:left="720" w:hanging="720"/>
      </w:pPr>
      <w:r w:rsidRPr="00774092">
        <w:t>[11]</w:t>
      </w:r>
      <w:r w:rsidRPr="00774092">
        <w:tab/>
        <w:t xml:space="preserve">M. U. Salim and M. A. Mosaberpanah, "Mechanical and durability properties of high-performance mortar containing binary mixes of cenosphere and waste glass powder under different curing regimes," </w:t>
      </w:r>
      <w:r w:rsidRPr="00774092">
        <w:rPr>
          <w:i/>
        </w:rPr>
        <w:t xml:space="preserve">Journal of Materials Research and Technology, </w:t>
      </w:r>
      <w:r w:rsidRPr="00774092">
        <w:t>vol. 13, pp. 602-617, 2021, doi: 10.1016/j.jmrt.2021.04.077.</w:t>
      </w:r>
    </w:p>
    <w:p w14:paraId="62DEFEF1" w14:textId="77777777" w:rsidR="00774092" w:rsidRPr="00774092" w:rsidRDefault="00774092" w:rsidP="00774092">
      <w:pPr>
        <w:pStyle w:val="EndNoteBibliography"/>
        <w:spacing w:after="0"/>
        <w:ind w:left="720" w:hanging="720"/>
      </w:pPr>
      <w:r w:rsidRPr="00774092">
        <w:t>[12]</w:t>
      </w:r>
      <w:r w:rsidRPr="00774092">
        <w:tab/>
        <w:t xml:space="preserve">R. Vijayalakshmi, S. Naganathan, and S. Ramanagopal, "Study on the Compressive Strength and Water Absorption Characteristics of Mortar Blocks with Cenosphere as Partial Replacement for Cement," in </w:t>
      </w:r>
      <w:r w:rsidRPr="00774092">
        <w:rPr>
          <w:i/>
        </w:rPr>
        <w:t>Sustainable Practices and Innovations in Civil Engineering: Select Proceedings of SPICE 2021</w:t>
      </w:r>
      <w:r w:rsidRPr="00774092">
        <w:t xml:space="preserve">, 2022: Springer, pp. 251-263, doi: 10.1007/978-981-16-5041-3_19. </w:t>
      </w:r>
    </w:p>
    <w:p w14:paraId="42BF33D0" w14:textId="77777777" w:rsidR="00774092" w:rsidRPr="00774092" w:rsidRDefault="00774092" w:rsidP="00774092">
      <w:pPr>
        <w:pStyle w:val="EndNoteBibliography"/>
        <w:spacing w:after="0"/>
        <w:ind w:left="720" w:hanging="720"/>
      </w:pPr>
      <w:r w:rsidRPr="00774092">
        <w:t>[13]</w:t>
      </w:r>
      <w:r w:rsidRPr="00774092">
        <w:tab/>
        <w:t xml:space="preserve">A. Hanif, Z. Lu, S. Diao, X. Zeng, and Z. Li, "Properties investigation of fiber reinforced cement-based composites incorporating cenosphere fillers," </w:t>
      </w:r>
      <w:r w:rsidRPr="00774092">
        <w:rPr>
          <w:i/>
        </w:rPr>
        <w:t xml:space="preserve">Constr. Build. Mater., </w:t>
      </w:r>
      <w:r w:rsidRPr="00774092">
        <w:t>vol. 140, pp. 139-149, 2017, doi: 10.1016/j.conbuildmat.2017.02.093.</w:t>
      </w:r>
    </w:p>
    <w:p w14:paraId="284BD4CD" w14:textId="77777777" w:rsidR="00774092" w:rsidRPr="00774092" w:rsidRDefault="00774092" w:rsidP="00774092">
      <w:pPr>
        <w:pStyle w:val="EndNoteBibliography"/>
        <w:spacing w:after="0"/>
        <w:ind w:left="720" w:hanging="720"/>
      </w:pPr>
      <w:r w:rsidRPr="00774092">
        <w:t>[14]</w:t>
      </w:r>
      <w:r w:rsidRPr="00774092">
        <w:tab/>
        <w:t xml:space="preserve">N. Barbare, A. Shukla, and A. Bose, "Uptake and loss of water in a cenosphere–concrete composite material," </w:t>
      </w:r>
      <w:r w:rsidRPr="00774092">
        <w:rPr>
          <w:i/>
        </w:rPr>
        <w:t xml:space="preserve">Cem. Concr. Res., </w:t>
      </w:r>
      <w:r w:rsidRPr="00774092">
        <w:t>vol. 33, no. 10, pp. 1681-1686, 2003, doi: 10.1016/S0008-8846(03)00148-0.</w:t>
      </w:r>
    </w:p>
    <w:p w14:paraId="515114F2" w14:textId="77777777" w:rsidR="00774092" w:rsidRPr="00774092" w:rsidRDefault="00774092" w:rsidP="00774092">
      <w:pPr>
        <w:pStyle w:val="EndNoteBibliography"/>
        <w:spacing w:after="0"/>
        <w:ind w:left="720" w:hanging="720"/>
      </w:pPr>
      <w:r w:rsidRPr="00774092">
        <w:t>[15]</w:t>
      </w:r>
      <w:r w:rsidRPr="00774092">
        <w:tab/>
        <w:t xml:space="preserve">H. Satpathy, S. Patel, and A. Nayak, "Development of sustainable lightweight concrete using fly ash cenosphere and sintered fly ash aggregate," </w:t>
      </w:r>
      <w:r w:rsidRPr="00774092">
        <w:rPr>
          <w:i/>
        </w:rPr>
        <w:t xml:space="preserve">Construction and Building Materials, </w:t>
      </w:r>
      <w:r w:rsidRPr="00774092">
        <w:t>vol. 202, pp. 636-655, 2019, doi: 10.1016/j.conbuildmat.2019.01.034.</w:t>
      </w:r>
    </w:p>
    <w:p w14:paraId="56B5E8B0" w14:textId="77777777" w:rsidR="00774092" w:rsidRPr="00774092" w:rsidRDefault="00774092" w:rsidP="00774092">
      <w:pPr>
        <w:pStyle w:val="EndNoteBibliography"/>
        <w:spacing w:after="0"/>
        <w:ind w:left="720" w:hanging="720"/>
      </w:pPr>
      <w:r w:rsidRPr="00774092">
        <w:t>[16]</w:t>
      </w:r>
      <w:r w:rsidRPr="00774092">
        <w:tab/>
        <w:t xml:space="preserve">X. Liu, M.-H. Zhang, K. S. Chia, J. Yan, and J. R. Liew, "Mechanical properties of ultra-lightweight cement composite at low temperatures of 0 to− 60° C," </w:t>
      </w:r>
      <w:r w:rsidRPr="00774092">
        <w:rPr>
          <w:i/>
        </w:rPr>
        <w:t xml:space="preserve">Cement and Concrete Composites, </w:t>
      </w:r>
      <w:r w:rsidRPr="00774092">
        <w:t>vol. 73, pp. 289-298, 2016, doi: 10.1016/j.cemconcomp.2016.05.014.</w:t>
      </w:r>
    </w:p>
    <w:p w14:paraId="42B6AF94" w14:textId="77777777" w:rsidR="00774092" w:rsidRPr="00774092" w:rsidRDefault="00774092" w:rsidP="00774092">
      <w:pPr>
        <w:pStyle w:val="EndNoteBibliography"/>
        <w:spacing w:after="0"/>
        <w:ind w:left="720" w:hanging="720"/>
      </w:pPr>
      <w:r w:rsidRPr="00774092">
        <w:t>[17]</w:t>
      </w:r>
      <w:r w:rsidRPr="00774092">
        <w:tab/>
        <w:t xml:space="preserve">C. Andrade, "Resistivity test criteria for durability design and quality control of concrete in chloride exposures," </w:t>
      </w:r>
      <w:r w:rsidRPr="00774092">
        <w:rPr>
          <w:i/>
        </w:rPr>
        <w:t xml:space="preserve">Concr. Aust, </w:t>
      </w:r>
      <w:r w:rsidRPr="00774092">
        <w:t>vol. 40, no. 4, pp. 57-64, 2014.</w:t>
      </w:r>
    </w:p>
    <w:p w14:paraId="7C44D592" w14:textId="77777777" w:rsidR="00774092" w:rsidRPr="00774092" w:rsidRDefault="00774092" w:rsidP="00774092">
      <w:pPr>
        <w:pStyle w:val="EndNoteBibliography"/>
        <w:spacing w:after="0"/>
        <w:ind w:left="720" w:hanging="720"/>
      </w:pPr>
      <w:r w:rsidRPr="00774092">
        <w:t>[18]</w:t>
      </w:r>
      <w:r w:rsidRPr="00774092">
        <w:tab/>
        <w:t xml:space="preserve">E. I. Nadelman and K. E. Kurtis, "A resistivity-based approach to optimizing concrete performance," </w:t>
      </w:r>
      <w:r w:rsidRPr="00774092">
        <w:rPr>
          <w:i/>
        </w:rPr>
        <w:t xml:space="preserve">Concrete international, </w:t>
      </w:r>
      <w:r w:rsidRPr="00774092">
        <w:t>vol. 36, no. 5, pp. 50-54, 2014.</w:t>
      </w:r>
    </w:p>
    <w:p w14:paraId="23A0DD10" w14:textId="77777777" w:rsidR="00774092" w:rsidRPr="00774092" w:rsidRDefault="00774092" w:rsidP="00774092">
      <w:pPr>
        <w:pStyle w:val="EndNoteBibliography"/>
        <w:spacing w:after="0"/>
        <w:ind w:left="720" w:hanging="720"/>
      </w:pPr>
      <w:r w:rsidRPr="00774092">
        <w:t>[19]</w:t>
      </w:r>
      <w:r w:rsidRPr="00774092">
        <w:tab/>
        <w:t xml:space="preserve">A. Noushini and A. Castel, "The effect of heat-curing on transport properties of low-calcium fly ash-based geopolymer concrete," </w:t>
      </w:r>
      <w:r w:rsidRPr="00774092">
        <w:rPr>
          <w:i/>
        </w:rPr>
        <w:t xml:space="preserve">Construction and Building Materials, </w:t>
      </w:r>
      <w:r w:rsidRPr="00774092">
        <w:t>vol. 112, pp. 464-477, 2016, doi: 10.1016/j.conbuildmat.2016.02.210.</w:t>
      </w:r>
    </w:p>
    <w:p w14:paraId="42C96DA4" w14:textId="3708A2FB" w:rsidR="00774092" w:rsidRPr="00774092" w:rsidRDefault="00774092" w:rsidP="00774092">
      <w:pPr>
        <w:pStyle w:val="EndNoteBibliography"/>
        <w:ind w:left="720" w:hanging="720"/>
      </w:pPr>
      <w:r w:rsidRPr="00774092">
        <w:t>[20]</w:t>
      </w:r>
      <w:r w:rsidRPr="00774092">
        <w:tab/>
        <w:t>F. F. Zainal</w:t>
      </w:r>
      <w:r w:rsidRPr="00774092">
        <w:rPr>
          <w:i/>
        </w:rPr>
        <w:t xml:space="preserve"> et al.</w:t>
      </w:r>
      <w:r w:rsidRPr="00774092">
        <w:t xml:space="preserve">, "The electrical resistivity of geopolymer paste by using wenner four probe Method," </w:t>
      </w:r>
      <w:r w:rsidRPr="00774092">
        <w:rPr>
          <w:i/>
        </w:rPr>
        <w:t xml:space="preserve">Key Engineering Materials, </w:t>
      </w:r>
      <w:r w:rsidRPr="00774092">
        <w:t>vol. 660, pp. 28-33, 2015, doi: 10.4028/</w:t>
      </w:r>
      <w:hyperlink r:id="rId13" w:history="1">
        <w:r w:rsidRPr="00774092">
          <w:rPr>
            <w:rStyle w:val="Hyperlink"/>
          </w:rPr>
          <w:t>www.scientific.net/KEM.660.28</w:t>
        </w:r>
      </w:hyperlink>
      <w:r w:rsidRPr="00774092">
        <w:t>.</w:t>
      </w:r>
    </w:p>
    <w:p w14:paraId="41EBF4C6" w14:textId="516C4CC1" w:rsidR="00635D31" w:rsidRPr="000D6DAB" w:rsidRDefault="00635D31" w:rsidP="00635D31">
      <w:pPr>
        <w:shd w:val="clear" w:color="auto" w:fill="FFFFFF"/>
        <w:ind w:left="360"/>
        <w:rPr>
          <w:bCs/>
          <w:szCs w:val="24"/>
        </w:rPr>
      </w:pPr>
      <w:r>
        <w:rPr>
          <w:bCs/>
          <w:szCs w:val="24"/>
        </w:rPr>
        <w:fldChar w:fldCharType="end"/>
      </w:r>
    </w:p>
    <w:sectPr w:rsidR="00635D31" w:rsidRPr="000D6DAB" w:rsidSect="0070531C">
      <w:pgSz w:w="12240" w:h="15840"/>
      <w:pgMar w:top="1134" w:right="1134" w:bottom="1134" w:left="1134" w:header="72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1BF2" w14:textId="77777777" w:rsidR="003C68F7" w:rsidRDefault="003C68F7">
      <w:r>
        <w:separator/>
      </w:r>
    </w:p>
  </w:endnote>
  <w:endnote w:type="continuationSeparator" w:id="0">
    <w:p w14:paraId="761E547B" w14:textId="77777777" w:rsidR="003C68F7" w:rsidRDefault="003C68F7">
      <w:r>
        <w:continuationSeparator/>
      </w:r>
    </w:p>
  </w:endnote>
  <w:endnote w:type="continuationNotice" w:id="1">
    <w:p w14:paraId="6B5D7BD5" w14:textId="77777777" w:rsidR="003C68F7" w:rsidRDefault="003C68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D0A54" w14:textId="77777777" w:rsidR="003C68F7" w:rsidRDefault="003C68F7">
      <w:r>
        <w:separator/>
      </w:r>
    </w:p>
  </w:footnote>
  <w:footnote w:type="continuationSeparator" w:id="0">
    <w:p w14:paraId="0B9FAEE6" w14:textId="77777777" w:rsidR="003C68F7" w:rsidRDefault="003C68F7">
      <w:r>
        <w:continuationSeparator/>
      </w:r>
    </w:p>
  </w:footnote>
  <w:footnote w:type="continuationNotice" w:id="1">
    <w:p w14:paraId="53CC8608" w14:textId="77777777" w:rsidR="003C68F7" w:rsidRDefault="003C68F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859AC"/>
    <w:multiLevelType w:val="multilevel"/>
    <w:tmpl w:val="D04EBBD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24B7771"/>
    <w:multiLevelType w:val="hybridMultilevel"/>
    <w:tmpl w:val="F670A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DF38A8"/>
    <w:multiLevelType w:val="hybridMultilevel"/>
    <w:tmpl w:val="92A67F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3D13926"/>
    <w:multiLevelType w:val="hybridMultilevel"/>
    <w:tmpl w:val="42D41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1A0123"/>
    <w:multiLevelType w:val="multilevel"/>
    <w:tmpl w:val="6F0C82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6F0D0A5D"/>
    <w:multiLevelType w:val="hybridMultilevel"/>
    <w:tmpl w:val="48CAD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5087322">
    <w:abstractNumId w:val="1"/>
  </w:num>
  <w:num w:numId="2" w16cid:durableId="1504128437">
    <w:abstractNumId w:val="2"/>
  </w:num>
  <w:num w:numId="3" w16cid:durableId="1346978858">
    <w:abstractNumId w:val="3"/>
  </w:num>
  <w:num w:numId="4" w16cid:durableId="1502815944">
    <w:abstractNumId w:val="4"/>
  </w:num>
  <w:num w:numId="5" w16cid:durableId="803934095">
    <w:abstractNumId w:val="5"/>
  </w:num>
  <w:num w:numId="6" w16cid:durableId="1584298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strokecolor="#739cc3">
      <v:fill angle="90" type="gradient">
        <o:fill v:ext="view" type="gradientUnscaled"/>
      </v:fill>
      <v:stroke color="#739cc3" weight="1.25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wNTW3MDMxNbQ0NDdW0lEKTi0uzszPAymwqAUAQf71wSwAAAA="/>
    <w:docVar w:name="EN.Layout" w:val="&lt;ENLayout&gt;&lt;Style&gt;IEE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55srsd5vaxtd4e9ff4v9raozw2avevefpv0&quot;&gt;Microstructural Analysis&lt;record-ids&gt;&lt;item&gt;1&lt;/item&gt;&lt;item&gt;2&lt;/item&gt;&lt;item&gt;3&lt;/item&gt;&lt;item&gt;7&lt;/item&gt;&lt;item&gt;8&lt;/item&gt;&lt;item&gt;9&lt;/item&gt;&lt;item&gt;10&lt;/item&gt;&lt;item&gt;11&lt;/item&gt;&lt;item&gt;12&lt;/item&gt;&lt;item&gt;87&lt;/item&gt;&lt;item&gt;109&lt;/item&gt;&lt;item&gt;110&lt;/item&gt;&lt;item&gt;111&lt;/item&gt;&lt;item&gt;112&lt;/item&gt;&lt;item&gt;113&lt;/item&gt;&lt;item&gt;119&lt;/item&gt;&lt;/record-ids&gt;&lt;/item&gt;&lt;/Libraries&gt;"/>
  </w:docVars>
  <w:rsids>
    <w:rsidRoot w:val="00172A27"/>
    <w:rsid w:val="0000674F"/>
    <w:rsid w:val="00006E1A"/>
    <w:rsid w:val="000074C5"/>
    <w:rsid w:val="00007CAB"/>
    <w:rsid w:val="000106D4"/>
    <w:rsid w:val="00030848"/>
    <w:rsid w:val="00041B43"/>
    <w:rsid w:val="00042566"/>
    <w:rsid w:val="00046857"/>
    <w:rsid w:val="0005056C"/>
    <w:rsid w:val="00055881"/>
    <w:rsid w:val="00057E97"/>
    <w:rsid w:val="00065C85"/>
    <w:rsid w:val="00086CA3"/>
    <w:rsid w:val="000A3ED9"/>
    <w:rsid w:val="000B4B78"/>
    <w:rsid w:val="000C3CC0"/>
    <w:rsid w:val="000C5314"/>
    <w:rsid w:val="000D6DAB"/>
    <w:rsid w:val="000E7301"/>
    <w:rsid w:val="000F32F7"/>
    <w:rsid w:val="000F74EA"/>
    <w:rsid w:val="00121EF1"/>
    <w:rsid w:val="001308E0"/>
    <w:rsid w:val="001431A1"/>
    <w:rsid w:val="00172A27"/>
    <w:rsid w:val="00177A53"/>
    <w:rsid w:val="00184D22"/>
    <w:rsid w:val="001868CD"/>
    <w:rsid w:val="001922BF"/>
    <w:rsid w:val="001941F3"/>
    <w:rsid w:val="001A07F8"/>
    <w:rsid w:val="001B0B54"/>
    <w:rsid w:val="001B2E50"/>
    <w:rsid w:val="001C6B2E"/>
    <w:rsid w:val="001D697D"/>
    <w:rsid w:val="001E36C8"/>
    <w:rsid w:val="001E7210"/>
    <w:rsid w:val="001E7316"/>
    <w:rsid w:val="001F1946"/>
    <w:rsid w:val="001F410F"/>
    <w:rsid w:val="001F43B3"/>
    <w:rsid w:val="0020537B"/>
    <w:rsid w:val="0022173A"/>
    <w:rsid w:val="002238D9"/>
    <w:rsid w:val="00224982"/>
    <w:rsid w:val="00230206"/>
    <w:rsid w:val="00242176"/>
    <w:rsid w:val="002421A5"/>
    <w:rsid w:val="00245D63"/>
    <w:rsid w:val="00270D39"/>
    <w:rsid w:val="0029654A"/>
    <w:rsid w:val="002A5D04"/>
    <w:rsid w:val="002B03C6"/>
    <w:rsid w:val="002C48B7"/>
    <w:rsid w:val="002D796C"/>
    <w:rsid w:val="00303E14"/>
    <w:rsid w:val="00314C07"/>
    <w:rsid w:val="0032147A"/>
    <w:rsid w:val="00322A4F"/>
    <w:rsid w:val="0032420A"/>
    <w:rsid w:val="00330711"/>
    <w:rsid w:val="0035617B"/>
    <w:rsid w:val="00373F6E"/>
    <w:rsid w:val="00384344"/>
    <w:rsid w:val="003903A5"/>
    <w:rsid w:val="003A0DB3"/>
    <w:rsid w:val="003A2864"/>
    <w:rsid w:val="003B080D"/>
    <w:rsid w:val="003B383A"/>
    <w:rsid w:val="003C672D"/>
    <w:rsid w:val="003C68F7"/>
    <w:rsid w:val="003F0D8C"/>
    <w:rsid w:val="003F7741"/>
    <w:rsid w:val="00400848"/>
    <w:rsid w:val="00407814"/>
    <w:rsid w:val="00423C36"/>
    <w:rsid w:val="00435F66"/>
    <w:rsid w:val="00436FDA"/>
    <w:rsid w:val="00474D4A"/>
    <w:rsid w:val="0049130C"/>
    <w:rsid w:val="00492EB1"/>
    <w:rsid w:val="004B1C91"/>
    <w:rsid w:val="004B42B1"/>
    <w:rsid w:val="004D5F86"/>
    <w:rsid w:val="004D7F97"/>
    <w:rsid w:val="00503BB9"/>
    <w:rsid w:val="005051F7"/>
    <w:rsid w:val="00513C42"/>
    <w:rsid w:val="00521259"/>
    <w:rsid w:val="005221B3"/>
    <w:rsid w:val="005600D5"/>
    <w:rsid w:val="00564202"/>
    <w:rsid w:val="00567894"/>
    <w:rsid w:val="00570FC1"/>
    <w:rsid w:val="00574DC5"/>
    <w:rsid w:val="00576FFD"/>
    <w:rsid w:val="0059146A"/>
    <w:rsid w:val="0059758D"/>
    <w:rsid w:val="005B2FF8"/>
    <w:rsid w:val="005C2580"/>
    <w:rsid w:val="005D1054"/>
    <w:rsid w:val="005D1524"/>
    <w:rsid w:val="005F3A37"/>
    <w:rsid w:val="00611E9C"/>
    <w:rsid w:val="00625055"/>
    <w:rsid w:val="00635D31"/>
    <w:rsid w:val="006425B2"/>
    <w:rsid w:val="0064474B"/>
    <w:rsid w:val="00646A7E"/>
    <w:rsid w:val="0065460F"/>
    <w:rsid w:val="00657275"/>
    <w:rsid w:val="00660355"/>
    <w:rsid w:val="00665287"/>
    <w:rsid w:val="00665C92"/>
    <w:rsid w:val="0066785F"/>
    <w:rsid w:val="00675516"/>
    <w:rsid w:val="0068526B"/>
    <w:rsid w:val="006A520A"/>
    <w:rsid w:val="006B054E"/>
    <w:rsid w:val="006C310A"/>
    <w:rsid w:val="006D3677"/>
    <w:rsid w:val="006F70D5"/>
    <w:rsid w:val="0070531C"/>
    <w:rsid w:val="00705A6C"/>
    <w:rsid w:val="0073366D"/>
    <w:rsid w:val="00735919"/>
    <w:rsid w:val="0074221B"/>
    <w:rsid w:val="00757D38"/>
    <w:rsid w:val="00774092"/>
    <w:rsid w:val="00775EA6"/>
    <w:rsid w:val="007A7F18"/>
    <w:rsid w:val="007D4770"/>
    <w:rsid w:val="007F2C71"/>
    <w:rsid w:val="007F3774"/>
    <w:rsid w:val="00807898"/>
    <w:rsid w:val="008139BA"/>
    <w:rsid w:val="00832DBE"/>
    <w:rsid w:val="00837150"/>
    <w:rsid w:val="00841E11"/>
    <w:rsid w:val="0084389A"/>
    <w:rsid w:val="008454C4"/>
    <w:rsid w:val="00846CE2"/>
    <w:rsid w:val="008A1EAB"/>
    <w:rsid w:val="008A3009"/>
    <w:rsid w:val="008A59BC"/>
    <w:rsid w:val="008B1DC7"/>
    <w:rsid w:val="008D595F"/>
    <w:rsid w:val="008E5CFD"/>
    <w:rsid w:val="008F5D28"/>
    <w:rsid w:val="009020BB"/>
    <w:rsid w:val="00904348"/>
    <w:rsid w:val="00904FD9"/>
    <w:rsid w:val="00921C51"/>
    <w:rsid w:val="00924AEF"/>
    <w:rsid w:val="00933832"/>
    <w:rsid w:val="00943BF6"/>
    <w:rsid w:val="00954ADA"/>
    <w:rsid w:val="0097449E"/>
    <w:rsid w:val="00981657"/>
    <w:rsid w:val="0098530C"/>
    <w:rsid w:val="009C160A"/>
    <w:rsid w:val="009C1F17"/>
    <w:rsid w:val="009C32AA"/>
    <w:rsid w:val="009C71CF"/>
    <w:rsid w:val="009E3B56"/>
    <w:rsid w:val="00A02FE9"/>
    <w:rsid w:val="00A0702D"/>
    <w:rsid w:val="00A143AF"/>
    <w:rsid w:val="00A160BB"/>
    <w:rsid w:val="00A2147C"/>
    <w:rsid w:val="00A33D05"/>
    <w:rsid w:val="00A33E42"/>
    <w:rsid w:val="00A62775"/>
    <w:rsid w:val="00A652E2"/>
    <w:rsid w:val="00A737A6"/>
    <w:rsid w:val="00A77F6D"/>
    <w:rsid w:val="00A93A8B"/>
    <w:rsid w:val="00AB6025"/>
    <w:rsid w:val="00AB69DB"/>
    <w:rsid w:val="00AD37A1"/>
    <w:rsid w:val="00AD6154"/>
    <w:rsid w:val="00AE1513"/>
    <w:rsid w:val="00B0182A"/>
    <w:rsid w:val="00B05D84"/>
    <w:rsid w:val="00B0747F"/>
    <w:rsid w:val="00B245F9"/>
    <w:rsid w:val="00B27C78"/>
    <w:rsid w:val="00B3223C"/>
    <w:rsid w:val="00B35BAA"/>
    <w:rsid w:val="00B47C4C"/>
    <w:rsid w:val="00B5634B"/>
    <w:rsid w:val="00B70A90"/>
    <w:rsid w:val="00B7646B"/>
    <w:rsid w:val="00B76765"/>
    <w:rsid w:val="00B85B43"/>
    <w:rsid w:val="00BA544B"/>
    <w:rsid w:val="00BC74D1"/>
    <w:rsid w:val="00BD2E84"/>
    <w:rsid w:val="00BE3A1C"/>
    <w:rsid w:val="00BF18A3"/>
    <w:rsid w:val="00C16AC9"/>
    <w:rsid w:val="00C24243"/>
    <w:rsid w:val="00C32DBD"/>
    <w:rsid w:val="00C36E06"/>
    <w:rsid w:val="00C513DF"/>
    <w:rsid w:val="00C77DAB"/>
    <w:rsid w:val="00C81D1F"/>
    <w:rsid w:val="00C852E1"/>
    <w:rsid w:val="00C871FA"/>
    <w:rsid w:val="00C951CA"/>
    <w:rsid w:val="00CA0DC7"/>
    <w:rsid w:val="00CB41EA"/>
    <w:rsid w:val="00CC366A"/>
    <w:rsid w:val="00CD6E30"/>
    <w:rsid w:val="00CE75EC"/>
    <w:rsid w:val="00CF1245"/>
    <w:rsid w:val="00D03323"/>
    <w:rsid w:val="00D17033"/>
    <w:rsid w:val="00D3154B"/>
    <w:rsid w:val="00D31928"/>
    <w:rsid w:val="00D3230C"/>
    <w:rsid w:val="00D35E12"/>
    <w:rsid w:val="00D37743"/>
    <w:rsid w:val="00D37E80"/>
    <w:rsid w:val="00D44671"/>
    <w:rsid w:val="00D470FE"/>
    <w:rsid w:val="00D50254"/>
    <w:rsid w:val="00D524E3"/>
    <w:rsid w:val="00D57B07"/>
    <w:rsid w:val="00D80523"/>
    <w:rsid w:val="00D9001D"/>
    <w:rsid w:val="00D9198D"/>
    <w:rsid w:val="00D964F3"/>
    <w:rsid w:val="00DD5452"/>
    <w:rsid w:val="00DD68EE"/>
    <w:rsid w:val="00DE01B2"/>
    <w:rsid w:val="00DE2FBA"/>
    <w:rsid w:val="00DF1EE4"/>
    <w:rsid w:val="00E24C37"/>
    <w:rsid w:val="00E3274A"/>
    <w:rsid w:val="00E37211"/>
    <w:rsid w:val="00E43245"/>
    <w:rsid w:val="00E50555"/>
    <w:rsid w:val="00E54B96"/>
    <w:rsid w:val="00E5638D"/>
    <w:rsid w:val="00E57B5D"/>
    <w:rsid w:val="00E644BC"/>
    <w:rsid w:val="00E837CE"/>
    <w:rsid w:val="00EA1CDB"/>
    <w:rsid w:val="00EC12E5"/>
    <w:rsid w:val="00EC7469"/>
    <w:rsid w:val="00ED41EB"/>
    <w:rsid w:val="00ED608B"/>
    <w:rsid w:val="00EF0FD6"/>
    <w:rsid w:val="00EF6213"/>
    <w:rsid w:val="00F26C32"/>
    <w:rsid w:val="00F305B5"/>
    <w:rsid w:val="00F43916"/>
    <w:rsid w:val="00F454C8"/>
    <w:rsid w:val="00F52318"/>
    <w:rsid w:val="00F554C6"/>
    <w:rsid w:val="00F61ACA"/>
    <w:rsid w:val="00F76312"/>
    <w:rsid w:val="00F77193"/>
    <w:rsid w:val="00F96986"/>
    <w:rsid w:val="00FA4009"/>
    <w:rsid w:val="00FB517C"/>
    <w:rsid w:val="00FB5E1C"/>
    <w:rsid w:val="00FC278A"/>
    <w:rsid w:val="00FC633D"/>
    <w:rsid w:val="00FF1A07"/>
    <w:rsid w:val="00FF24C1"/>
    <w:rsid w:val="00FF313D"/>
    <w:rsid w:val="00FF4027"/>
    <w:rsid w:val="00FF605F"/>
    <w:rsid w:val="1AA15D76"/>
    <w:rsid w:val="73F17EE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2"/>
    </o:shapelayout>
  </w:shapeDefaults>
  <w:decimalSymbol w:val="."/>
  <w:listSeparator w:val=","/>
  <w14:docId w14:val="437F507E"/>
  <w15:chartTrackingRefBased/>
  <w15:docId w15:val="{1B94F68A-C111-4CDC-B6B9-AAD18581E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lsdException w:name="annotation text" w:uiPriority="99"/>
    <w:lsdException w:name="footer" w:uiPriority="99"/>
    <w:lsdException w:name="caption" w:qFormat="1"/>
    <w:lsdException w:name="annotation reference" w:uiPriority="99"/>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646B"/>
    <w:pPr>
      <w:suppressAutoHyphens/>
      <w:overflowPunct w:val="0"/>
      <w:autoSpaceDE w:val="0"/>
      <w:autoSpaceDN w:val="0"/>
      <w:adjustRightInd w:val="0"/>
      <w:spacing w:after="120" w:line="360" w:lineRule="auto"/>
      <w:jc w:val="both"/>
      <w:textAlignment w:val="baseline"/>
    </w:pPr>
    <w:rPr>
      <w:rFonts w:eastAsia="Times New Roman"/>
      <w:kern w:val="14"/>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rPr>
      <w:rFonts w:ascii="Tahoma" w:hAnsi="Tahoma" w:cs="Tahoma"/>
      <w:kern w:val="14"/>
      <w:sz w:val="16"/>
      <w:szCs w:val="16"/>
      <w:lang w:val="en-US" w:eastAsia="en-US"/>
    </w:rPr>
  </w:style>
  <w:style w:type="character" w:styleId="Hyperlink">
    <w:name w:val="Hyperlink"/>
    <w:rPr>
      <w:color w:val="0000FF"/>
      <w:u w:val="single"/>
    </w:rPr>
  </w:style>
  <w:style w:type="character" w:customStyle="1" w:styleId="FooterChar">
    <w:name w:val="Footer Char"/>
    <w:link w:val="Footer"/>
    <w:uiPriority w:val="99"/>
    <w:rPr>
      <w:kern w:val="14"/>
      <w:lang w:val="en-US" w:eastAsia="en-US"/>
    </w:rPr>
  </w:style>
  <w:style w:type="character" w:customStyle="1" w:styleId="CaptionChar">
    <w:name w:val="Caption Char"/>
    <w:aliases w:val="Caption Tables Char"/>
    <w:link w:val="Caption"/>
    <w:rPr>
      <w:rFonts w:eastAsia="SimSun"/>
      <w:b/>
      <w:bCs/>
      <w:kern w:val="2"/>
    </w:rPr>
  </w:style>
  <w:style w:type="paragraph" w:styleId="PlainText">
    <w:name w:val="Plain Text"/>
    <w:basedOn w:val="Normal"/>
    <w:pPr>
      <w:suppressAutoHyphens w:val="0"/>
      <w:overflowPunct/>
      <w:autoSpaceDE/>
      <w:autoSpaceDN/>
      <w:adjustRightInd/>
      <w:jc w:val="left"/>
      <w:textAlignment w:val="auto"/>
    </w:pPr>
    <w:rPr>
      <w:rFonts w:ascii="Courier New" w:hAnsi="Courier New" w:cs="Courier New"/>
      <w:kern w:val="0"/>
    </w:rPr>
  </w:style>
  <w:style w:type="paragraph" w:styleId="Title">
    <w:name w:val="Title"/>
    <w:basedOn w:val="Normal"/>
    <w:qFormat/>
    <w:pPr>
      <w:spacing w:before="760"/>
      <w:jc w:val="center"/>
    </w:pPr>
    <w:rPr>
      <w:rFonts w:ascii="Arial" w:hAnsi="Arial"/>
      <w:b/>
      <w:caps/>
    </w:rPr>
  </w:style>
  <w:style w:type="paragraph" w:customStyle="1" w:styleId="TextHeading2">
    <w:name w:val="Text Heading 2"/>
    <w:basedOn w:val="Normal"/>
    <w:next w:val="BodyTextIndent"/>
    <w:pPr>
      <w:keepNext/>
      <w:spacing w:before="240"/>
    </w:pPr>
    <w:rPr>
      <w:rFonts w:ascii="Arial" w:hAnsi="Arial"/>
      <w:b/>
      <w:u w:val="single"/>
    </w:rPr>
  </w:style>
  <w:style w:type="paragraph" w:customStyle="1" w:styleId="AbstractClauseTitle">
    <w:name w:val="Abstract Clause Title"/>
    <w:basedOn w:val="Normal"/>
    <w:next w:val="BodyTextIndent"/>
    <w:pPr>
      <w:keepNext/>
    </w:pPr>
    <w:rPr>
      <w:rFonts w:ascii="Arial" w:hAnsi="Arial"/>
      <w:b/>
      <w:caps/>
    </w:rPr>
  </w:style>
  <w:style w:type="paragraph" w:customStyle="1" w:styleId="TextHeading3">
    <w:name w:val="Text Heading 3"/>
    <w:basedOn w:val="Normal"/>
    <w:next w:val="BodyTextIndent"/>
    <w:pPr>
      <w:spacing w:before="240"/>
      <w:ind w:left="360"/>
    </w:pPr>
    <w:rPr>
      <w:rFonts w:ascii="Arial" w:hAnsi="Arial"/>
      <w:b/>
      <w:u w:val="single"/>
    </w:rPr>
  </w:style>
  <w:style w:type="paragraph" w:styleId="BodyTextIndent">
    <w:name w:val="Body Text Indent"/>
    <w:basedOn w:val="Normal"/>
    <w:pPr>
      <w:ind w:firstLine="360"/>
    </w:pPr>
  </w:style>
  <w:style w:type="paragraph" w:styleId="Footer">
    <w:name w:val="footer"/>
    <w:basedOn w:val="Normal"/>
    <w:next w:val="Header"/>
    <w:link w:val="FooterChar"/>
    <w:uiPriority w:val="99"/>
    <w:pPr>
      <w:tabs>
        <w:tab w:val="center" w:pos="5760"/>
        <w:tab w:val="right" w:pos="10800"/>
      </w:tabs>
    </w:pPr>
  </w:style>
  <w:style w:type="paragraph" w:styleId="FootnoteText">
    <w:name w:val="footnote text"/>
    <w:basedOn w:val="Normal"/>
    <w:semiHidden/>
    <w:pPr>
      <w:ind w:firstLine="360"/>
    </w:pPr>
    <w:rPr>
      <w:sz w:val="16"/>
    </w:rPr>
  </w:style>
  <w:style w:type="paragraph" w:customStyle="1" w:styleId="TextHeading1">
    <w:name w:val="Text Heading 1"/>
    <w:basedOn w:val="Normal"/>
    <w:next w:val="BodyTextIndent"/>
    <w:pPr>
      <w:keepNext/>
      <w:spacing w:before="240"/>
    </w:pPr>
    <w:rPr>
      <w:rFonts w:ascii="Arial" w:hAnsi="Arial"/>
      <w:b/>
      <w:caps/>
    </w:rPr>
  </w:style>
  <w:style w:type="paragraph" w:customStyle="1" w:styleId="FigureCaption">
    <w:name w:val="Figure Caption"/>
    <w:basedOn w:val="Normal"/>
    <w:next w:val="BodyTextIndent"/>
    <w:pPr>
      <w:jc w:val="center"/>
    </w:pPr>
    <w:rPr>
      <w:rFonts w:ascii="Arial" w:hAnsi="Arial"/>
      <w:b/>
    </w:rPr>
  </w:style>
  <w:style w:type="paragraph" w:styleId="Caption">
    <w:name w:val="caption"/>
    <w:aliases w:val="Caption Tables"/>
    <w:basedOn w:val="Normal"/>
    <w:next w:val="Normal"/>
    <w:link w:val="CaptionChar"/>
    <w:qFormat/>
    <w:pPr>
      <w:widowControl w:val="0"/>
      <w:suppressAutoHyphens w:val="0"/>
      <w:overflowPunct/>
      <w:autoSpaceDE/>
      <w:autoSpaceDN/>
      <w:adjustRightInd/>
      <w:textAlignment w:val="auto"/>
    </w:pPr>
    <w:rPr>
      <w:rFonts w:eastAsia="SimSun"/>
      <w:b/>
      <w:bCs/>
      <w:kern w:val="2"/>
      <w:lang w:eastAsia="zh-CN"/>
    </w:rPr>
  </w:style>
  <w:style w:type="paragraph" w:styleId="BalloonText">
    <w:name w:val="Balloon Text"/>
    <w:basedOn w:val="Normal"/>
    <w:link w:val="BalloonTextChar"/>
    <w:rPr>
      <w:rFonts w:ascii="Tahoma" w:hAnsi="Tahoma" w:cs="Tahoma"/>
      <w:sz w:val="16"/>
      <w:szCs w:val="16"/>
    </w:rPr>
  </w:style>
  <w:style w:type="paragraph" w:styleId="Header">
    <w:name w:val="header"/>
    <w:basedOn w:val="Normal"/>
    <w:next w:val="Footer"/>
  </w:style>
  <w:style w:type="paragraph" w:customStyle="1" w:styleId="TableCaption">
    <w:name w:val="Table Caption"/>
    <w:basedOn w:val="Normal"/>
    <w:next w:val="BodyTextIndent"/>
    <w:pPr>
      <w:jc w:val="center"/>
    </w:pPr>
    <w:rPr>
      <w:rFonts w:ascii="Arial" w:hAnsi="Arial"/>
      <w:b/>
    </w:rPr>
  </w:style>
  <w:style w:type="paragraph" w:customStyle="1" w:styleId="DocumentNumber">
    <w:name w:val="Document Number"/>
    <w:basedOn w:val="Normal"/>
    <w:next w:val="BodyTextIndent"/>
    <w:pPr>
      <w:spacing w:before="900"/>
      <w:jc w:val="right"/>
    </w:pPr>
    <w:rPr>
      <w:rFonts w:ascii="Arial" w:hAnsi="Arial"/>
      <w:b/>
      <w:sz w:val="36"/>
    </w:rPr>
  </w:style>
  <w:style w:type="paragraph" w:customStyle="1" w:styleId="EquationNumber">
    <w:name w:val="Equation Number"/>
    <w:basedOn w:val="Normal"/>
    <w:next w:val="BodyTextIndent"/>
    <w:pPr>
      <w:jc w:val="right"/>
    </w:pPr>
  </w:style>
  <w:style w:type="paragraph" w:customStyle="1" w:styleId="Affiliation">
    <w:name w:val="Affiliation"/>
    <w:basedOn w:val="Normal"/>
    <w:pPr>
      <w:jc w:val="center"/>
    </w:pPr>
    <w:rPr>
      <w:rFonts w:ascii="Arial" w:hAnsi="Arial"/>
    </w:rPr>
  </w:style>
  <w:style w:type="paragraph" w:customStyle="1" w:styleId="Author">
    <w:name w:val="Author"/>
    <w:basedOn w:val="Normal"/>
    <w:next w:val="Affiliation"/>
    <w:pPr>
      <w:keepNext/>
      <w:jc w:val="center"/>
    </w:pPr>
    <w:rPr>
      <w:rFonts w:ascii="Arial" w:hAnsi="Arial"/>
      <w:b/>
    </w:rPr>
  </w:style>
  <w:style w:type="paragraph" w:customStyle="1" w:styleId="NomenclatureClauseTitle">
    <w:name w:val="Nomenclature Clause Title"/>
    <w:basedOn w:val="Normal"/>
    <w:next w:val="BodyTextIndent"/>
    <w:pPr>
      <w:keepNext/>
      <w:spacing w:before="240"/>
    </w:pPr>
    <w:rPr>
      <w:rFonts w:ascii="Arial" w:hAnsi="Arial"/>
      <w:b/>
      <w:caps/>
    </w:rPr>
  </w:style>
  <w:style w:type="paragraph" w:customStyle="1" w:styleId="AcknowledgmentsClauseTitle">
    <w:name w:val="Acknowledgments Clause Title"/>
    <w:basedOn w:val="Normal"/>
    <w:next w:val="BodyTextIndent"/>
    <w:pPr>
      <w:keepNext/>
      <w:spacing w:before="240"/>
    </w:pPr>
    <w:rPr>
      <w:rFonts w:ascii="Arial" w:hAnsi="Arial"/>
      <w:b/>
      <w:caps/>
    </w:rPr>
  </w:style>
  <w:style w:type="paragraph" w:customStyle="1" w:styleId="ReferencesClauseTitle">
    <w:name w:val="References Clause Title"/>
    <w:basedOn w:val="Normal"/>
    <w:next w:val="BodyTextIndent"/>
    <w:pPr>
      <w:keepNext/>
      <w:spacing w:before="240"/>
    </w:pPr>
    <w:rPr>
      <w:rFonts w:ascii="Arial" w:hAnsi="Arial"/>
      <w:b/>
      <w:caps/>
    </w:rPr>
  </w:style>
  <w:style w:type="table" w:styleId="TableGrid">
    <w:name w:val="Table Grid"/>
    <w:basedOn w:val="TableNormal"/>
    <w:uiPriority w:val="39"/>
    <w:rsid w:val="00C852E1"/>
    <w:rPr>
      <w:rFonts w:eastAsia="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7CAB"/>
    <w:pPr>
      <w:suppressAutoHyphens w:val="0"/>
      <w:overflowPunct/>
      <w:autoSpaceDE/>
      <w:autoSpaceDN/>
      <w:adjustRightInd/>
      <w:spacing w:after="160"/>
      <w:ind w:left="720"/>
      <w:contextualSpacing/>
      <w:textAlignment w:val="auto"/>
    </w:pPr>
    <w:rPr>
      <w:rFonts w:ascii="Calibri" w:eastAsia="Calibri" w:hAnsi="Calibri"/>
      <w:kern w:val="0"/>
      <w:szCs w:val="22"/>
    </w:rPr>
  </w:style>
  <w:style w:type="table" w:styleId="GridTable4-Accent1">
    <w:name w:val="Grid Table 4 Accent 1"/>
    <w:basedOn w:val="TableNormal"/>
    <w:uiPriority w:val="49"/>
    <w:rsid w:val="005051F7"/>
    <w:rPr>
      <w:rFonts w:ascii="Calibri" w:eastAsia="Calibri" w:hAnsi="Calibri"/>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CommentReference">
    <w:name w:val="annotation reference"/>
    <w:basedOn w:val="DefaultParagraphFont"/>
    <w:uiPriority w:val="99"/>
    <w:unhideWhenUsed/>
    <w:rsid w:val="002A5D04"/>
    <w:rPr>
      <w:sz w:val="16"/>
      <w:szCs w:val="16"/>
    </w:rPr>
  </w:style>
  <w:style w:type="paragraph" w:styleId="CommentText">
    <w:name w:val="annotation text"/>
    <w:basedOn w:val="Normal"/>
    <w:link w:val="CommentTextChar"/>
    <w:uiPriority w:val="99"/>
    <w:unhideWhenUsed/>
    <w:rsid w:val="002A5D04"/>
    <w:pPr>
      <w:suppressAutoHyphens w:val="0"/>
      <w:overflowPunct/>
      <w:autoSpaceDE/>
      <w:autoSpaceDN/>
      <w:adjustRightInd/>
      <w:spacing w:after="160" w:line="240" w:lineRule="auto"/>
      <w:jc w:val="left"/>
      <w:textAlignment w:val="auto"/>
    </w:pPr>
    <w:rPr>
      <w:rFonts w:eastAsiaTheme="minorHAnsi" w:cstheme="minorBidi"/>
      <w:kern w:val="0"/>
      <w:sz w:val="20"/>
    </w:rPr>
  </w:style>
  <w:style w:type="character" w:customStyle="1" w:styleId="CommentTextChar">
    <w:name w:val="Comment Text Char"/>
    <w:basedOn w:val="DefaultParagraphFont"/>
    <w:link w:val="CommentText"/>
    <w:uiPriority w:val="99"/>
    <w:rsid w:val="002A5D04"/>
    <w:rPr>
      <w:rFonts w:asciiTheme="minorHAnsi" w:eastAsiaTheme="minorHAnsi" w:hAnsiTheme="minorHAnsi" w:cstheme="minorBidi"/>
    </w:rPr>
  </w:style>
  <w:style w:type="paragraph" w:styleId="CommentSubject">
    <w:name w:val="annotation subject"/>
    <w:basedOn w:val="CommentText"/>
    <w:next w:val="CommentText"/>
    <w:link w:val="CommentSubjectChar"/>
    <w:semiHidden/>
    <w:unhideWhenUsed/>
    <w:rsid w:val="0059146A"/>
    <w:pPr>
      <w:suppressAutoHyphens/>
      <w:overflowPunct w:val="0"/>
      <w:autoSpaceDE w:val="0"/>
      <w:autoSpaceDN w:val="0"/>
      <w:adjustRightInd w:val="0"/>
      <w:spacing w:after="120"/>
      <w:jc w:val="both"/>
      <w:textAlignment w:val="baseline"/>
    </w:pPr>
    <w:rPr>
      <w:rFonts w:eastAsia="Times New Roman" w:cs="Times New Roman"/>
      <w:b/>
      <w:bCs/>
      <w:kern w:val="14"/>
    </w:rPr>
  </w:style>
  <w:style w:type="character" w:customStyle="1" w:styleId="CommentSubjectChar">
    <w:name w:val="Comment Subject Char"/>
    <w:basedOn w:val="CommentTextChar"/>
    <w:link w:val="CommentSubject"/>
    <w:semiHidden/>
    <w:rsid w:val="0059146A"/>
    <w:rPr>
      <w:rFonts w:asciiTheme="minorHAnsi" w:eastAsia="Times New Roman" w:hAnsiTheme="minorHAnsi" w:cstheme="minorBidi"/>
      <w:b/>
      <w:bCs/>
      <w:kern w:val="14"/>
    </w:rPr>
  </w:style>
  <w:style w:type="table" w:styleId="PlainTable2">
    <w:name w:val="Plain Table 2"/>
    <w:basedOn w:val="TableNormal"/>
    <w:uiPriority w:val="42"/>
    <w:rsid w:val="00921C5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unhideWhenUsed/>
    <w:rsid w:val="00D470FE"/>
    <w:rPr>
      <w:color w:val="666666"/>
    </w:rPr>
  </w:style>
  <w:style w:type="paragraph" w:customStyle="1" w:styleId="EndNoteBibliographyTitle">
    <w:name w:val="EndNote Bibliography Title"/>
    <w:basedOn w:val="Normal"/>
    <w:link w:val="EndNoteBibliographyTitleChar"/>
    <w:rsid w:val="008B1DC7"/>
    <w:pPr>
      <w:spacing w:after="0"/>
      <w:jc w:val="center"/>
    </w:pPr>
    <w:rPr>
      <w:noProof/>
    </w:rPr>
  </w:style>
  <w:style w:type="character" w:customStyle="1" w:styleId="EndNoteBibliographyTitleChar">
    <w:name w:val="EndNote Bibliography Title Char"/>
    <w:basedOn w:val="DefaultParagraphFont"/>
    <w:link w:val="EndNoteBibliographyTitle"/>
    <w:rsid w:val="008B1DC7"/>
    <w:rPr>
      <w:rFonts w:eastAsia="Times New Roman"/>
      <w:noProof/>
      <w:kern w:val="14"/>
      <w:sz w:val="24"/>
    </w:rPr>
  </w:style>
  <w:style w:type="paragraph" w:customStyle="1" w:styleId="EndNoteBibliography">
    <w:name w:val="EndNote Bibliography"/>
    <w:basedOn w:val="Normal"/>
    <w:link w:val="EndNoteBibliographyChar"/>
    <w:rsid w:val="008B1DC7"/>
    <w:pPr>
      <w:spacing w:line="240" w:lineRule="auto"/>
    </w:pPr>
    <w:rPr>
      <w:noProof/>
    </w:rPr>
  </w:style>
  <w:style w:type="character" w:customStyle="1" w:styleId="EndNoteBibliographyChar">
    <w:name w:val="EndNote Bibliography Char"/>
    <w:basedOn w:val="DefaultParagraphFont"/>
    <w:link w:val="EndNoteBibliography"/>
    <w:rsid w:val="008B1DC7"/>
    <w:rPr>
      <w:rFonts w:eastAsia="Times New Roman"/>
      <w:noProof/>
      <w:kern w:val="14"/>
      <w:sz w:val="24"/>
    </w:rPr>
  </w:style>
  <w:style w:type="character" w:styleId="UnresolvedMention">
    <w:name w:val="Unresolved Mention"/>
    <w:basedOn w:val="DefaultParagraphFont"/>
    <w:uiPriority w:val="99"/>
    <w:semiHidden/>
    <w:unhideWhenUsed/>
    <w:rsid w:val="008B1DC7"/>
    <w:rPr>
      <w:color w:val="605E5C"/>
      <w:shd w:val="clear" w:color="auto" w:fill="E1DFDD"/>
    </w:rPr>
  </w:style>
  <w:style w:type="paragraph" w:styleId="Revision">
    <w:name w:val="Revision"/>
    <w:hidden/>
    <w:uiPriority w:val="99"/>
    <w:unhideWhenUsed/>
    <w:rsid w:val="00C36E06"/>
    <w:rPr>
      <w:rFonts w:eastAsia="Times New Roman"/>
      <w:kern w:val="14"/>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680492">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www.scientific.net/KEM.660.2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mpass.astm.org/document/?contentCode=ASTM%7CC0349-18%7Cen-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E81D0-B435-48B9-BF97-9DFEF812FE70}">
  <ds:schemaRefs>
    <ds:schemaRef ds:uri="http://schemas.openxmlformats.org/officeDocument/2006/bibliography"/>
  </ds:schemaRefs>
</ds:datastoreItem>
</file>

<file path=docMetadata/LabelInfo.xml><?xml version="1.0" encoding="utf-8"?>
<clbl:labelList xmlns:clbl="http://schemas.microsoft.com/office/2020/mipLabelMetadata">
  <clbl:label id="{b19c134a-14c9-4d4c-af65-c420f94c8cbb}" enabled="0" method="" siteId="{b19c134a-14c9-4d4c-af65-c420f94c8cbb}" removed="1"/>
</clbl:labelList>
</file>

<file path=docProps/app.xml><?xml version="1.0" encoding="utf-8"?>
<Properties xmlns="http://schemas.openxmlformats.org/officeDocument/2006/extended-properties" xmlns:vt="http://schemas.openxmlformats.org/officeDocument/2006/docPropsVTypes">
  <Template>Normal.dotm</Template>
  <TotalTime>19</TotalTime>
  <Pages>5</Pages>
  <Words>3214</Words>
  <Characters>18326</Characters>
  <Application>Microsoft Office Word</Application>
  <DocSecurity>0</DocSecurity>
  <PresentationFormat/>
  <Lines>152</Lines>
  <Paragraphs>42</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Proceedings of</vt:lpstr>
    </vt:vector>
  </TitlesOfParts>
  <Manager/>
  <Company>Imperial College</Company>
  <LinksUpToDate>false</LinksUpToDate>
  <CharactersWithSpaces>21498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Proceedings of</dc:title>
  <dc:subject/>
  <dc:creator>Howard Kaikow</dc:creator>
  <cp:keywords/>
  <dc:description/>
  <cp:lastModifiedBy>Moro Martinez, Carlos</cp:lastModifiedBy>
  <cp:revision>8</cp:revision>
  <cp:lastPrinted>2023-05-09T18:44:00Z</cp:lastPrinted>
  <dcterms:created xsi:type="dcterms:W3CDTF">2024-12-12T18:50:00Z</dcterms:created>
  <dcterms:modified xsi:type="dcterms:W3CDTF">2025-02-21T15:35:00Z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vt:lpwstr>
  </property>
  <property fmtid="{D5CDD505-2E9C-101B-9397-08002B2CF9AE}" pid="9" name="Mendeley Recent Style Id 3_1">
    <vt:lpwstr>http://www.zotero.org/styles/cement-and-concrete-composites</vt:lpwstr>
  </property>
  <property fmtid="{D5CDD505-2E9C-101B-9397-08002B2CF9AE}" pid="10" name="Mendeley Recent Style Name 3_1">
    <vt:lpwstr>Cement and Concrete Composites</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http://www.zotero.org/styles/construction-and-building-materials</vt:lpwstr>
  </property>
  <property fmtid="{D5CDD505-2E9C-101B-9397-08002B2CF9AE}" pid="16" name="Mendeley Recent Style Name 6_1">
    <vt:lpwstr>Construction and Building Materials</vt:lpwstr>
  </property>
  <property fmtid="{D5CDD505-2E9C-101B-9397-08002B2CF9AE}" pid="17" name="Mendeley Recent Style Id 7_1">
    <vt:lpwstr>http://www.zotero.org/styles/journal-of-cleaner-production</vt:lpwstr>
  </property>
  <property fmtid="{D5CDD505-2E9C-101B-9397-08002B2CF9AE}" pid="18" name="Mendeley Recent Style Name 7_1">
    <vt:lpwstr>Journal of Cleaner Production</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Unique User Id_1">
    <vt:lpwstr>1b99b84f-0b30-3ce4-8a68-a9f750550429</vt:lpwstr>
  </property>
  <property fmtid="{D5CDD505-2E9C-101B-9397-08002B2CF9AE}" pid="25" name="Mendeley Citation Style_1">
    <vt:lpwstr>http://www.zotero.org/styles/journal-of-cleaner-production</vt:lpwstr>
  </property>
  <property fmtid="{D5CDD505-2E9C-101B-9397-08002B2CF9AE}" pid="26" name="GrammarlyDocumentId">
    <vt:lpwstr>19aaf4cfbda36d0b960192927c2bbacd1ae097649c5fbce73ef092949f99ed42</vt:lpwstr>
  </property>
</Properties>
</file>