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6386" w:rsidRPr="006A36EB" w:rsidRDefault="00AA6386" w:rsidP="00AA6386">
      <w:pPr>
        <w:rPr>
          <w:rFonts w:asciiTheme="majorBidi" w:hAnsiTheme="majorBidi" w:cstheme="majorBidi"/>
          <w:b/>
          <w:bCs/>
          <w:sz w:val="28"/>
          <w:szCs w:val="28"/>
        </w:rPr>
      </w:pPr>
      <w:r w:rsidRPr="006A36EB">
        <w:rPr>
          <w:rFonts w:asciiTheme="majorBidi" w:hAnsiTheme="majorBidi" w:cstheme="majorBidi"/>
          <w:b/>
          <w:bCs/>
          <w:sz w:val="28"/>
          <w:szCs w:val="28"/>
        </w:rPr>
        <w:t>Supplementary data</w:t>
      </w:r>
    </w:p>
    <w:p w:rsidR="00AA6386" w:rsidRPr="006A36EB" w:rsidRDefault="00AA6386" w:rsidP="00AA6386">
      <w:pPr>
        <w:jc w:val="both"/>
        <w:rPr>
          <w:rFonts w:asciiTheme="majorBidi" w:hAnsiTheme="majorBidi" w:cstheme="majorBidi"/>
          <w:sz w:val="20"/>
          <w:szCs w:val="20"/>
        </w:rPr>
      </w:pPr>
      <w:r w:rsidRPr="006A36EB">
        <w:rPr>
          <w:rFonts w:asciiTheme="majorBidi" w:hAnsiTheme="majorBidi" w:cstheme="majorBidi"/>
          <w:sz w:val="20"/>
          <w:szCs w:val="20"/>
        </w:rPr>
        <w:t>This Supplementary Material provides component-level results and additional descriptive analyses supporting the sensitivity assessment of the phase-change-material (PCM) proxy feedstocks. Table S1 reports the contributions of the individual mortar components to total Cumulative Energy Demand (CED) and IPCC Global Warming Potential (GWP 100a) under the four mutually exclusive proxy-feedstock scenarios. Fig. S1 and S2 provide descriptive visualizations of the variability in normalized IPCC GWP 100a and total CED, respectively, across the palm-oil, palm-kernel-oil, coconut-oil, and soybean-oil scenarios.</w:t>
      </w:r>
    </w:p>
    <w:p w:rsidR="00AA6386" w:rsidRPr="006A36EB" w:rsidRDefault="00AA6386" w:rsidP="00AA6386">
      <w:pPr>
        <w:spacing w:after="0"/>
        <w:rPr>
          <w:rFonts w:asciiTheme="majorBidi" w:hAnsiTheme="majorBidi" w:cstheme="majorBidi"/>
          <w:b/>
          <w:bCs/>
        </w:rPr>
      </w:pPr>
      <w:r w:rsidRPr="006A36EB">
        <w:rPr>
          <w:rFonts w:asciiTheme="majorBidi" w:hAnsiTheme="majorBidi" w:cstheme="majorBidi"/>
          <w:b/>
          <w:bCs/>
        </w:rPr>
        <w:t>S1. Component-level contributions to total CED and IPCC GWP 100a</w:t>
      </w:r>
    </w:p>
    <w:p w:rsidR="00AA6386" w:rsidRPr="006A36EB" w:rsidRDefault="00AA6386" w:rsidP="00AA6386">
      <w:pPr>
        <w:spacing w:after="0"/>
        <w:jc w:val="both"/>
        <w:rPr>
          <w:rFonts w:asciiTheme="majorBidi" w:hAnsiTheme="majorBidi" w:cstheme="majorBidi"/>
          <w:sz w:val="20"/>
          <w:szCs w:val="20"/>
        </w:rPr>
      </w:pPr>
      <w:r w:rsidRPr="006A36EB">
        <w:rPr>
          <w:rFonts w:asciiTheme="majorBidi" w:hAnsiTheme="majorBidi" w:cstheme="majorBidi"/>
          <w:sz w:val="20"/>
          <w:szCs w:val="20"/>
        </w:rPr>
        <w:t>The component-level analysis was performed to identify the principal processes contributing to the environmental impacts of the NRG-Wood mortar under each PCM proxy-feedstock scenario. The results reported in Table S1 are expressed for 1 m³ of NRG-Wood mortar and normalized by its volumetric thermal capacity. Cement contributed consistently to IPCC GWP 100a across all four scenarios, whereas the PCM-containing NRG-Wood aggregates were the dominant contributor to total CED. The variability among the scenarios was therefore primarily associated with the environmental profiles of the alternative natural-oil proxy datasets.</w:t>
      </w:r>
    </w:p>
    <w:p w:rsidR="00AA6386" w:rsidRPr="006A36EB" w:rsidRDefault="00AA6386" w:rsidP="00AA6386">
      <w:pPr>
        <w:spacing w:after="0"/>
        <w:jc w:val="center"/>
        <w:rPr>
          <w:rFonts w:asciiTheme="majorBidi" w:hAnsiTheme="majorBidi" w:cstheme="majorBidi"/>
          <w:sz w:val="20"/>
          <w:szCs w:val="20"/>
        </w:rPr>
      </w:pPr>
      <w:r w:rsidRPr="006A36EB">
        <w:rPr>
          <w:rFonts w:asciiTheme="majorBidi" w:hAnsiTheme="majorBidi" w:cstheme="majorBidi"/>
          <w:sz w:val="20"/>
          <w:szCs w:val="20"/>
        </w:rPr>
        <w:br/>
      </w:r>
      <w:r w:rsidRPr="006A36EB">
        <w:rPr>
          <w:rFonts w:asciiTheme="majorBidi" w:hAnsiTheme="majorBidi" w:cstheme="majorBidi"/>
          <w:b/>
          <w:bCs/>
          <w:sz w:val="18"/>
          <w:szCs w:val="18"/>
        </w:rPr>
        <w:t xml:space="preserve">Table S1. </w:t>
      </w:r>
      <w:r w:rsidRPr="006A36EB">
        <w:rPr>
          <w:rFonts w:asciiTheme="majorBidi" w:hAnsiTheme="majorBidi" w:cstheme="majorBidi"/>
          <w:sz w:val="18"/>
          <w:szCs w:val="18"/>
        </w:rPr>
        <w:t>Component-level contributions to total Cumulative Energy Demand (CED) and IPCC Global Warming Potential over 100 years (GWP 100a) for 1 m³ of NRG-Wood mortar, normalized by volumetric thermal capacity, under the four PCM proxy-feedstock scenarios.</w:t>
      </w:r>
    </w:p>
    <w:tbl>
      <w:tblPr>
        <w:tblStyle w:val="PlainTable2"/>
        <w:tblpPr w:leftFromText="180" w:rightFromText="180" w:vertAnchor="text" w:horzAnchor="margin" w:tblpXSpec="center" w:tblpY="88"/>
        <w:tblW w:w="10593" w:type="dxa"/>
        <w:tblLook w:val="04A0" w:firstRow="1" w:lastRow="0" w:firstColumn="1" w:lastColumn="0" w:noHBand="0" w:noVBand="1"/>
      </w:tblPr>
      <w:tblGrid>
        <w:gridCol w:w="1117"/>
        <w:gridCol w:w="1332"/>
        <w:gridCol w:w="1082"/>
        <w:gridCol w:w="1332"/>
        <w:gridCol w:w="1082"/>
        <w:gridCol w:w="1332"/>
        <w:gridCol w:w="1082"/>
        <w:gridCol w:w="1332"/>
        <w:gridCol w:w="1082"/>
      </w:tblGrid>
      <w:tr w:rsidR="00AA6386" w:rsidRPr="006A36EB" w:rsidTr="00452C37">
        <w:trPr>
          <w:cnfStyle w:val="100000000000" w:firstRow="1" w:lastRow="0" w:firstColumn="0" w:lastColumn="0" w:oddVBand="0" w:evenVBand="0" w:oddHBand="0"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1217" w:type="dxa"/>
            <w:vMerge w:val="restart"/>
          </w:tcPr>
          <w:p w:rsidR="00AA6386" w:rsidRPr="006A36EB" w:rsidRDefault="00AA6386" w:rsidP="00452C37">
            <w:pPr>
              <w:rPr>
                <w:rFonts w:asciiTheme="majorBidi" w:eastAsia="Times New Roman" w:hAnsiTheme="majorBidi" w:cstheme="majorBidi"/>
                <w:b w:val="0"/>
                <w:bCs w:val="0"/>
                <w:color w:val="000000"/>
                <w:kern w:val="0"/>
                <w:sz w:val="18"/>
                <w:szCs w:val="18"/>
                <w14:ligatures w14:val="none"/>
              </w:rPr>
            </w:pPr>
          </w:p>
          <w:p w:rsidR="00AA6386" w:rsidRPr="006A36EB" w:rsidRDefault="00AA6386" w:rsidP="00452C37">
            <w:pPr>
              <w:spacing w:before="240"/>
              <w:jc w:val="center"/>
              <w:rPr>
                <w:rFonts w:asciiTheme="majorBidi" w:hAnsiTheme="majorBidi" w:cstheme="majorBidi"/>
                <w:sz w:val="18"/>
                <w:szCs w:val="18"/>
              </w:rPr>
            </w:pPr>
            <w:r w:rsidRPr="006A36EB">
              <w:rPr>
                <w:rFonts w:asciiTheme="majorBidi" w:eastAsia="Times New Roman" w:hAnsiTheme="majorBidi" w:cstheme="majorBidi"/>
                <w:color w:val="000000"/>
                <w:kern w:val="0"/>
                <w:sz w:val="18"/>
                <w:szCs w:val="18"/>
                <w14:ligatures w14:val="none"/>
              </w:rPr>
              <w:t>Component</w:t>
            </w:r>
          </w:p>
        </w:tc>
        <w:tc>
          <w:tcPr>
            <w:tcW w:w="2344" w:type="dxa"/>
            <w:gridSpan w:val="2"/>
          </w:tcPr>
          <w:p w:rsidR="00AA6386" w:rsidRPr="006A36EB" w:rsidRDefault="00AA6386" w:rsidP="00452C37">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sz w:val="18"/>
                <w:szCs w:val="18"/>
              </w:rPr>
            </w:pPr>
            <w:r w:rsidRPr="006A36EB">
              <w:rPr>
                <w:rFonts w:asciiTheme="majorBidi" w:hAnsiTheme="majorBidi" w:cstheme="majorBidi"/>
                <w:color w:val="000000"/>
                <w:sz w:val="18"/>
                <w:szCs w:val="18"/>
              </w:rPr>
              <w:t xml:space="preserve">NRG-Wood mortar </w:t>
            </w:r>
          </w:p>
          <w:p w:rsidR="00AA6386" w:rsidRPr="006A36EB" w:rsidRDefault="00AA6386" w:rsidP="00452C37">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sz w:val="18"/>
                <w:szCs w:val="18"/>
              </w:rPr>
            </w:pPr>
            <w:r w:rsidRPr="006A36EB">
              <w:rPr>
                <w:rFonts w:asciiTheme="majorBidi" w:hAnsiTheme="majorBidi" w:cstheme="majorBidi"/>
                <w:color w:val="000000"/>
                <w:sz w:val="18"/>
                <w:szCs w:val="18"/>
              </w:rPr>
              <w:t>(Palm kernel oil)</w:t>
            </w:r>
          </w:p>
        </w:tc>
        <w:tc>
          <w:tcPr>
            <w:tcW w:w="2344" w:type="dxa"/>
            <w:gridSpan w:val="2"/>
          </w:tcPr>
          <w:p w:rsidR="00AA6386" w:rsidRPr="006A36EB" w:rsidRDefault="00AA6386" w:rsidP="00452C37">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sz w:val="18"/>
                <w:szCs w:val="18"/>
              </w:rPr>
            </w:pPr>
            <w:r w:rsidRPr="006A36EB">
              <w:rPr>
                <w:rFonts w:asciiTheme="majorBidi" w:hAnsiTheme="majorBidi" w:cstheme="majorBidi"/>
                <w:color w:val="000000"/>
                <w:sz w:val="18"/>
                <w:szCs w:val="18"/>
              </w:rPr>
              <w:t xml:space="preserve">NRG-Wood mortar </w:t>
            </w:r>
          </w:p>
          <w:p w:rsidR="00AA6386" w:rsidRPr="006A36EB" w:rsidRDefault="00AA6386" w:rsidP="00452C37">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(Palm oil)</w:t>
            </w:r>
          </w:p>
        </w:tc>
        <w:tc>
          <w:tcPr>
            <w:tcW w:w="2344" w:type="dxa"/>
            <w:gridSpan w:val="2"/>
          </w:tcPr>
          <w:p w:rsidR="00AA6386" w:rsidRPr="006A36EB" w:rsidRDefault="00AA6386" w:rsidP="00452C37">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sz w:val="18"/>
                <w:szCs w:val="18"/>
              </w:rPr>
            </w:pPr>
            <w:r w:rsidRPr="006A36EB">
              <w:rPr>
                <w:rFonts w:asciiTheme="majorBidi" w:hAnsiTheme="majorBidi" w:cstheme="majorBidi"/>
                <w:color w:val="000000"/>
                <w:sz w:val="18"/>
                <w:szCs w:val="18"/>
              </w:rPr>
              <w:t xml:space="preserve">NRG-Wood mortar </w:t>
            </w:r>
          </w:p>
          <w:p w:rsidR="00AA6386" w:rsidRPr="006A36EB" w:rsidRDefault="00AA6386" w:rsidP="00452C37">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(Coconut oil)</w:t>
            </w:r>
          </w:p>
        </w:tc>
        <w:tc>
          <w:tcPr>
            <w:tcW w:w="2344" w:type="dxa"/>
            <w:gridSpan w:val="2"/>
          </w:tcPr>
          <w:p w:rsidR="00AA6386" w:rsidRPr="006A36EB" w:rsidRDefault="00AA6386" w:rsidP="00452C37">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NRG-Wood mortar (Soybean oil)</w:t>
            </w:r>
          </w:p>
        </w:tc>
      </w:tr>
      <w:tr w:rsidR="00AA6386" w:rsidRPr="006A36EB" w:rsidTr="00452C37">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1217" w:type="dxa"/>
            <w:vMerge/>
          </w:tcPr>
          <w:p w:rsidR="00AA6386" w:rsidRPr="006A36EB" w:rsidRDefault="00AA6386" w:rsidP="00452C37">
            <w:pPr>
              <w:jc w:val="center"/>
              <w:rPr>
                <w:rFonts w:asciiTheme="majorBidi" w:eastAsia="Times New Roman" w:hAnsiTheme="majorBidi" w:cstheme="majorBidi"/>
                <w:b w:val="0"/>
                <w:bCs w:val="0"/>
                <w:color w:val="000000"/>
                <w:kern w:val="0"/>
                <w:sz w:val="18"/>
                <w:szCs w:val="18"/>
                <w14:ligatures w14:val="none"/>
              </w:rPr>
            </w:pPr>
          </w:p>
        </w:tc>
        <w:tc>
          <w:tcPr>
            <w:tcW w:w="1300" w:type="dxa"/>
          </w:tcPr>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18"/>
                <w:szCs w:val="18"/>
                <w:lang w:val="es-ES"/>
              </w:rPr>
            </w:pPr>
            <w:r w:rsidRPr="006A36EB">
              <w:rPr>
                <w:rFonts w:asciiTheme="majorBidi" w:hAnsiTheme="majorBidi" w:cstheme="majorBidi"/>
                <w:b/>
                <w:bCs/>
                <w:color w:val="000000"/>
                <w:sz w:val="18"/>
                <w:szCs w:val="18"/>
                <w:lang w:val="es-ES"/>
              </w:rPr>
              <w:t>EE/</w:t>
            </w:r>
            <w:r w:rsidRPr="006A36EB">
              <w:rPr>
                <w:rFonts w:asciiTheme="majorBidi" w:hAnsiTheme="majorBidi" w:cstheme="majorBidi"/>
                <w:b/>
                <w:bCs/>
                <w:color w:val="000000"/>
                <w:sz w:val="18"/>
                <w:szCs w:val="18"/>
              </w:rPr>
              <w:t>ρ</w:t>
            </w:r>
            <w:r w:rsidRPr="006A36EB">
              <w:rPr>
                <w:rFonts w:asciiTheme="majorBidi" w:hAnsiTheme="majorBidi" w:cstheme="majorBidi"/>
                <w:sz w:val="20"/>
                <w:szCs w:val="20"/>
                <w:lang w:val="es-ES"/>
              </w:rPr>
              <w:t>×</w:t>
            </w:r>
            <w:r w:rsidRPr="006A36EB">
              <w:rPr>
                <w:rFonts w:asciiTheme="majorBidi" w:hAnsiTheme="majorBidi" w:cstheme="majorBidi"/>
                <w:b/>
                <w:bCs/>
                <w:color w:val="000000"/>
                <w:sz w:val="18"/>
                <w:szCs w:val="18"/>
                <w:lang w:val="es-ES"/>
              </w:rPr>
              <w:t>Cp</w:t>
            </w:r>
          </w:p>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val="es-ES"/>
              </w:rPr>
            </w:pPr>
            <w:r w:rsidRPr="006A36EB">
              <w:rPr>
                <w:rFonts w:asciiTheme="majorBidi" w:hAnsiTheme="majorBidi" w:cstheme="majorBidi"/>
                <w:color w:val="000000"/>
                <w:sz w:val="18"/>
                <w:szCs w:val="18"/>
                <w:lang w:val="es-ES"/>
              </w:rPr>
              <w:t>GJ/(J/(cm³×K))</w:t>
            </w:r>
          </w:p>
        </w:tc>
        <w:tc>
          <w:tcPr>
            <w:tcW w:w="1044" w:type="dxa"/>
          </w:tcPr>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18"/>
                <w:szCs w:val="18"/>
              </w:rPr>
            </w:pPr>
            <w:r w:rsidRPr="006A36EB">
              <w:rPr>
                <w:rFonts w:asciiTheme="majorBidi" w:hAnsiTheme="majorBidi" w:cstheme="majorBidi"/>
                <w:b/>
                <w:bCs/>
                <w:color w:val="000000"/>
                <w:sz w:val="18"/>
                <w:szCs w:val="18"/>
              </w:rPr>
              <w:t>CO</w:t>
            </w:r>
            <w:r w:rsidRPr="006A36EB">
              <w:rPr>
                <w:rFonts w:asciiTheme="majorBidi" w:hAnsiTheme="majorBidi" w:cstheme="majorBidi"/>
                <w:b/>
                <w:bCs/>
                <w:color w:val="000000"/>
                <w:sz w:val="18"/>
                <w:szCs w:val="18"/>
                <w:vertAlign w:val="subscript"/>
              </w:rPr>
              <w:t>2</w:t>
            </w:r>
            <w:r w:rsidRPr="006A36EB">
              <w:rPr>
                <w:rFonts w:asciiTheme="majorBidi" w:hAnsiTheme="majorBidi" w:cstheme="majorBidi"/>
                <w:b/>
                <w:bCs/>
                <w:color w:val="000000"/>
                <w:sz w:val="18"/>
                <w:szCs w:val="18"/>
              </w:rPr>
              <w:t>/ρ</w:t>
            </w:r>
            <w:r w:rsidRPr="006A36EB">
              <w:rPr>
                <w:rFonts w:asciiTheme="majorBidi" w:hAnsiTheme="majorBidi" w:cstheme="majorBidi"/>
                <w:sz w:val="20"/>
                <w:szCs w:val="20"/>
              </w:rPr>
              <w:t>×</w:t>
            </w:r>
            <w:r w:rsidRPr="006A36EB">
              <w:rPr>
                <w:rFonts w:asciiTheme="majorBidi" w:hAnsiTheme="majorBidi" w:cstheme="majorBidi"/>
                <w:b/>
                <w:bCs/>
                <w:color w:val="000000"/>
                <w:sz w:val="18"/>
                <w:szCs w:val="18"/>
              </w:rPr>
              <w:t>Cp</w:t>
            </w:r>
          </w:p>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sz w:val="18"/>
                <w:szCs w:val="18"/>
              </w:rPr>
              <w:t>kg CO</w:t>
            </w:r>
            <w:r w:rsidRPr="006A36EB">
              <w:rPr>
                <w:rFonts w:asciiTheme="majorBidi" w:hAnsiTheme="majorBidi" w:cstheme="majorBidi"/>
                <w:sz w:val="18"/>
                <w:szCs w:val="18"/>
                <w:vertAlign w:val="subscript"/>
              </w:rPr>
              <w:t>2</w:t>
            </w:r>
            <w:r w:rsidRPr="006A36EB">
              <w:rPr>
                <w:rFonts w:asciiTheme="majorBidi" w:hAnsiTheme="majorBidi" w:cstheme="majorBidi"/>
                <w:sz w:val="18"/>
                <w:szCs w:val="18"/>
              </w:rPr>
              <w:t>-eq/ (J/(cm³×K))</w:t>
            </w:r>
          </w:p>
        </w:tc>
        <w:tc>
          <w:tcPr>
            <w:tcW w:w="1300" w:type="dxa"/>
          </w:tcPr>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18"/>
                <w:szCs w:val="18"/>
                <w:lang w:val="es-ES"/>
              </w:rPr>
            </w:pPr>
            <w:r w:rsidRPr="006A36EB">
              <w:rPr>
                <w:rFonts w:asciiTheme="majorBidi" w:hAnsiTheme="majorBidi" w:cstheme="majorBidi"/>
                <w:b/>
                <w:bCs/>
                <w:color w:val="000000"/>
                <w:sz w:val="18"/>
                <w:szCs w:val="18"/>
                <w:lang w:val="es-ES"/>
              </w:rPr>
              <w:t>EE/</w:t>
            </w:r>
            <w:r w:rsidRPr="006A36EB">
              <w:rPr>
                <w:rFonts w:asciiTheme="majorBidi" w:hAnsiTheme="majorBidi" w:cstheme="majorBidi"/>
                <w:b/>
                <w:bCs/>
                <w:color w:val="000000"/>
                <w:sz w:val="18"/>
                <w:szCs w:val="18"/>
              </w:rPr>
              <w:t>ρ</w:t>
            </w:r>
            <w:r w:rsidRPr="006A36EB">
              <w:rPr>
                <w:rFonts w:asciiTheme="majorBidi" w:hAnsiTheme="majorBidi" w:cstheme="majorBidi"/>
                <w:sz w:val="20"/>
                <w:szCs w:val="20"/>
                <w:lang w:val="es-ES"/>
              </w:rPr>
              <w:t>×</w:t>
            </w:r>
            <w:r w:rsidRPr="006A36EB">
              <w:rPr>
                <w:rFonts w:asciiTheme="majorBidi" w:hAnsiTheme="majorBidi" w:cstheme="majorBidi"/>
                <w:b/>
                <w:bCs/>
                <w:color w:val="000000"/>
                <w:sz w:val="18"/>
                <w:szCs w:val="18"/>
                <w:lang w:val="es-ES"/>
              </w:rPr>
              <w:t>Cp</w:t>
            </w:r>
          </w:p>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val="es-ES"/>
              </w:rPr>
            </w:pPr>
            <w:r w:rsidRPr="006A36EB">
              <w:rPr>
                <w:rFonts w:asciiTheme="majorBidi" w:hAnsiTheme="majorBidi" w:cstheme="majorBidi"/>
                <w:color w:val="000000"/>
                <w:sz w:val="18"/>
                <w:szCs w:val="18"/>
                <w:lang w:val="es-ES"/>
              </w:rPr>
              <w:t>GJ/(J</w:t>
            </w:r>
            <w:r w:rsidRPr="006A36EB">
              <w:rPr>
                <w:rFonts w:asciiTheme="majorBidi" w:hAnsiTheme="majorBidi" w:cstheme="majorBidi"/>
                <w:sz w:val="18"/>
                <w:szCs w:val="18"/>
                <w:lang w:val="es-ES"/>
              </w:rPr>
              <w:t>/(cm³×K))</w:t>
            </w:r>
          </w:p>
        </w:tc>
        <w:tc>
          <w:tcPr>
            <w:tcW w:w="1044" w:type="dxa"/>
          </w:tcPr>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18"/>
                <w:szCs w:val="18"/>
              </w:rPr>
            </w:pPr>
            <w:r w:rsidRPr="006A36EB">
              <w:rPr>
                <w:rFonts w:asciiTheme="majorBidi" w:hAnsiTheme="majorBidi" w:cstheme="majorBidi"/>
                <w:b/>
                <w:bCs/>
                <w:color w:val="000000"/>
                <w:sz w:val="18"/>
                <w:szCs w:val="18"/>
              </w:rPr>
              <w:t>CO</w:t>
            </w:r>
            <w:r w:rsidRPr="006A36EB">
              <w:rPr>
                <w:rFonts w:asciiTheme="majorBidi" w:hAnsiTheme="majorBidi" w:cstheme="majorBidi"/>
                <w:b/>
                <w:bCs/>
                <w:color w:val="000000"/>
                <w:sz w:val="18"/>
                <w:szCs w:val="18"/>
                <w:vertAlign w:val="subscript"/>
              </w:rPr>
              <w:t>2</w:t>
            </w:r>
            <w:r w:rsidRPr="006A36EB">
              <w:rPr>
                <w:rFonts w:asciiTheme="majorBidi" w:hAnsiTheme="majorBidi" w:cstheme="majorBidi"/>
                <w:b/>
                <w:bCs/>
                <w:color w:val="000000"/>
                <w:sz w:val="18"/>
                <w:szCs w:val="18"/>
              </w:rPr>
              <w:t>/ρ</w:t>
            </w:r>
            <w:r w:rsidRPr="006A36EB">
              <w:rPr>
                <w:rFonts w:asciiTheme="majorBidi" w:hAnsiTheme="majorBidi" w:cstheme="majorBidi"/>
                <w:sz w:val="20"/>
                <w:szCs w:val="20"/>
              </w:rPr>
              <w:t>×</w:t>
            </w:r>
            <w:r w:rsidRPr="006A36EB">
              <w:rPr>
                <w:rFonts w:asciiTheme="majorBidi" w:hAnsiTheme="majorBidi" w:cstheme="majorBidi"/>
                <w:b/>
                <w:bCs/>
                <w:color w:val="000000"/>
                <w:sz w:val="18"/>
                <w:szCs w:val="18"/>
              </w:rPr>
              <w:t>Cp</w:t>
            </w:r>
          </w:p>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sz w:val="18"/>
                <w:szCs w:val="18"/>
              </w:rPr>
              <w:t>kg CO</w:t>
            </w:r>
            <w:r w:rsidRPr="006A36EB">
              <w:rPr>
                <w:rFonts w:asciiTheme="majorBidi" w:hAnsiTheme="majorBidi" w:cstheme="majorBidi"/>
                <w:sz w:val="18"/>
                <w:szCs w:val="18"/>
                <w:vertAlign w:val="subscript"/>
              </w:rPr>
              <w:t>2</w:t>
            </w:r>
            <w:r w:rsidRPr="006A36EB">
              <w:rPr>
                <w:rFonts w:asciiTheme="majorBidi" w:hAnsiTheme="majorBidi" w:cstheme="majorBidi"/>
                <w:sz w:val="18"/>
                <w:szCs w:val="18"/>
              </w:rPr>
              <w:t>-eq/</w:t>
            </w:r>
            <w:r w:rsidRPr="006A36EB">
              <w:rPr>
                <w:rFonts w:asciiTheme="majorBidi" w:hAnsiTheme="majorBidi" w:cstheme="majorBidi"/>
                <w:b/>
                <w:bCs/>
                <w:sz w:val="18"/>
                <w:szCs w:val="18"/>
              </w:rPr>
              <w:t xml:space="preserve"> </w:t>
            </w:r>
            <w:r w:rsidRPr="006A36EB">
              <w:rPr>
                <w:rFonts w:asciiTheme="majorBidi" w:hAnsiTheme="majorBidi" w:cstheme="majorBidi"/>
                <w:sz w:val="18"/>
                <w:szCs w:val="18"/>
              </w:rPr>
              <w:t>(J/(cm³×K))</w:t>
            </w:r>
          </w:p>
        </w:tc>
        <w:tc>
          <w:tcPr>
            <w:tcW w:w="1300" w:type="dxa"/>
          </w:tcPr>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18"/>
                <w:szCs w:val="18"/>
                <w:lang w:val="es-ES"/>
              </w:rPr>
            </w:pPr>
            <w:r w:rsidRPr="006A36EB">
              <w:rPr>
                <w:rFonts w:asciiTheme="majorBidi" w:hAnsiTheme="majorBidi" w:cstheme="majorBidi"/>
                <w:b/>
                <w:bCs/>
                <w:color w:val="000000"/>
                <w:sz w:val="18"/>
                <w:szCs w:val="18"/>
                <w:lang w:val="es-ES"/>
              </w:rPr>
              <w:t>EE/</w:t>
            </w:r>
            <w:r w:rsidRPr="006A36EB">
              <w:rPr>
                <w:rFonts w:asciiTheme="majorBidi" w:hAnsiTheme="majorBidi" w:cstheme="majorBidi"/>
                <w:b/>
                <w:bCs/>
                <w:color w:val="000000"/>
                <w:sz w:val="18"/>
                <w:szCs w:val="18"/>
              </w:rPr>
              <w:t>ρ</w:t>
            </w:r>
            <w:r w:rsidRPr="006A36EB">
              <w:rPr>
                <w:rFonts w:asciiTheme="majorBidi" w:hAnsiTheme="majorBidi" w:cstheme="majorBidi"/>
                <w:sz w:val="20"/>
                <w:szCs w:val="20"/>
                <w:lang w:val="es-ES"/>
              </w:rPr>
              <w:t>×</w:t>
            </w:r>
            <w:r w:rsidRPr="006A36EB">
              <w:rPr>
                <w:rFonts w:asciiTheme="majorBidi" w:hAnsiTheme="majorBidi" w:cstheme="majorBidi"/>
                <w:b/>
                <w:bCs/>
                <w:color w:val="000000"/>
                <w:sz w:val="18"/>
                <w:szCs w:val="18"/>
                <w:lang w:val="es-ES"/>
              </w:rPr>
              <w:t>Cp</w:t>
            </w:r>
          </w:p>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val="es-ES"/>
              </w:rPr>
            </w:pPr>
            <w:r w:rsidRPr="006A36EB">
              <w:rPr>
                <w:rFonts w:asciiTheme="majorBidi" w:hAnsiTheme="majorBidi" w:cstheme="majorBidi"/>
                <w:color w:val="000000"/>
                <w:sz w:val="18"/>
                <w:szCs w:val="18"/>
                <w:lang w:val="es-ES"/>
              </w:rPr>
              <w:t>GJ/(J</w:t>
            </w:r>
            <w:r w:rsidRPr="006A36EB">
              <w:rPr>
                <w:rFonts w:asciiTheme="majorBidi" w:hAnsiTheme="majorBidi" w:cstheme="majorBidi"/>
                <w:sz w:val="18"/>
                <w:szCs w:val="18"/>
                <w:lang w:val="es-ES"/>
              </w:rPr>
              <w:t>/(cm³×K))</w:t>
            </w:r>
          </w:p>
        </w:tc>
        <w:tc>
          <w:tcPr>
            <w:tcW w:w="1044" w:type="dxa"/>
          </w:tcPr>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18"/>
                <w:szCs w:val="18"/>
              </w:rPr>
            </w:pPr>
            <w:r w:rsidRPr="006A36EB">
              <w:rPr>
                <w:rFonts w:asciiTheme="majorBidi" w:hAnsiTheme="majorBidi" w:cstheme="majorBidi"/>
                <w:b/>
                <w:bCs/>
                <w:color w:val="000000"/>
                <w:sz w:val="18"/>
                <w:szCs w:val="18"/>
              </w:rPr>
              <w:t>CO</w:t>
            </w:r>
            <w:r w:rsidRPr="006A36EB">
              <w:rPr>
                <w:rFonts w:asciiTheme="majorBidi" w:hAnsiTheme="majorBidi" w:cstheme="majorBidi"/>
                <w:b/>
                <w:bCs/>
                <w:color w:val="000000"/>
                <w:sz w:val="18"/>
                <w:szCs w:val="18"/>
                <w:vertAlign w:val="subscript"/>
              </w:rPr>
              <w:t>2</w:t>
            </w:r>
            <w:r w:rsidRPr="006A36EB">
              <w:rPr>
                <w:rFonts w:asciiTheme="majorBidi" w:hAnsiTheme="majorBidi" w:cstheme="majorBidi"/>
                <w:b/>
                <w:bCs/>
                <w:color w:val="000000"/>
                <w:sz w:val="18"/>
                <w:szCs w:val="18"/>
              </w:rPr>
              <w:t>/ρ</w:t>
            </w:r>
            <w:r w:rsidRPr="006A36EB">
              <w:rPr>
                <w:rFonts w:asciiTheme="majorBidi" w:hAnsiTheme="majorBidi" w:cstheme="majorBidi"/>
                <w:sz w:val="20"/>
                <w:szCs w:val="20"/>
              </w:rPr>
              <w:t>×</w:t>
            </w:r>
            <w:r w:rsidRPr="006A36EB">
              <w:rPr>
                <w:rFonts w:asciiTheme="majorBidi" w:hAnsiTheme="majorBidi" w:cstheme="majorBidi"/>
                <w:b/>
                <w:bCs/>
                <w:color w:val="000000"/>
                <w:sz w:val="18"/>
                <w:szCs w:val="18"/>
              </w:rPr>
              <w:t>Cp</w:t>
            </w:r>
          </w:p>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sz w:val="18"/>
                <w:szCs w:val="18"/>
              </w:rPr>
              <w:t>kg CO</w:t>
            </w:r>
            <w:r w:rsidRPr="006A36EB">
              <w:rPr>
                <w:rFonts w:asciiTheme="majorBidi" w:hAnsiTheme="majorBidi" w:cstheme="majorBidi"/>
                <w:sz w:val="18"/>
                <w:szCs w:val="18"/>
                <w:vertAlign w:val="subscript"/>
              </w:rPr>
              <w:t>2</w:t>
            </w:r>
            <w:r w:rsidRPr="006A36EB">
              <w:rPr>
                <w:rFonts w:asciiTheme="majorBidi" w:hAnsiTheme="majorBidi" w:cstheme="majorBidi"/>
                <w:sz w:val="18"/>
                <w:szCs w:val="18"/>
              </w:rPr>
              <w:t>-eq/</w:t>
            </w:r>
            <w:r w:rsidRPr="006A36EB">
              <w:rPr>
                <w:rFonts w:asciiTheme="majorBidi" w:hAnsiTheme="majorBidi" w:cstheme="majorBidi"/>
                <w:b/>
                <w:bCs/>
                <w:sz w:val="18"/>
                <w:szCs w:val="18"/>
              </w:rPr>
              <w:t xml:space="preserve"> </w:t>
            </w:r>
            <w:r w:rsidRPr="006A36EB">
              <w:rPr>
                <w:rFonts w:asciiTheme="majorBidi" w:hAnsiTheme="majorBidi" w:cstheme="majorBidi"/>
                <w:sz w:val="18"/>
                <w:szCs w:val="18"/>
              </w:rPr>
              <w:t>(J/(cm³×K))</w:t>
            </w:r>
          </w:p>
        </w:tc>
        <w:tc>
          <w:tcPr>
            <w:tcW w:w="1300" w:type="dxa"/>
          </w:tcPr>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18"/>
                <w:szCs w:val="18"/>
                <w:lang w:val="es-ES"/>
              </w:rPr>
            </w:pPr>
            <w:r w:rsidRPr="006A36EB">
              <w:rPr>
                <w:rFonts w:asciiTheme="majorBidi" w:hAnsiTheme="majorBidi" w:cstheme="majorBidi"/>
                <w:b/>
                <w:bCs/>
                <w:color w:val="000000"/>
                <w:sz w:val="18"/>
                <w:szCs w:val="18"/>
                <w:lang w:val="es-ES"/>
              </w:rPr>
              <w:t>EE/</w:t>
            </w:r>
            <w:r w:rsidRPr="006A36EB">
              <w:rPr>
                <w:rFonts w:asciiTheme="majorBidi" w:hAnsiTheme="majorBidi" w:cstheme="majorBidi"/>
                <w:b/>
                <w:bCs/>
                <w:color w:val="000000"/>
                <w:sz w:val="18"/>
                <w:szCs w:val="18"/>
              </w:rPr>
              <w:t>ρ</w:t>
            </w:r>
            <w:r w:rsidRPr="006A36EB">
              <w:rPr>
                <w:rFonts w:asciiTheme="majorBidi" w:hAnsiTheme="majorBidi" w:cstheme="majorBidi"/>
                <w:sz w:val="20"/>
                <w:szCs w:val="20"/>
                <w:lang w:val="es-ES"/>
              </w:rPr>
              <w:t>×</w:t>
            </w:r>
            <w:r w:rsidRPr="006A36EB">
              <w:rPr>
                <w:rFonts w:asciiTheme="majorBidi" w:hAnsiTheme="majorBidi" w:cstheme="majorBidi"/>
                <w:b/>
                <w:bCs/>
                <w:color w:val="000000"/>
                <w:sz w:val="18"/>
                <w:szCs w:val="18"/>
                <w:lang w:val="es-ES"/>
              </w:rPr>
              <w:t>Cp</w:t>
            </w:r>
          </w:p>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val="es-ES"/>
              </w:rPr>
            </w:pPr>
            <w:r w:rsidRPr="006A36EB">
              <w:rPr>
                <w:rFonts w:asciiTheme="majorBidi" w:hAnsiTheme="majorBidi" w:cstheme="majorBidi"/>
                <w:color w:val="000000"/>
                <w:sz w:val="18"/>
                <w:szCs w:val="18"/>
                <w:lang w:val="es-ES"/>
              </w:rPr>
              <w:t>GJ/(J/</w:t>
            </w:r>
            <w:r w:rsidRPr="006A36EB">
              <w:rPr>
                <w:rFonts w:asciiTheme="majorBidi" w:hAnsiTheme="majorBidi" w:cstheme="majorBidi"/>
                <w:sz w:val="18"/>
                <w:szCs w:val="18"/>
                <w:lang w:val="es-ES"/>
              </w:rPr>
              <w:t>(cm³×K))</w:t>
            </w:r>
          </w:p>
        </w:tc>
        <w:tc>
          <w:tcPr>
            <w:tcW w:w="1044" w:type="dxa"/>
          </w:tcPr>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sz w:val="18"/>
                <w:szCs w:val="18"/>
              </w:rPr>
            </w:pPr>
            <w:r w:rsidRPr="006A36EB">
              <w:rPr>
                <w:rFonts w:asciiTheme="majorBidi" w:hAnsiTheme="majorBidi" w:cstheme="majorBidi"/>
                <w:b/>
                <w:bCs/>
                <w:color w:val="000000"/>
                <w:sz w:val="18"/>
                <w:szCs w:val="18"/>
              </w:rPr>
              <w:t>CO</w:t>
            </w:r>
            <w:r w:rsidRPr="006A36EB">
              <w:rPr>
                <w:rFonts w:asciiTheme="majorBidi" w:hAnsiTheme="majorBidi" w:cstheme="majorBidi"/>
                <w:b/>
                <w:bCs/>
                <w:color w:val="000000"/>
                <w:sz w:val="18"/>
                <w:szCs w:val="18"/>
                <w:vertAlign w:val="subscript"/>
              </w:rPr>
              <w:t>2</w:t>
            </w:r>
            <w:r w:rsidRPr="006A36EB">
              <w:rPr>
                <w:rFonts w:asciiTheme="majorBidi" w:hAnsiTheme="majorBidi" w:cstheme="majorBidi"/>
                <w:b/>
                <w:bCs/>
                <w:color w:val="000000"/>
                <w:sz w:val="18"/>
                <w:szCs w:val="18"/>
              </w:rPr>
              <w:t>/ρ</w:t>
            </w:r>
            <w:r w:rsidRPr="006A36EB">
              <w:rPr>
                <w:rFonts w:asciiTheme="majorBidi" w:hAnsiTheme="majorBidi" w:cstheme="majorBidi"/>
                <w:sz w:val="20"/>
                <w:szCs w:val="20"/>
              </w:rPr>
              <w:t>×</w:t>
            </w:r>
            <w:r w:rsidRPr="006A36EB">
              <w:rPr>
                <w:rFonts w:asciiTheme="majorBidi" w:hAnsiTheme="majorBidi" w:cstheme="majorBidi"/>
                <w:b/>
                <w:bCs/>
                <w:color w:val="000000"/>
                <w:sz w:val="18"/>
                <w:szCs w:val="18"/>
              </w:rPr>
              <w:t>Cp</w:t>
            </w:r>
          </w:p>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sz w:val="18"/>
                <w:szCs w:val="18"/>
              </w:rPr>
              <w:t>kg CO</w:t>
            </w:r>
            <w:r w:rsidRPr="006A36EB">
              <w:rPr>
                <w:rFonts w:asciiTheme="majorBidi" w:hAnsiTheme="majorBidi" w:cstheme="majorBidi"/>
                <w:sz w:val="18"/>
                <w:szCs w:val="18"/>
                <w:vertAlign w:val="subscript"/>
              </w:rPr>
              <w:t>2</w:t>
            </w:r>
            <w:r w:rsidRPr="006A36EB">
              <w:rPr>
                <w:rFonts w:asciiTheme="majorBidi" w:hAnsiTheme="majorBidi" w:cstheme="majorBidi"/>
                <w:sz w:val="18"/>
                <w:szCs w:val="18"/>
              </w:rPr>
              <w:t>-eq/</w:t>
            </w:r>
            <w:r w:rsidRPr="006A36EB">
              <w:rPr>
                <w:rFonts w:asciiTheme="majorBidi" w:hAnsiTheme="majorBidi" w:cstheme="majorBidi"/>
                <w:b/>
                <w:bCs/>
                <w:sz w:val="18"/>
                <w:szCs w:val="18"/>
              </w:rPr>
              <w:t xml:space="preserve"> </w:t>
            </w:r>
            <w:r w:rsidRPr="006A36EB">
              <w:rPr>
                <w:rFonts w:asciiTheme="majorBidi" w:hAnsiTheme="majorBidi" w:cstheme="majorBidi"/>
                <w:sz w:val="18"/>
                <w:szCs w:val="18"/>
              </w:rPr>
              <w:t>(J/(cm³×K))</w:t>
            </w:r>
          </w:p>
        </w:tc>
      </w:tr>
      <w:tr w:rsidR="00AA6386" w:rsidRPr="006A36EB" w:rsidTr="00452C37">
        <w:trPr>
          <w:trHeight w:val="224"/>
        </w:trPr>
        <w:tc>
          <w:tcPr>
            <w:cnfStyle w:val="001000000000" w:firstRow="0" w:lastRow="0" w:firstColumn="1" w:lastColumn="0" w:oddVBand="0" w:evenVBand="0" w:oddHBand="0" w:evenHBand="0" w:firstRowFirstColumn="0" w:firstRowLastColumn="0" w:lastRowFirstColumn="0" w:lastRowLastColumn="0"/>
            <w:tcW w:w="1217" w:type="dxa"/>
          </w:tcPr>
          <w:p w:rsidR="00AA6386" w:rsidRPr="006A36EB" w:rsidRDefault="00AA6386" w:rsidP="00452C37">
            <w:pPr>
              <w:jc w:val="center"/>
              <w:rPr>
                <w:rFonts w:asciiTheme="majorBidi" w:hAnsiTheme="majorBidi" w:cstheme="majorBidi"/>
                <w:sz w:val="18"/>
                <w:szCs w:val="18"/>
              </w:rPr>
            </w:pPr>
            <w:r w:rsidRPr="006A36EB">
              <w:rPr>
                <w:rFonts w:asciiTheme="majorBidi" w:eastAsia="Times New Roman" w:hAnsiTheme="majorBidi" w:cstheme="majorBidi"/>
                <w:color w:val="000000"/>
                <w:kern w:val="0"/>
                <w:sz w:val="18"/>
                <w:szCs w:val="18"/>
                <w14:ligatures w14:val="none"/>
              </w:rPr>
              <w:t>Cement</w:t>
            </w:r>
          </w:p>
        </w:tc>
        <w:tc>
          <w:tcPr>
            <w:tcW w:w="1300" w:type="dxa"/>
          </w:tcPr>
          <w:p w:rsidR="00AA6386" w:rsidRPr="006A36EB" w:rsidRDefault="00AA6386" w:rsidP="00452C3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0.384</w:t>
            </w:r>
          </w:p>
        </w:tc>
        <w:tc>
          <w:tcPr>
            <w:tcW w:w="1044" w:type="dxa"/>
          </w:tcPr>
          <w:p w:rsidR="00AA6386" w:rsidRPr="006A36EB" w:rsidRDefault="00AA6386" w:rsidP="00452C3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128.262</w:t>
            </w:r>
          </w:p>
        </w:tc>
        <w:tc>
          <w:tcPr>
            <w:tcW w:w="1300" w:type="dxa"/>
          </w:tcPr>
          <w:p w:rsidR="00AA6386" w:rsidRPr="006A36EB" w:rsidRDefault="00AA6386" w:rsidP="00452C3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0.384</w:t>
            </w:r>
          </w:p>
        </w:tc>
        <w:tc>
          <w:tcPr>
            <w:tcW w:w="1044" w:type="dxa"/>
          </w:tcPr>
          <w:p w:rsidR="00AA6386" w:rsidRPr="006A36EB" w:rsidRDefault="00AA6386" w:rsidP="00452C3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128.262</w:t>
            </w:r>
          </w:p>
        </w:tc>
        <w:tc>
          <w:tcPr>
            <w:tcW w:w="1300" w:type="dxa"/>
          </w:tcPr>
          <w:p w:rsidR="00AA6386" w:rsidRPr="006A36EB" w:rsidRDefault="00AA6386" w:rsidP="00452C3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0.384</w:t>
            </w:r>
          </w:p>
        </w:tc>
        <w:tc>
          <w:tcPr>
            <w:tcW w:w="1044" w:type="dxa"/>
          </w:tcPr>
          <w:p w:rsidR="00AA6386" w:rsidRPr="006A36EB" w:rsidRDefault="00AA6386" w:rsidP="00452C3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128.262</w:t>
            </w:r>
          </w:p>
        </w:tc>
        <w:tc>
          <w:tcPr>
            <w:tcW w:w="1300" w:type="dxa"/>
          </w:tcPr>
          <w:p w:rsidR="00AA6386" w:rsidRPr="006A36EB" w:rsidRDefault="00AA6386" w:rsidP="00452C3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0.384</w:t>
            </w:r>
          </w:p>
        </w:tc>
        <w:tc>
          <w:tcPr>
            <w:tcW w:w="1044" w:type="dxa"/>
          </w:tcPr>
          <w:p w:rsidR="00AA6386" w:rsidRPr="006A36EB" w:rsidRDefault="00AA6386" w:rsidP="00452C3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128.262</w:t>
            </w:r>
          </w:p>
        </w:tc>
      </w:tr>
      <w:tr w:rsidR="00AA6386" w:rsidRPr="006A36EB" w:rsidTr="00452C37">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217" w:type="dxa"/>
          </w:tcPr>
          <w:p w:rsidR="00AA6386" w:rsidRPr="006A36EB" w:rsidRDefault="00AA6386" w:rsidP="00452C37">
            <w:pPr>
              <w:jc w:val="center"/>
              <w:rPr>
                <w:rFonts w:asciiTheme="majorBidi" w:hAnsiTheme="majorBidi" w:cstheme="majorBidi"/>
                <w:sz w:val="18"/>
                <w:szCs w:val="18"/>
              </w:rPr>
            </w:pPr>
            <w:r w:rsidRPr="006A36EB">
              <w:rPr>
                <w:rFonts w:asciiTheme="majorBidi" w:eastAsia="Times New Roman" w:hAnsiTheme="majorBidi" w:cstheme="majorBidi"/>
                <w:color w:val="000000"/>
                <w:kern w:val="0"/>
                <w:sz w:val="18"/>
                <w:szCs w:val="18"/>
                <w14:ligatures w14:val="none"/>
              </w:rPr>
              <w:t>Sand</w:t>
            </w:r>
          </w:p>
        </w:tc>
        <w:tc>
          <w:tcPr>
            <w:tcW w:w="1300" w:type="dxa"/>
          </w:tcPr>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0.011</w:t>
            </w:r>
          </w:p>
        </w:tc>
        <w:tc>
          <w:tcPr>
            <w:tcW w:w="1044" w:type="dxa"/>
          </w:tcPr>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0.776</w:t>
            </w:r>
          </w:p>
        </w:tc>
        <w:tc>
          <w:tcPr>
            <w:tcW w:w="1300" w:type="dxa"/>
          </w:tcPr>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0.011</w:t>
            </w:r>
          </w:p>
        </w:tc>
        <w:tc>
          <w:tcPr>
            <w:tcW w:w="1044" w:type="dxa"/>
          </w:tcPr>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0.776</w:t>
            </w:r>
          </w:p>
        </w:tc>
        <w:tc>
          <w:tcPr>
            <w:tcW w:w="1300" w:type="dxa"/>
          </w:tcPr>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0.011</w:t>
            </w:r>
          </w:p>
        </w:tc>
        <w:tc>
          <w:tcPr>
            <w:tcW w:w="1044" w:type="dxa"/>
          </w:tcPr>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0.776</w:t>
            </w:r>
          </w:p>
        </w:tc>
        <w:tc>
          <w:tcPr>
            <w:tcW w:w="1300" w:type="dxa"/>
          </w:tcPr>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0.011</w:t>
            </w:r>
          </w:p>
        </w:tc>
        <w:tc>
          <w:tcPr>
            <w:tcW w:w="1044" w:type="dxa"/>
          </w:tcPr>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0.776</w:t>
            </w:r>
          </w:p>
        </w:tc>
      </w:tr>
      <w:tr w:rsidR="00AA6386" w:rsidRPr="006A36EB" w:rsidTr="00452C37">
        <w:trPr>
          <w:trHeight w:val="278"/>
        </w:trPr>
        <w:tc>
          <w:tcPr>
            <w:cnfStyle w:val="001000000000" w:firstRow="0" w:lastRow="0" w:firstColumn="1" w:lastColumn="0" w:oddVBand="0" w:evenVBand="0" w:oddHBand="0" w:evenHBand="0" w:firstRowFirstColumn="0" w:firstRowLastColumn="0" w:lastRowFirstColumn="0" w:lastRowLastColumn="0"/>
            <w:tcW w:w="1217" w:type="dxa"/>
          </w:tcPr>
          <w:p w:rsidR="00AA6386" w:rsidRPr="006A36EB" w:rsidRDefault="00AA6386" w:rsidP="00452C37">
            <w:pPr>
              <w:jc w:val="center"/>
              <w:rPr>
                <w:rFonts w:asciiTheme="majorBidi" w:hAnsiTheme="majorBidi" w:cstheme="majorBidi"/>
                <w:sz w:val="18"/>
                <w:szCs w:val="18"/>
              </w:rPr>
            </w:pPr>
            <w:r w:rsidRPr="006A36EB">
              <w:rPr>
                <w:rFonts w:asciiTheme="majorBidi" w:eastAsia="Times New Roman" w:hAnsiTheme="majorBidi" w:cstheme="majorBidi"/>
                <w:color w:val="000000"/>
                <w:kern w:val="0"/>
                <w:sz w:val="18"/>
                <w:szCs w:val="18"/>
                <w14:ligatures w14:val="none"/>
              </w:rPr>
              <w:t>Tap Water</w:t>
            </w:r>
          </w:p>
        </w:tc>
        <w:tc>
          <w:tcPr>
            <w:tcW w:w="1300" w:type="dxa"/>
          </w:tcPr>
          <w:p w:rsidR="00AA6386" w:rsidRPr="006A36EB" w:rsidRDefault="00AA6386" w:rsidP="00452C3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0.0004</w:t>
            </w:r>
          </w:p>
        </w:tc>
        <w:tc>
          <w:tcPr>
            <w:tcW w:w="1044" w:type="dxa"/>
          </w:tcPr>
          <w:p w:rsidR="00AA6386" w:rsidRPr="006A36EB" w:rsidRDefault="00AA6386" w:rsidP="00452C3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0.018</w:t>
            </w:r>
          </w:p>
        </w:tc>
        <w:tc>
          <w:tcPr>
            <w:tcW w:w="1300" w:type="dxa"/>
          </w:tcPr>
          <w:p w:rsidR="00AA6386" w:rsidRPr="006A36EB" w:rsidRDefault="00AA6386" w:rsidP="00452C3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0.000</w:t>
            </w:r>
          </w:p>
        </w:tc>
        <w:tc>
          <w:tcPr>
            <w:tcW w:w="1044" w:type="dxa"/>
          </w:tcPr>
          <w:p w:rsidR="00AA6386" w:rsidRPr="006A36EB" w:rsidRDefault="00AA6386" w:rsidP="00452C3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0.018</w:t>
            </w:r>
          </w:p>
        </w:tc>
        <w:tc>
          <w:tcPr>
            <w:tcW w:w="1300" w:type="dxa"/>
          </w:tcPr>
          <w:p w:rsidR="00AA6386" w:rsidRPr="006A36EB" w:rsidRDefault="00AA6386" w:rsidP="00452C3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0.000</w:t>
            </w:r>
          </w:p>
        </w:tc>
        <w:tc>
          <w:tcPr>
            <w:tcW w:w="1044" w:type="dxa"/>
          </w:tcPr>
          <w:p w:rsidR="00AA6386" w:rsidRPr="006A36EB" w:rsidRDefault="00AA6386" w:rsidP="00452C3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0.018</w:t>
            </w:r>
          </w:p>
        </w:tc>
        <w:tc>
          <w:tcPr>
            <w:tcW w:w="1300" w:type="dxa"/>
          </w:tcPr>
          <w:p w:rsidR="00AA6386" w:rsidRPr="006A36EB" w:rsidRDefault="00AA6386" w:rsidP="00452C3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0.000</w:t>
            </w:r>
          </w:p>
        </w:tc>
        <w:tc>
          <w:tcPr>
            <w:tcW w:w="1044" w:type="dxa"/>
          </w:tcPr>
          <w:p w:rsidR="00AA6386" w:rsidRPr="006A36EB" w:rsidRDefault="00AA6386" w:rsidP="00452C3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0.018</w:t>
            </w:r>
          </w:p>
        </w:tc>
      </w:tr>
      <w:tr w:rsidR="00AA6386" w:rsidRPr="006A36EB" w:rsidTr="00452C3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217" w:type="dxa"/>
          </w:tcPr>
          <w:p w:rsidR="00AA6386" w:rsidRPr="006A36EB" w:rsidRDefault="00AA6386" w:rsidP="00452C37">
            <w:pPr>
              <w:jc w:val="center"/>
              <w:rPr>
                <w:rFonts w:asciiTheme="majorBidi" w:hAnsiTheme="majorBidi" w:cstheme="majorBidi"/>
                <w:sz w:val="18"/>
                <w:szCs w:val="18"/>
              </w:rPr>
            </w:pPr>
            <w:r w:rsidRPr="006A36EB">
              <w:rPr>
                <w:rFonts w:asciiTheme="majorBidi" w:hAnsiTheme="majorBidi" w:cstheme="majorBidi"/>
                <w:sz w:val="18"/>
                <w:szCs w:val="18"/>
              </w:rPr>
              <w:t>S.P.</w:t>
            </w:r>
          </w:p>
        </w:tc>
        <w:tc>
          <w:tcPr>
            <w:tcW w:w="1300" w:type="dxa"/>
          </w:tcPr>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0.026</w:t>
            </w:r>
          </w:p>
        </w:tc>
        <w:tc>
          <w:tcPr>
            <w:tcW w:w="1044" w:type="dxa"/>
          </w:tcPr>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1.951</w:t>
            </w:r>
          </w:p>
        </w:tc>
        <w:tc>
          <w:tcPr>
            <w:tcW w:w="1300" w:type="dxa"/>
          </w:tcPr>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0.026</w:t>
            </w:r>
          </w:p>
        </w:tc>
        <w:tc>
          <w:tcPr>
            <w:tcW w:w="1044" w:type="dxa"/>
          </w:tcPr>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1.950</w:t>
            </w:r>
          </w:p>
        </w:tc>
        <w:tc>
          <w:tcPr>
            <w:tcW w:w="1300" w:type="dxa"/>
          </w:tcPr>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0.026</w:t>
            </w:r>
          </w:p>
        </w:tc>
        <w:tc>
          <w:tcPr>
            <w:tcW w:w="1044" w:type="dxa"/>
          </w:tcPr>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1.950</w:t>
            </w:r>
          </w:p>
        </w:tc>
        <w:tc>
          <w:tcPr>
            <w:tcW w:w="1300" w:type="dxa"/>
          </w:tcPr>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0.026</w:t>
            </w:r>
          </w:p>
        </w:tc>
        <w:tc>
          <w:tcPr>
            <w:tcW w:w="1044" w:type="dxa"/>
          </w:tcPr>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1.950</w:t>
            </w:r>
          </w:p>
        </w:tc>
      </w:tr>
      <w:tr w:rsidR="00AA6386" w:rsidRPr="006A36EB" w:rsidTr="00452C37">
        <w:trPr>
          <w:trHeight w:val="251"/>
        </w:trPr>
        <w:tc>
          <w:tcPr>
            <w:cnfStyle w:val="001000000000" w:firstRow="0" w:lastRow="0" w:firstColumn="1" w:lastColumn="0" w:oddVBand="0" w:evenVBand="0" w:oddHBand="0" w:evenHBand="0" w:firstRowFirstColumn="0" w:firstRowLastColumn="0" w:lastRowFirstColumn="0" w:lastRowLastColumn="0"/>
            <w:tcW w:w="1217" w:type="dxa"/>
          </w:tcPr>
          <w:p w:rsidR="00AA6386" w:rsidRPr="006A36EB" w:rsidRDefault="00AA6386" w:rsidP="00452C37">
            <w:pPr>
              <w:jc w:val="center"/>
              <w:rPr>
                <w:rFonts w:asciiTheme="majorBidi" w:hAnsiTheme="majorBidi" w:cstheme="majorBidi"/>
                <w:sz w:val="18"/>
                <w:szCs w:val="18"/>
              </w:rPr>
            </w:pPr>
            <w:r w:rsidRPr="006A36EB">
              <w:rPr>
                <w:rFonts w:asciiTheme="majorBidi" w:eastAsia="Times New Roman" w:hAnsiTheme="majorBidi" w:cstheme="majorBidi"/>
                <w:color w:val="000000"/>
                <w:kern w:val="0"/>
                <w:sz w:val="18"/>
                <w:szCs w:val="18"/>
                <w14:ligatures w14:val="none"/>
              </w:rPr>
              <w:t>NRG-Wood Aggregates</w:t>
            </w:r>
          </w:p>
        </w:tc>
        <w:tc>
          <w:tcPr>
            <w:tcW w:w="1300" w:type="dxa"/>
          </w:tcPr>
          <w:p w:rsidR="00AA6386" w:rsidRPr="006A36EB" w:rsidRDefault="00AA6386" w:rsidP="00452C3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2.145</w:t>
            </w:r>
          </w:p>
        </w:tc>
        <w:tc>
          <w:tcPr>
            <w:tcW w:w="1044" w:type="dxa"/>
          </w:tcPr>
          <w:p w:rsidR="00AA6386" w:rsidRPr="006A36EB" w:rsidRDefault="00AA6386" w:rsidP="00452C3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86.393</w:t>
            </w:r>
          </w:p>
        </w:tc>
        <w:tc>
          <w:tcPr>
            <w:tcW w:w="1300" w:type="dxa"/>
          </w:tcPr>
          <w:p w:rsidR="00AA6386" w:rsidRPr="006A36EB" w:rsidRDefault="00AA6386" w:rsidP="00452C3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1.893</w:t>
            </w:r>
          </w:p>
        </w:tc>
        <w:tc>
          <w:tcPr>
            <w:tcW w:w="1044" w:type="dxa"/>
          </w:tcPr>
          <w:p w:rsidR="00AA6386" w:rsidRPr="006A36EB" w:rsidRDefault="00AA6386" w:rsidP="00452C3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78.019</w:t>
            </w:r>
          </w:p>
        </w:tc>
        <w:tc>
          <w:tcPr>
            <w:tcW w:w="1300" w:type="dxa"/>
          </w:tcPr>
          <w:p w:rsidR="00AA6386" w:rsidRPr="006A36EB" w:rsidRDefault="00AA6386" w:rsidP="00452C3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2.900</w:t>
            </w:r>
          </w:p>
        </w:tc>
        <w:tc>
          <w:tcPr>
            <w:tcW w:w="1044" w:type="dxa"/>
          </w:tcPr>
          <w:p w:rsidR="00AA6386" w:rsidRPr="006A36EB" w:rsidRDefault="00AA6386" w:rsidP="00452C3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86.802</w:t>
            </w:r>
          </w:p>
        </w:tc>
        <w:tc>
          <w:tcPr>
            <w:tcW w:w="1300" w:type="dxa"/>
          </w:tcPr>
          <w:p w:rsidR="00AA6386" w:rsidRPr="006A36EB" w:rsidRDefault="00AA6386" w:rsidP="00452C3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1.830</w:t>
            </w:r>
          </w:p>
        </w:tc>
        <w:tc>
          <w:tcPr>
            <w:tcW w:w="1044" w:type="dxa"/>
          </w:tcPr>
          <w:p w:rsidR="00AA6386" w:rsidRPr="006A36EB" w:rsidRDefault="00AA6386" w:rsidP="00452C3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146.644</w:t>
            </w:r>
          </w:p>
        </w:tc>
      </w:tr>
      <w:tr w:rsidR="00AA6386" w:rsidRPr="006A36EB" w:rsidTr="00452C37">
        <w:trPr>
          <w:cnfStyle w:val="000000100000" w:firstRow="0" w:lastRow="0" w:firstColumn="0" w:lastColumn="0" w:oddVBand="0" w:evenVBand="0" w:oddHBand="1" w:evenHBand="0" w:firstRowFirstColumn="0" w:firstRowLastColumn="0" w:lastRowFirstColumn="0" w:lastRowLastColumn="0"/>
          <w:trHeight w:val="179"/>
        </w:trPr>
        <w:tc>
          <w:tcPr>
            <w:cnfStyle w:val="001000000000" w:firstRow="0" w:lastRow="0" w:firstColumn="1" w:lastColumn="0" w:oddVBand="0" w:evenVBand="0" w:oddHBand="0" w:evenHBand="0" w:firstRowFirstColumn="0" w:firstRowLastColumn="0" w:lastRowFirstColumn="0" w:lastRowLastColumn="0"/>
            <w:tcW w:w="1217" w:type="dxa"/>
          </w:tcPr>
          <w:p w:rsidR="00AA6386" w:rsidRPr="006A36EB" w:rsidRDefault="00AA6386" w:rsidP="00452C37">
            <w:pPr>
              <w:jc w:val="center"/>
              <w:rPr>
                <w:rFonts w:asciiTheme="majorBidi" w:hAnsiTheme="majorBidi" w:cstheme="majorBidi"/>
                <w:sz w:val="18"/>
                <w:szCs w:val="18"/>
              </w:rPr>
            </w:pPr>
            <w:r w:rsidRPr="006A36EB">
              <w:rPr>
                <w:rFonts w:asciiTheme="majorBidi" w:eastAsia="Times New Roman" w:hAnsiTheme="majorBidi" w:cstheme="majorBidi"/>
                <w:color w:val="000000"/>
                <w:kern w:val="0"/>
                <w:sz w:val="18"/>
                <w:szCs w:val="18"/>
                <w14:ligatures w14:val="none"/>
              </w:rPr>
              <w:t>Electricity</w:t>
            </w:r>
          </w:p>
        </w:tc>
        <w:tc>
          <w:tcPr>
            <w:tcW w:w="1300" w:type="dxa"/>
          </w:tcPr>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0.0006</w:t>
            </w:r>
          </w:p>
        </w:tc>
        <w:tc>
          <w:tcPr>
            <w:tcW w:w="1044" w:type="dxa"/>
          </w:tcPr>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0.031</w:t>
            </w:r>
          </w:p>
        </w:tc>
        <w:tc>
          <w:tcPr>
            <w:tcW w:w="1300" w:type="dxa"/>
          </w:tcPr>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0.001</w:t>
            </w:r>
          </w:p>
        </w:tc>
        <w:tc>
          <w:tcPr>
            <w:tcW w:w="1044" w:type="dxa"/>
          </w:tcPr>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0.031</w:t>
            </w:r>
          </w:p>
        </w:tc>
        <w:tc>
          <w:tcPr>
            <w:tcW w:w="1300" w:type="dxa"/>
          </w:tcPr>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0.001</w:t>
            </w:r>
          </w:p>
        </w:tc>
        <w:tc>
          <w:tcPr>
            <w:tcW w:w="1044" w:type="dxa"/>
          </w:tcPr>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0.031</w:t>
            </w:r>
          </w:p>
        </w:tc>
        <w:tc>
          <w:tcPr>
            <w:tcW w:w="1300" w:type="dxa"/>
          </w:tcPr>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0.001</w:t>
            </w:r>
          </w:p>
        </w:tc>
        <w:tc>
          <w:tcPr>
            <w:tcW w:w="1044" w:type="dxa"/>
          </w:tcPr>
          <w:p w:rsidR="00AA6386" w:rsidRPr="006A36EB" w:rsidRDefault="00AA6386" w:rsidP="00452C3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0.031</w:t>
            </w:r>
          </w:p>
        </w:tc>
      </w:tr>
      <w:tr w:rsidR="00AA6386" w:rsidRPr="006A36EB" w:rsidTr="00452C37">
        <w:trPr>
          <w:trHeight w:val="170"/>
        </w:trPr>
        <w:tc>
          <w:tcPr>
            <w:cnfStyle w:val="001000000000" w:firstRow="0" w:lastRow="0" w:firstColumn="1" w:lastColumn="0" w:oddVBand="0" w:evenVBand="0" w:oddHBand="0" w:evenHBand="0" w:firstRowFirstColumn="0" w:firstRowLastColumn="0" w:lastRowFirstColumn="0" w:lastRowLastColumn="0"/>
            <w:tcW w:w="1217" w:type="dxa"/>
          </w:tcPr>
          <w:p w:rsidR="00AA6386" w:rsidRPr="006A36EB" w:rsidRDefault="00AA6386" w:rsidP="00452C37">
            <w:pPr>
              <w:jc w:val="center"/>
              <w:rPr>
                <w:rFonts w:asciiTheme="majorBidi" w:hAnsiTheme="majorBidi" w:cstheme="majorBidi"/>
                <w:sz w:val="18"/>
                <w:szCs w:val="18"/>
              </w:rPr>
            </w:pPr>
            <w:r w:rsidRPr="006A36EB">
              <w:rPr>
                <w:rFonts w:asciiTheme="majorBidi" w:eastAsia="Times New Roman" w:hAnsiTheme="majorBidi" w:cstheme="majorBidi"/>
                <w:color w:val="000000"/>
                <w:kern w:val="0"/>
                <w:sz w:val="18"/>
                <w:szCs w:val="18"/>
                <w14:ligatures w14:val="none"/>
              </w:rPr>
              <w:t>Total</w:t>
            </w:r>
          </w:p>
        </w:tc>
        <w:tc>
          <w:tcPr>
            <w:tcW w:w="1300" w:type="dxa"/>
          </w:tcPr>
          <w:p w:rsidR="00AA6386" w:rsidRPr="006A36EB" w:rsidRDefault="00AA6386" w:rsidP="00452C3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2.565</w:t>
            </w:r>
          </w:p>
        </w:tc>
        <w:tc>
          <w:tcPr>
            <w:tcW w:w="1044" w:type="dxa"/>
          </w:tcPr>
          <w:p w:rsidR="00AA6386" w:rsidRPr="006A36EB" w:rsidRDefault="00AA6386" w:rsidP="00452C3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216.494</w:t>
            </w:r>
          </w:p>
        </w:tc>
        <w:tc>
          <w:tcPr>
            <w:tcW w:w="1300" w:type="dxa"/>
          </w:tcPr>
          <w:p w:rsidR="00AA6386" w:rsidRPr="006A36EB" w:rsidRDefault="00AA6386" w:rsidP="00452C3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2.314</w:t>
            </w:r>
          </w:p>
        </w:tc>
        <w:tc>
          <w:tcPr>
            <w:tcW w:w="1044" w:type="dxa"/>
          </w:tcPr>
          <w:p w:rsidR="00AA6386" w:rsidRPr="006A36EB" w:rsidRDefault="00AA6386" w:rsidP="00452C3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208.324</w:t>
            </w:r>
          </w:p>
        </w:tc>
        <w:tc>
          <w:tcPr>
            <w:tcW w:w="1300" w:type="dxa"/>
          </w:tcPr>
          <w:p w:rsidR="00AA6386" w:rsidRPr="006A36EB" w:rsidRDefault="00AA6386" w:rsidP="00452C3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3.331</w:t>
            </w:r>
          </w:p>
        </w:tc>
        <w:tc>
          <w:tcPr>
            <w:tcW w:w="1044" w:type="dxa"/>
          </w:tcPr>
          <w:p w:rsidR="00AA6386" w:rsidRPr="006A36EB" w:rsidRDefault="00AA6386" w:rsidP="00452C3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218.536</w:t>
            </w:r>
          </w:p>
        </w:tc>
        <w:tc>
          <w:tcPr>
            <w:tcW w:w="1300" w:type="dxa"/>
          </w:tcPr>
          <w:p w:rsidR="00AA6386" w:rsidRPr="006A36EB" w:rsidRDefault="00AA6386" w:rsidP="00452C3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2.251</w:t>
            </w:r>
          </w:p>
        </w:tc>
        <w:tc>
          <w:tcPr>
            <w:tcW w:w="1044" w:type="dxa"/>
          </w:tcPr>
          <w:p w:rsidR="00AA6386" w:rsidRPr="006A36EB" w:rsidRDefault="00AA6386" w:rsidP="00452C3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6A36EB">
              <w:rPr>
                <w:rFonts w:asciiTheme="majorBidi" w:hAnsiTheme="majorBidi" w:cstheme="majorBidi"/>
                <w:color w:val="000000"/>
                <w:sz w:val="18"/>
                <w:szCs w:val="18"/>
              </w:rPr>
              <w:t>277.765</w:t>
            </w:r>
          </w:p>
        </w:tc>
      </w:tr>
    </w:tbl>
    <w:p w:rsidR="00AA6386" w:rsidRPr="006A36EB" w:rsidRDefault="00AA6386" w:rsidP="00AA6386">
      <w:pPr>
        <w:rPr>
          <w:rFonts w:asciiTheme="majorBidi" w:hAnsiTheme="majorBidi" w:cstheme="majorBidi"/>
          <w:color w:val="808080" w:themeColor="background1" w:themeShade="80"/>
          <w:sz w:val="18"/>
          <w:szCs w:val="18"/>
        </w:rPr>
      </w:pPr>
      <w:r w:rsidRPr="006A36EB">
        <w:rPr>
          <w:rFonts w:asciiTheme="majorBidi" w:hAnsiTheme="majorBidi" w:cstheme="majorBidi"/>
          <w:color w:val="808080" w:themeColor="background1" w:themeShade="80"/>
          <w:sz w:val="18"/>
          <w:szCs w:val="18"/>
        </w:rPr>
        <w:t>*CED = Cumulative Energy Demand; GWP 100a = IPCC Global Warming Potential over 100 years; S.P. = superplasticizer; PCM = phase change material.</w:t>
      </w:r>
    </w:p>
    <w:p w:rsidR="00AA6386" w:rsidRPr="006A36EB" w:rsidRDefault="00AA6386" w:rsidP="00AA6386">
      <w:pPr>
        <w:spacing w:after="0"/>
        <w:rPr>
          <w:rFonts w:asciiTheme="majorBidi" w:hAnsiTheme="majorBidi" w:cstheme="majorBidi"/>
          <w:b/>
          <w:bCs/>
        </w:rPr>
      </w:pPr>
      <w:r w:rsidRPr="006A36EB">
        <w:rPr>
          <w:rFonts w:asciiTheme="majorBidi" w:hAnsiTheme="majorBidi" w:cstheme="majorBidi"/>
          <w:b/>
          <w:bCs/>
        </w:rPr>
        <w:t>S2. Descriptive analysis of proxy-feedstock variability</w:t>
      </w:r>
    </w:p>
    <w:p w:rsidR="00AA6386" w:rsidRPr="006A36EB" w:rsidRDefault="00AA6386" w:rsidP="00AA6386">
      <w:pPr>
        <w:spacing w:after="0"/>
        <w:jc w:val="both"/>
        <w:rPr>
          <w:rFonts w:asciiTheme="majorBidi" w:hAnsiTheme="majorBidi" w:cstheme="majorBidi"/>
          <w:sz w:val="20"/>
          <w:szCs w:val="20"/>
        </w:rPr>
      </w:pPr>
      <w:r w:rsidRPr="006A36EB">
        <w:rPr>
          <w:rFonts w:asciiTheme="majorBidi" w:hAnsiTheme="majorBidi" w:cstheme="majorBidi"/>
          <w:sz w:val="20"/>
          <w:szCs w:val="20"/>
        </w:rPr>
        <w:t>The variability associated with PCM feedstock selection was evaluated using the four independent proxy scenarios. Normalized IPCC GWP 100a had a mean value of 230.281 ± 31.963 kg CO₂-eq/(J/(cm³×K)), with an observed range of 208.325–277.766 kg CO₂-eq/(J/(cm³×K)). Normalized total CED had a mean value of 2.614 ± 0.497 GJ/(J/(cm³×K)), with an observed range of 2.247–3.329 GJ/(J/(cm³×K)). The reported dispersion values represent the sample standard deviation across the four proxy-feedstock scenarios.</w:t>
      </w:r>
    </w:p>
    <w:p w:rsidR="00AA6386" w:rsidRPr="006A36EB" w:rsidRDefault="00AA6386" w:rsidP="00AA6386">
      <w:pPr>
        <w:spacing w:after="0"/>
        <w:jc w:val="both"/>
        <w:rPr>
          <w:rFonts w:asciiTheme="majorBidi" w:hAnsiTheme="majorBidi" w:cstheme="majorBidi"/>
          <w:sz w:val="20"/>
          <w:szCs w:val="20"/>
        </w:rPr>
      </w:pPr>
      <w:r w:rsidRPr="006A36EB">
        <w:rPr>
          <w:rFonts w:asciiTheme="majorBidi" w:hAnsiTheme="majorBidi" w:cstheme="majorBidi"/>
          <w:sz w:val="20"/>
          <w:szCs w:val="20"/>
        </w:rPr>
        <w:t>Fig. S1 and S2 present normal curves constructed using the corresponding scenario means and sample standard deviations. The observed minimum and maximum values are also indicated. Because only four proxy scenarios were evaluated, these curves are provided solely as descriptive visualizations of central tendency and dispersion; they are not intended to demonstrate that the underlying results follow a normal probability distribution or to support inferential statistical conclusions.</w:t>
      </w:r>
    </w:p>
    <w:p w:rsidR="00AA6386" w:rsidRPr="006A36EB" w:rsidRDefault="00AA6386" w:rsidP="00AA6386">
      <w:pPr>
        <w:rPr>
          <w:rFonts w:asciiTheme="majorBidi" w:hAnsiTheme="majorBidi" w:cstheme="majorBidi"/>
          <w:color w:val="808080" w:themeColor="background1" w:themeShade="80"/>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AA6386" w:rsidRPr="006A36EB" w:rsidTr="00452C37">
        <w:tc>
          <w:tcPr>
            <w:tcW w:w="9350" w:type="dxa"/>
          </w:tcPr>
          <w:p w:rsidR="00AA6386" w:rsidRPr="006A36EB" w:rsidRDefault="00AA6386" w:rsidP="00452C37">
            <w:pPr>
              <w:jc w:val="center"/>
              <w:rPr>
                <w:rFonts w:asciiTheme="majorBidi" w:hAnsiTheme="majorBidi" w:cstheme="majorBidi"/>
                <w:sz w:val="20"/>
                <w:szCs w:val="20"/>
              </w:rPr>
            </w:pPr>
            <w:r w:rsidRPr="006A36EB">
              <w:rPr>
                <w:rFonts w:asciiTheme="majorBidi" w:hAnsiTheme="majorBidi" w:cstheme="majorBidi"/>
                <w:noProof/>
                <w:sz w:val="20"/>
                <w:szCs w:val="20"/>
                <w:lang w:val="en-IN" w:eastAsia="en-IN"/>
              </w:rPr>
              <w:lastRenderedPageBreak/>
              <w:drawing>
                <wp:inline distT="0" distB="0" distL="0" distR="0" wp14:anchorId="6E37F1FB" wp14:editId="734B0D03">
                  <wp:extent cx="4169664" cy="2289098"/>
                  <wp:effectExtent l="0" t="0" r="2540" b="0"/>
                  <wp:docPr id="1773755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75533" name="Picture 7"/>
                          <pic:cNvPicPr/>
                        </pic:nvPicPr>
                        <pic:blipFill>
                          <a:blip r:embed="rId4" cstate="print">
                            <a:extLst>
                              <a:ext uri="{28A0092B-C50C-407E-A947-70E740481C1C}">
                                <a14:useLocalDpi xmlns:a14="http://schemas.microsoft.com/office/drawing/2010/main" val="0"/>
                              </a:ext>
                            </a:extLst>
                          </a:blip>
                          <a:stretch>
                            <a:fillRect/>
                          </a:stretch>
                        </pic:blipFill>
                        <pic:spPr>
                          <a:xfrm>
                            <a:off x="0" y="0"/>
                            <a:ext cx="4169664" cy="2289098"/>
                          </a:xfrm>
                          <a:prstGeom prst="rect">
                            <a:avLst/>
                          </a:prstGeom>
                        </pic:spPr>
                      </pic:pic>
                    </a:graphicData>
                  </a:graphic>
                </wp:inline>
              </w:drawing>
            </w:r>
          </w:p>
        </w:tc>
      </w:tr>
      <w:tr w:rsidR="00AA6386" w:rsidRPr="006A36EB" w:rsidTr="00452C37">
        <w:tc>
          <w:tcPr>
            <w:tcW w:w="9350" w:type="dxa"/>
          </w:tcPr>
          <w:p w:rsidR="00AA6386" w:rsidRPr="006A36EB" w:rsidRDefault="00AA6386" w:rsidP="00452C37">
            <w:pPr>
              <w:jc w:val="center"/>
              <w:rPr>
                <w:rFonts w:asciiTheme="majorBidi" w:hAnsiTheme="majorBidi" w:cstheme="majorBidi"/>
                <w:sz w:val="18"/>
                <w:szCs w:val="18"/>
              </w:rPr>
            </w:pPr>
            <w:r w:rsidRPr="006A36EB">
              <w:rPr>
                <w:rFonts w:asciiTheme="majorBidi" w:hAnsiTheme="majorBidi" w:cstheme="majorBidi"/>
                <w:b/>
                <w:bCs/>
                <w:sz w:val="18"/>
                <w:szCs w:val="18"/>
              </w:rPr>
              <w:t xml:space="preserve">Figure S1. </w:t>
            </w:r>
            <w:r w:rsidRPr="006A36EB">
              <w:rPr>
                <w:rFonts w:asciiTheme="majorBidi" w:hAnsiTheme="majorBidi" w:cstheme="majorBidi"/>
                <w:sz w:val="18"/>
                <w:szCs w:val="18"/>
              </w:rPr>
              <w:t>Descriptive normal curve of the normalized IPCC GWP 100a values for 1 m</w:t>
            </w:r>
            <w:r w:rsidRPr="006A36EB">
              <w:rPr>
                <w:rFonts w:asciiTheme="majorBidi" w:hAnsiTheme="majorBidi" w:cstheme="majorBidi"/>
                <w:sz w:val="18"/>
                <w:szCs w:val="18"/>
                <w:vertAlign w:val="superscript"/>
              </w:rPr>
              <w:t xml:space="preserve">3 </w:t>
            </w:r>
            <w:r w:rsidRPr="006A36EB">
              <w:rPr>
                <w:rFonts w:asciiTheme="majorBidi" w:hAnsiTheme="majorBidi" w:cstheme="majorBidi"/>
                <w:sz w:val="18"/>
                <w:szCs w:val="18"/>
              </w:rPr>
              <w:t>of NRG-Wood mortar under the four PCM proxy-feedstock scenarios.</w:t>
            </w:r>
          </w:p>
          <w:p w:rsidR="00AA6386" w:rsidRPr="006A36EB" w:rsidRDefault="00AA6386" w:rsidP="00452C37">
            <w:pPr>
              <w:jc w:val="center"/>
              <w:rPr>
                <w:rFonts w:asciiTheme="majorBidi" w:hAnsiTheme="majorBidi" w:cstheme="majorBidi"/>
                <w:sz w:val="20"/>
                <w:szCs w:val="20"/>
              </w:rPr>
            </w:pPr>
          </w:p>
        </w:tc>
      </w:tr>
      <w:tr w:rsidR="00AA6386" w:rsidRPr="006A36EB" w:rsidTr="00452C37">
        <w:tc>
          <w:tcPr>
            <w:tcW w:w="9350" w:type="dxa"/>
          </w:tcPr>
          <w:p w:rsidR="00AA6386" w:rsidRPr="006A36EB" w:rsidRDefault="00AA6386" w:rsidP="00452C37">
            <w:pPr>
              <w:jc w:val="center"/>
              <w:rPr>
                <w:rFonts w:asciiTheme="majorBidi" w:hAnsiTheme="majorBidi" w:cstheme="majorBidi"/>
                <w:noProof/>
                <w:sz w:val="20"/>
                <w:szCs w:val="20"/>
              </w:rPr>
            </w:pPr>
          </w:p>
          <w:p w:rsidR="00AA6386" w:rsidRPr="006A36EB" w:rsidRDefault="00AA6386" w:rsidP="00452C37">
            <w:pPr>
              <w:jc w:val="center"/>
              <w:rPr>
                <w:rFonts w:asciiTheme="majorBidi" w:hAnsiTheme="majorBidi" w:cstheme="majorBidi"/>
                <w:sz w:val="20"/>
                <w:szCs w:val="20"/>
              </w:rPr>
            </w:pPr>
            <w:r w:rsidRPr="006A36EB">
              <w:rPr>
                <w:rFonts w:asciiTheme="majorBidi" w:hAnsiTheme="majorBidi" w:cstheme="majorBidi"/>
                <w:noProof/>
                <w:sz w:val="20"/>
                <w:szCs w:val="20"/>
                <w:lang w:val="en-IN" w:eastAsia="en-IN"/>
              </w:rPr>
              <w:drawing>
                <wp:inline distT="0" distB="0" distL="0" distR="0" wp14:anchorId="213F1C69" wp14:editId="0D31A66A">
                  <wp:extent cx="4166420" cy="2286000"/>
                  <wp:effectExtent l="0" t="0" r="5715" b="0"/>
                  <wp:docPr id="34707118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071188" name="Picture 8"/>
                          <pic:cNvPicPr/>
                        </pic:nvPicPr>
                        <pic:blipFill>
                          <a:blip r:embed="rId5" cstate="print">
                            <a:extLst>
                              <a:ext uri="{28A0092B-C50C-407E-A947-70E740481C1C}">
                                <a14:useLocalDpi xmlns:a14="http://schemas.microsoft.com/office/drawing/2010/main" val="0"/>
                              </a:ext>
                            </a:extLst>
                          </a:blip>
                          <a:stretch>
                            <a:fillRect/>
                          </a:stretch>
                        </pic:blipFill>
                        <pic:spPr>
                          <a:xfrm>
                            <a:off x="0" y="0"/>
                            <a:ext cx="4166420" cy="2286000"/>
                          </a:xfrm>
                          <a:prstGeom prst="rect">
                            <a:avLst/>
                          </a:prstGeom>
                        </pic:spPr>
                      </pic:pic>
                    </a:graphicData>
                  </a:graphic>
                </wp:inline>
              </w:drawing>
            </w:r>
          </w:p>
        </w:tc>
      </w:tr>
      <w:tr w:rsidR="00AA6386" w:rsidRPr="006A36EB" w:rsidTr="00452C37">
        <w:tc>
          <w:tcPr>
            <w:tcW w:w="9350" w:type="dxa"/>
          </w:tcPr>
          <w:p w:rsidR="00AA6386" w:rsidRPr="006A36EB" w:rsidRDefault="00AA6386" w:rsidP="00452C37">
            <w:pPr>
              <w:jc w:val="center"/>
              <w:rPr>
                <w:rFonts w:asciiTheme="majorBidi" w:hAnsiTheme="majorBidi" w:cstheme="majorBidi"/>
                <w:sz w:val="20"/>
                <w:szCs w:val="20"/>
              </w:rPr>
            </w:pPr>
            <w:r w:rsidRPr="006A36EB">
              <w:rPr>
                <w:rFonts w:asciiTheme="majorBidi" w:hAnsiTheme="majorBidi" w:cstheme="majorBidi"/>
                <w:b/>
                <w:bCs/>
                <w:sz w:val="18"/>
                <w:szCs w:val="18"/>
              </w:rPr>
              <w:t xml:space="preserve">Figure S2. </w:t>
            </w:r>
            <w:r w:rsidRPr="006A36EB">
              <w:rPr>
                <w:rFonts w:asciiTheme="majorBidi" w:hAnsiTheme="majorBidi" w:cstheme="majorBidi"/>
                <w:sz w:val="18"/>
                <w:szCs w:val="18"/>
              </w:rPr>
              <w:t>Descriptive normal curve of the normalized total CED values for 1 m³ of NRG-Wood mortar under the four PCM proxy-feedstock scenarios.</w:t>
            </w:r>
          </w:p>
        </w:tc>
      </w:tr>
    </w:tbl>
    <w:p w:rsidR="00AA6386" w:rsidRPr="006A36EB" w:rsidRDefault="00AA6386" w:rsidP="00AA6386">
      <w:pPr>
        <w:jc w:val="both"/>
        <w:rPr>
          <w:rFonts w:asciiTheme="majorBidi" w:hAnsiTheme="majorBidi" w:cstheme="majorBidi"/>
          <w:sz w:val="20"/>
          <w:szCs w:val="20"/>
        </w:rPr>
      </w:pPr>
      <w:bookmarkStart w:id="0" w:name="_GoBack"/>
      <w:bookmarkEnd w:id="0"/>
    </w:p>
    <w:sectPr w:rsidR="00AA6386" w:rsidRPr="006A36EB" w:rsidSect="00AC7267">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harisSIL-Italic">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4393666"/>
      <w:docPartObj>
        <w:docPartGallery w:val="Page Numbers (Bottom of Page)"/>
        <w:docPartUnique/>
      </w:docPartObj>
    </w:sdtPr>
    <w:sdtEndPr>
      <w:rPr>
        <w:noProof/>
      </w:rPr>
    </w:sdtEndPr>
    <w:sdtContent>
      <w:p w:rsidR="00C73466" w:rsidRDefault="00AA6386">
        <w:pPr>
          <w:pStyle w:val="Footer"/>
          <w:jc w:val="center"/>
        </w:pPr>
        <w:r w:rsidRPr="003A318F">
          <w:rPr>
            <w:rFonts w:asciiTheme="majorBidi" w:hAnsiTheme="majorBidi" w:cstheme="majorBidi"/>
            <w:sz w:val="20"/>
            <w:szCs w:val="20"/>
          </w:rPr>
          <w:fldChar w:fldCharType="begin"/>
        </w:r>
        <w:r w:rsidRPr="003A318F">
          <w:rPr>
            <w:rFonts w:asciiTheme="majorBidi" w:hAnsiTheme="majorBidi" w:cstheme="majorBidi"/>
            <w:sz w:val="20"/>
            <w:szCs w:val="20"/>
          </w:rPr>
          <w:instrText xml:space="preserve"> PAGE   \* MERGEFORMAT </w:instrText>
        </w:r>
        <w:r w:rsidRPr="003A318F">
          <w:rPr>
            <w:rFonts w:asciiTheme="majorBidi" w:hAnsiTheme="majorBidi" w:cstheme="majorBidi"/>
            <w:sz w:val="20"/>
            <w:szCs w:val="20"/>
          </w:rPr>
          <w:fldChar w:fldCharType="separate"/>
        </w:r>
        <w:r>
          <w:rPr>
            <w:rFonts w:asciiTheme="majorBidi" w:hAnsiTheme="majorBidi" w:cstheme="majorBidi"/>
            <w:noProof/>
            <w:sz w:val="20"/>
            <w:szCs w:val="20"/>
          </w:rPr>
          <w:t>2</w:t>
        </w:r>
        <w:r w:rsidRPr="003A318F">
          <w:rPr>
            <w:rFonts w:asciiTheme="majorBidi" w:hAnsiTheme="majorBidi" w:cstheme="majorBidi"/>
            <w:noProof/>
            <w:sz w:val="20"/>
            <w:szCs w:val="20"/>
          </w:rPr>
          <w:fldChar w:fldCharType="end"/>
        </w:r>
      </w:p>
    </w:sdtContent>
  </w:sdt>
  <w:p w:rsidR="00C73466" w:rsidRDefault="00AA6386">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AF5"/>
    <w:rsid w:val="00061EAF"/>
    <w:rsid w:val="000B014B"/>
    <w:rsid w:val="000B18C6"/>
    <w:rsid w:val="000B6069"/>
    <w:rsid w:val="001123C4"/>
    <w:rsid w:val="00141F71"/>
    <w:rsid w:val="001423C4"/>
    <w:rsid w:val="001500A5"/>
    <w:rsid w:val="0018763C"/>
    <w:rsid w:val="001C1559"/>
    <w:rsid w:val="00200618"/>
    <w:rsid w:val="002435BE"/>
    <w:rsid w:val="00244CA9"/>
    <w:rsid w:val="0028327D"/>
    <w:rsid w:val="002A5230"/>
    <w:rsid w:val="002A525A"/>
    <w:rsid w:val="002E62FD"/>
    <w:rsid w:val="00343C2C"/>
    <w:rsid w:val="003533DA"/>
    <w:rsid w:val="003A0781"/>
    <w:rsid w:val="003C351F"/>
    <w:rsid w:val="003E236F"/>
    <w:rsid w:val="0045153D"/>
    <w:rsid w:val="00475567"/>
    <w:rsid w:val="004F0DB8"/>
    <w:rsid w:val="00516AFF"/>
    <w:rsid w:val="00542AF5"/>
    <w:rsid w:val="0057018E"/>
    <w:rsid w:val="005770CF"/>
    <w:rsid w:val="0059692D"/>
    <w:rsid w:val="005C59DD"/>
    <w:rsid w:val="00603EB7"/>
    <w:rsid w:val="00644101"/>
    <w:rsid w:val="00665F5F"/>
    <w:rsid w:val="006B1114"/>
    <w:rsid w:val="00715B7D"/>
    <w:rsid w:val="00745609"/>
    <w:rsid w:val="007512AB"/>
    <w:rsid w:val="00774CAE"/>
    <w:rsid w:val="007B3F6D"/>
    <w:rsid w:val="007E6A1A"/>
    <w:rsid w:val="007E72F0"/>
    <w:rsid w:val="007F1DE2"/>
    <w:rsid w:val="008356AD"/>
    <w:rsid w:val="0087705D"/>
    <w:rsid w:val="00886902"/>
    <w:rsid w:val="008B6C5F"/>
    <w:rsid w:val="008B7B1E"/>
    <w:rsid w:val="008C51AB"/>
    <w:rsid w:val="008F7435"/>
    <w:rsid w:val="00996A6A"/>
    <w:rsid w:val="009B0EBC"/>
    <w:rsid w:val="00A14A6B"/>
    <w:rsid w:val="00A46D78"/>
    <w:rsid w:val="00A95AA9"/>
    <w:rsid w:val="00AA6386"/>
    <w:rsid w:val="00B1191C"/>
    <w:rsid w:val="00B35C2D"/>
    <w:rsid w:val="00B45EC0"/>
    <w:rsid w:val="00B5302E"/>
    <w:rsid w:val="00B56C76"/>
    <w:rsid w:val="00B750BC"/>
    <w:rsid w:val="00B857E0"/>
    <w:rsid w:val="00BD0B30"/>
    <w:rsid w:val="00BE290A"/>
    <w:rsid w:val="00BF3CD3"/>
    <w:rsid w:val="00C015CF"/>
    <w:rsid w:val="00C94E78"/>
    <w:rsid w:val="00CC5437"/>
    <w:rsid w:val="00D1202E"/>
    <w:rsid w:val="00D221D0"/>
    <w:rsid w:val="00DE2FE5"/>
    <w:rsid w:val="00E03AC8"/>
    <w:rsid w:val="00E35C41"/>
    <w:rsid w:val="00ED29C5"/>
    <w:rsid w:val="00F42B72"/>
    <w:rsid w:val="00FA6CD9"/>
    <w:rsid w:val="00FD3CB6"/>
    <w:rsid w:val="00FE7BA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1DCAC1-D9EA-4C7A-90E4-24BC924C9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2AF5"/>
    <w:pPr>
      <w:spacing w:line="278" w:lineRule="auto"/>
      <w:ind w:left="720"/>
      <w:contextualSpacing/>
    </w:pPr>
    <w:rPr>
      <w:kern w:val="2"/>
      <w:sz w:val="24"/>
      <w:szCs w:val="24"/>
      <w:lang w:val="en-US"/>
      <w14:ligatures w14:val="standardContextual"/>
    </w:rPr>
  </w:style>
  <w:style w:type="table" w:styleId="PlainTable2">
    <w:name w:val="Plain Table 2"/>
    <w:basedOn w:val="TableNormal"/>
    <w:uiPriority w:val="42"/>
    <w:rsid w:val="00542AF5"/>
    <w:pPr>
      <w:spacing w:after="0" w:line="240" w:lineRule="auto"/>
    </w:pPr>
    <w:rPr>
      <w:kern w:val="2"/>
      <w:sz w:val="24"/>
      <w:szCs w:val="24"/>
      <w:lang w:val="en-US"/>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fontstyle01">
    <w:name w:val="fontstyle01"/>
    <w:basedOn w:val="DefaultParagraphFont"/>
    <w:rsid w:val="00542AF5"/>
    <w:rPr>
      <w:rFonts w:ascii="CharisSIL-Italic" w:hAnsi="CharisSIL-Italic" w:hint="default"/>
      <w:b w:val="0"/>
      <w:bCs w:val="0"/>
      <w:i/>
      <w:iCs/>
      <w:color w:val="000000"/>
      <w:sz w:val="16"/>
      <w:szCs w:val="16"/>
    </w:rPr>
  </w:style>
  <w:style w:type="table" w:styleId="TableGrid">
    <w:name w:val="Table Grid"/>
    <w:basedOn w:val="TableNormal"/>
    <w:uiPriority w:val="39"/>
    <w:rsid w:val="00AA6386"/>
    <w:pPr>
      <w:spacing w:after="0" w:line="240" w:lineRule="auto"/>
    </w:pPr>
    <w:rPr>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AA6386"/>
    <w:pPr>
      <w:tabs>
        <w:tab w:val="center" w:pos="4680"/>
        <w:tab w:val="right" w:pos="9360"/>
      </w:tabs>
      <w:spacing w:after="0" w:line="240" w:lineRule="auto"/>
    </w:pPr>
    <w:rPr>
      <w:kern w:val="2"/>
      <w:sz w:val="24"/>
      <w:szCs w:val="24"/>
      <w:lang w:val="en-US"/>
      <w14:ligatures w14:val="standardContextual"/>
    </w:rPr>
  </w:style>
  <w:style w:type="character" w:customStyle="1" w:styleId="FooterChar">
    <w:name w:val="Footer Char"/>
    <w:basedOn w:val="DefaultParagraphFont"/>
    <w:link w:val="Footer"/>
    <w:uiPriority w:val="99"/>
    <w:rsid w:val="00AA6386"/>
    <w:rPr>
      <w:kern w:val="2"/>
      <w:sz w:val="24"/>
      <w:szCs w:val="24"/>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Sudharsan B</dc:creator>
  <cp:keywords/>
  <dc:description/>
  <cp:lastModifiedBy>Sudharsan B</cp:lastModifiedBy>
  <cp:revision>1</cp:revision>
  <dcterms:created xsi:type="dcterms:W3CDTF">2026-09-24T14:10:00Z</dcterms:created>
  <dcterms:modified xsi:type="dcterms:W3CDTF">2026-09-24T14:24:00Z</dcterms:modified>
</cp:coreProperties>
</file>