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4076B" w14:textId="0439693F" w:rsidR="00397B08" w:rsidRDefault="00397B08" w:rsidP="00397B08">
      <w:pPr>
        <w:spacing w:line="480" w:lineRule="auto"/>
      </w:pPr>
      <w:bookmarkStart w:id="0" w:name="SM2"/>
      <w:bookmarkStart w:id="1" w:name="SM1"/>
      <w:r>
        <w:rPr>
          <w:b/>
        </w:rPr>
        <w:t>Supplemental Material</w:t>
      </w:r>
      <w:bookmarkEnd w:id="0"/>
      <w:r>
        <w:t xml:space="preserve"> </w:t>
      </w:r>
      <w:bookmarkEnd w:id="1"/>
      <w:r>
        <w:t>– Additional data management details.</w:t>
      </w:r>
    </w:p>
    <w:p w14:paraId="555D47A5" w14:textId="77777777" w:rsidR="00397B08" w:rsidRPr="00F23D75" w:rsidRDefault="00397B08" w:rsidP="00397B08">
      <w:pPr>
        <w:spacing w:line="480" w:lineRule="auto"/>
      </w:pPr>
      <w:r>
        <w:t xml:space="preserve">We performed all data management and analysis in </w:t>
      </w:r>
      <w:r w:rsidRPr="00D46A6E">
        <w:t>the R statistical computing environment</w:t>
      </w:r>
      <w:r>
        <w:t xml:space="preserve"> </w:t>
      </w:r>
      <w:r>
        <w:fldChar w:fldCharType="begin"/>
      </w:r>
      <w:r>
        <w:instrText xml:space="preserve"> ADDIN ZOTERO_ITEM CSL_CITATION {"citationID":"PVvRDtpl","properties":{"formattedCitation":"(R Core Team, 2021)","plainCitation":"(R Core Team, 2021)","noteIndex":0},"citationItems":[{"id":34,"uris":["http://zotero.org/users/local/rsH5IVEM/items/JRMZAZE6"],"itemData":{"id":34,"type":"webpage","title":"R: A language and environment for statistical computing. R Foundation for Statistical Computing","URL":"https://www.r-project.org/","author":[{"family":"R Core Team","given":""}],"accessed":{"date-parts":[["2023",1,9]]},"issued":{"date-parts":[["2021"]]}}}],"schema":"https://github.com/citation-style-language/schema/raw/master/csl-citation.json"} </w:instrText>
      </w:r>
      <w:r>
        <w:fldChar w:fldCharType="separate"/>
      </w:r>
      <w:r w:rsidRPr="00CE457A">
        <w:rPr>
          <w:rFonts w:ascii="Calibri" w:hAnsi="Calibri" w:cs="Calibri"/>
        </w:rPr>
        <w:t>(R Core Team, 2021)</w:t>
      </w:r>
      <w:r>
        <w:fldChar w:fldCharType="end"/>
      </w:r>
      <w:r>
        <w:t>.</w:t>
      </w:r>
      <w:r>
        <w:rPr>
          <w:i/>
        </w:rPr>
        <w:t xml:space="preserve"> </w:t>
      </w:r>
    </w:p>
    <w:p w14:paraId="7692727C" w14:textId="77777777" w:rsidR="00397B08" w:rsidRDefault="00397B08" w:rsidP="00397B08">
      <w:pPr>
        <w:spacing w:line="480" w:lineRule="auto"/>
      </w:pPr>
      <w:r>
        <w:t xml:space="preserve">The BC Physical Address Geocoder matches address strings to either a building unit, building overall, block face, street, city or town, or province. The resulting coordinates can be derived from sources with varying degrees of positional accuracy, such as satellite imagery with </w:t>
      </w:r>
      <w:r>
        <w:rPr>
          <w:rFonts w:cstheme="minorHAnsi"/>
        </w:rPr>
        <w:t>≤</w:t>
      </w:r>
      <w:r>
        <w:t xml:space="preserve"> 1 metre resolution, property boundary polygons, or interpolation from a block face address range. If the resulting coordinates did not match a building with the positional accuracy of at least a property boundary, we considered geocoding to have failed and instead geocoded the postal code, if present.</w:t>
      </w:r>
    </w:p>
    <w:p w14:paraId="6B3EEE50" w14:textId="24DA17FA" w:rsidR="00397B08" w:rsidRPr="005468F4" w:rsidRDefault="00397B08" w:rsidP="00397B08">
      <w:pPr>
        <w:spacing w:line="480" w:lineRule="auto"/>
        <w:rPr>
          <w:lang w:val="en-US"/>
        </w:rPr>
      </w:pPr>
      <w:r>
        <w:t xml:space="preserve">To donut </w:t>
      </w:r>
      <w:proofErr w:type="spellStart"/>
      <w:r>
        <w:t>geomask</w:t>
      </w:r>
      <w:proofErr w:type="spellEnd"/>
      <w:r>
        <w:t xml:space="preserve"> the geocoded coordinates, we calculated the private dwelling density from each coordinates’ underlying </w:t>
      </w:r>
      <w:r w:rsidRPr="00881F7A">
        <w:t>2021</w:t>
      </w:r>
      <w:r w:rsidRPr="0011001A">
        <w:rPr>
          <w:color w:val="FF0000"/>
        </w:rPr>
        <w:t xml:space="preserve"> </w:t>
      </w:r>
      <w:r>
        <w:t xml:space="preserve">census dissemination block. If this was zero, we used the dissemination area. We followed an organizational policy to define the inner and outer donut radii as two and five times the square root of the inverse private dwelling density. </w:t>
      </w:r>
      <w:r w:rsidRPr="003C0CDB">
        <w:t xml:space="preserve">We examined the anonymization effectiveness of these parameters via </w:t>
      </w:r>
      <w:r w:rsidRPr="003C0CDB">
        <w:rPr>
          <w:i/>
        </w:rPr>
        <w:t>k</w:t>
      </w:r>
      <w:r w:rsidRPr="003C0CDB">
        <w:t xml:space="preserve">-anonymity, where </w:t>
      </w:r>
      <w:r w:rsidRPr="003C0CDB">
        <w:rPr>
          <w:i/>
        </w:rPr>
        <w:t>k</w:t>
      </w:r>
      <w:r w:rsidRPr="003C0CDB">
        <w:t xml:space="preserve"> is the estimated number of private dwellings in the </w:t>
      </w:r>
      <w:proofErr w:type="spellStart"/>
      <w:r w:rsidRPr="003C0CDB">
        <w:t>geomasking</w:t>
      </w:r>
      <w:proofErr w:type="spellEnd"/>
      <w:r w:rsidRPr="003C0CDB">
        <w:t xml:space="preserve"> area </w:t>
      </w:r>
      <w:r w:rsidRPr="003C0CDB">
        <w:fldChar w:fldCharType="begin"/>
      </w:r>
      <w:r>
        <w:instrText xml:space="preserve"> ADDIN ZOTERO_ITEM CSL_CITATION {"citationID":"FagHLzO8","properties":{"formattedCitation":"(Sweeney, 2002)","plainCitation":"(Sweeney, 2002)","noteIndex":0},"citationItems":[{"id":45,"uris":["http://zotero.org/users/local/rsH5IVEM/items/ZKYZI85E"],"itemData":{"id":45,"type":"article-journal","abstract":"Consider a data holder, such as a hospital or a bank, that has a privately held collection of person-specific, field structured data. Suppose the data holder wants to share a version of the data with researchers. How can a data holder release a version of its private data with scientific guarantees that the individuals who are the subjects of the data cannot be re-identified while the data remain practically useful? The solution provided in this paper includes a formal protection model named k-anonymity and a set of accompanying policies for deployment. A release provides k-anonymity protection if the information for each person contained in the release cannot be distinguished from at least k-1 individuals whose information also appears in the release. This paper also examines re-identification attacks that can be realized on releases that adhere to kanonymity unless accompanying policies are respected. The k-anonymity protection model is important because it forms the basis on which the real-world systems known as Datafly, µ-Argus and k-Similar provide guarantees of privacy protection.","container-title":"International Journal of Uncertainty, Fuzziness and Knowledge-Based Systems","DOI":"10.1142/S0218488502001648","ISSN":"0218-4885, 1793-6411","issue":"05","journalAbbreviation":"Int. J. Unc. Fuzz. Knowl. Based Syst.","language":"en","page":"557-570","source":"DOI.org (Crossref)","title":"K-Anonymity: A Model for Protecting Privacy","title-short":"k-ANONYMITY","volume":"10","author":[{"family":"Sweeney","given":"Latanya"}],"issued":{"date-parts":[["2002",10]]}}}],"schema":"https://github.com/citation-style-language/schema/raw/master/csl-citation.json"} </w:instrText>
      </w:r>
      <w:r w:rsidRPr="003C0CDB">
        <w:fldChar w:fldCharType="separate"/>
      </w:r>
      <w:r w:rsidRPr="00CE457A">
        <w:rPr>
          <w:rFonts w:ascii="Calibri" w:hAnsi="Calibri" w:cs="Calibri"/>
        </w:rPr>
        <w:t>(Sweeney, 2002)</w:t>
      </w:r>
      <w:r w:rsidRPr="003C0CDB">
        <w:fldChar w:fldCharType="end"/>
      </w:r>
      <w:r w:rsidRPr="003C0CDB">
        <w:t xml:space="preserve">. To calculate a measurement’s </w:t>
      </w:r>
      <w:r w:rsidRPr="003C0CDB">
        <w:rPr>
          <w:i/>
        </w:rPr>
        <w:t>k</w:t>
      </w:r>
      <w:r w:rsidRPr="003C0CDB">
        <w:t xml:space="preserve">-anonymity score, we summed the private dwelling counts from all 2021 census dissemination blocks that had any polygon overlap with the </w:t>
      </w:r>
      <w:proofErr w:type="spellStart"/>
      <w:r w:rsidRPr="003C0CDB">
        <w:t>geomasking</w:t>
      </w:r>
      <w:proofErr w:type="spellEnd"/>
      <w:r w:rsidRPr="003C0CDB">
        <w:t xml:space="preserve"> donut. This provided an unweighted </w:t>
      </w:r>
      <w:r w:rsidRPr="003C0CDB">
        <w:rPr>
          <w:i/>
        </w:rPr>
        <w:t>k</w:t>
      </w:r>
      <w:r w:rsidRPr="003C0CDB">
        <w:t xml:space="preserve">-anonymity score. For a weighted </w:t>
      </w:r>
      <w:r w:rsidRPr="003C0CDB">
        <w:rPr>
          <w:i/>
        </w:rPr>
        <w:t>k</w:t>
      </w:r>
      <w:r w:rsidRPr="003C0CDB">
        <w:t xml:space="preserve">-anonymity score, we scaled the private dwelling count to the proportion of area overlap with the </w:t>
      </w:r>
      <w:proofErr w:type="spellStart"/>
      <w:r w:rsidRPr="003C0CDB">
        <w:t>geomasking</w:t>
      </w:r>
      <w:proofErr w:type="spellEnd"/>
      <w:r w:rsidRPr="003C0CDB">
        <w:t xml:space="preserve"> donut, then summed the scaled values. </w:t>
      </w:r>
      <w:r w:rsidRPr="001C4043">
        <w:rPr>
          <w:lang w:val="en-US"/>
        </w:rPr>
        <w:t xml:space="preserve">Among measurements with retained anonymized coordinates, the median weighted private dwelling </w:t>
      </w:r>
      <w:r w:rsidRPr="001C4043">
        <w:rPr>
          <w:i/>
          <w:lang w:val="en-US"/>
        </w:rPr>
        <w:t>k</w:t>
      </w:r>
      <w:r>
        <w:rPr>
          <w:lang w:val="en-US"/>
        </w:rPr>
        <w:t>-anonymity score was 63</w:t>
      </w:r>
      <w:r w:rsidRPr="001C4043">
        <w:rPr>
          <w:lang w:val="en-US"/>
        </w:rPr>
        <w:t xml:space="preserve"> (</w:t>
      </w:r>
      <w:r>
        <w:rPr>
          <w:lang w:val="en-US"/>
        </w:rPr>
        <w:t>99</w:t>
      </w:r>
      <w:r w:rsidRPr="00BA7BB6">
        <w:rPr>
          <w:vertAlign w:val="superscript"/>
          <w:lang w:val="en-US"/>
        </w:rPr>
        <w:t>th</w:t>
      </w:r>
      <w:r>
        <w:rPr>
          <w:lang w:val="en-US"/>
        </w:rPr>
        <w:t xml:space="preserve"> percentile range: 6 – 1361</w:t>
      </w:r>
      <w:r w:rsidRPr="001C4043">
        <w:rPr>
          <w:lang w:val="en-US"/>
        </w:rPr>
        <w:t xml:space="preserve">). Low weighted </w:t>
      </w:r>
      <w:r w:rsidRPr="001C4043">
        <w:rPr>
          <w:i/>
          <w:lang w:val="en-US"/>
        </w:rPr>
        <w:t>k</w:t>
      </w:r>
      <w:r w:rsidRPr="001C4043">
        <w:rPr>
          <w:lang w:val="en-US"/>
        </w:rPr>
        <w:t xml:space="preserve">-anonymity scores were likely due to area overlap scaling. </w:t>
      </w:r>
      <w:r>
        <w:rPr>
          <w:lang w:val="en-US"/>
        </w:rPr>
        <w:t xml:space="preserve">95% of measurements with </w:t>
      </w:r>
      <w:r w:rsidRPr="001C4043">
        <w:rPr>
          <w:lang w:val="en-US"/>
        </w:rPr>
        <w:t xml:space="preserve">a below median weighted </w:t>
      </w:r>
      <w:r w:rsidRPr="001C4043">
        <w:rPr>
          <w:i/>
          <w:lang w:val="en-US"/>
        </w:rPr>
        <w:t>k</w:t>
      </w:r>
      <w:r w:rsidRPr="001C4043">
        <w:rPr>
          <w:lang w:val="en-US"/>
        </w:rPr>
        <w:t>-anonymity score</w:t>
      </w:r>
      <w:r>
        <w:rPr>
          <w:lang w:val="en-US"/>
        </w:rPr>
        <w:t xml:space="preserve"> had an unweighted score of 100 or more and a</w:t>
      </w:r>
      <w:r w:rsidRPr="001C4043">
        <w:rPr>
          <w:lang w:val="en-US"/>
        </w:rPr>
        <w:t xml:space="preserve">ll but 3 had an unweighted </w:t>
      </w:r>
      <w:r w:rsidRPr="001C4043">
        <w:rPr>
          <w:i/>
          <w:lang w:val="en-US"/>
        </w:rPr>
        <w:t>k</w:t>
      </w:r>
      <w:r w:rsidRPr="001C4043">
        <w:rPr>
          <w:lang w:val="en-US"/>
        </w:rPr>
        <w:t xml:space="preserve">-anonymity score of 16 or more. These 3 outlier measurements had small jittering </w:t>
      </w:r>
      <w:r w:rsidRPr="001C4043">
        <w:rPr>
          <w:lang w:val="en-US"/>
        </w:rPr>
        <w:lastRenderedPageBreak/>
        <w:t>donuts and were geocoded to the coast, meaning their jittering donut was further clipped to the provincial coastal boundary.</w:t>
      </w:r>
      <w:r>
        <w:rPr>
          <w:lang w:val="en-US"/>
        </w:rPr>
        <w:t xml:space="preserve"> This suggests that the created </w:t>
      </w:r>
      <w:proofErr w:type="spellStart"/>
      <w:r>
        <w:rPr>
          <w:lang w:val="en-US"/>
        </w:rPr>
        <w:t>geomasking</w:t>
      </w:r>
      <w:proofErr w:type="spellEnd"/>
      <w:r>
        <w:rPr>
          <w:lang w:val="en-US"/>
        </w:rPr>
        <w:t xml:space="preserve"> donuts included a sufficient number of other private dwellings to reasonably anonymize the location of the original dwelling.</w:t>
      </w:r>
    </w:p>
    <w:p w14:paraId="68496939" w14:textId="77777777" w:rsidR="00397B08" w:rsidRDefault="00397B08" w:rsidP="00397B08">
      <w:pPr>
        <w:spacing w:line="480" w:lineRule="auto"/>
      </w:pPr>
      <w:r w:rsidRPr="006C36A7">
        <w:t xml:space="preserve">Some rural postal codes coordinates are central to a very large delivery area. Inherently, these points have too much spatial error to be reliably used as points. </w:t>
      </w:r>
      <w:r>
        <w:t>We took a more conservative approach and did not retain coordinates values for any measurements with geocoded coordinates that fe</w:t>
      </w:r>
      <w:r w:rsidRPr="006C36A7">
        <w:t>ll outside of a 1 km buffer of the provincial ecumene (i.e., inhabited land area). The provincial ecumene used considers census, ge</w:t>
      </w:r>
      <w:r>
        <w:t xml:space="preserve">ographic, and land use data </w:t>
      </w:r>
      <w:r>
        <w:fldChar w:fldCharType="begin"/>
      </w:r>
      <w:r>
        <w:instrText xml:space="preserve"> ADDIN ZOTERO_ITEM CSL_CITATION {"citationID":"b4rA9mhq","properties":{"formattedCitation":"(Smith, 2011)","plainCitation":"(Smith, 2011)","noteIndex":0},"citationItems":[{"id":27,"uris":["http://zotero.org/users/local/rsH5IVEM/items/CX55RC7Q"],"itemData":{"id":27,"type":"webpage","title":"Mapping the population ecumene of British Columbia: A multilevel binary dasymetric GIS methodology | IRMACS Thematic Year 2011","URL":"http://thematic.irmacs.sfu.ca/presentations/111/mapping-population-ecumene-british-columbia-multilevel-binary-dasymetric-gis-metho","author":[{"family":"Smith","given":"Anthony"}],"accessed":{"date-parts":[["2022",12,22]]},"issued":{"date-parts":[["2011"]]}}}],"schema":"https://github.com/citation-style-language/schema/raw/master/csl-citation.json"} </w:instrText>
      </w:r>
      <w:r>
        <w:fldChar w:fldCharType="separate"/>
      </w:r>
      <w:r w:rsidRPr="00CE457A">
        <w:rPr>
          <w:rFonts w:ascii="Calibri" w:hAnsi="Calibri" w:cs="Calibri"/>
        </w:rPr>
        <w:t>(Smith, 2011)</w:t>
      </w:r>
      <w:r>
        <w:fldChar w:fldCharType="end"/>
      </w:r>
      <w:r w:rsidRPr="006C36A7">
        <w:t>. The 1 km buffer was chosen as it covers most within-city inhabitable areas such as city parks.</w:t>
      </w:r>
    </w:p>
    <w:p w14:paraId="63569AC7" w14:textId="77777777" w:rsidR="00397B08" w:rsidRDefault="00397B08" w:rsidP="00397B08">
      <w:pPr>
        <w:spacing w:line="480" w:lineRule="auto"/>
      </w:pPr>
      <w:r>
        <w:rPr>
          <w:bCs/>
        </w:rPr>
        <w:t xml:space="preserve">For measurements with solely city names, we assumed they fell within the polygon geography of Statistics Canada Population Centres. For these and FSAs, we mapped them to other boundary geographies they had at least 99% population weighted area overlap with. </w:t>
      </w:r>
    </w:p>
    <w:p w14:paraId="0C7CB3CA" w14:textId="77777777" w:rsidR="00397B08" w:rsidRDefault="00397B08" w:rsidP="00397B08">
      <w:pPr>
        <w:spacing w:line="480" w:lineRule="auto"/>
      </w:pPr>
      <w:r>
        <w:t xml:space="preserve">Some source data had explicit indication of multiple measurements within one building (e.g., a measurement done pre- and post-mitigation in a home). When not available, we considered measurements with matching geocoded address string coordinates as measurements within the same building. We assigned same building measurements a numeric building ID value and gave them the same </w:t>
      </w:r>
      <w:proofErr w:type="spellStart"/>
      <w:r>
        <w:t>geomasked</w:t>
      </w:r>
      <w:proofErr w:type="spellEnd"/>
      <w:r>
        <w:t xml:space="preserve"> coordinates. </w:t>
      </w:r>
    </w:p>
    <w:p w14:paraId="270A0AA6" w14:textId="77777777" w:rsidR="00397B08" w:rsidRPr="00E10F96" w:rsidRDefault="00397B08" w:rsidP="00397B08">
      <w:pPr>
        <w:spacing w:line="480" w:lineRule="auto"/>
        <w:rPr>
          <w:bCs/>
        </w:rPr>
      </w:pPr>
      <w:r>
        <w:t xml:space="preserve">We removed all suspected duplicate measurements based on detector serial number, testing dates and location, and the result concentration value. </w:t>
      </w:r>
    </w:p>
    <w:p w14:paraId="474759F8" w14:textId="2B455D74" w:rsidR="00397B08" w:rsidRDefault="00397B08" w:rsidP="00397B08">
      <w:pPr>
        <w:spacing w:line="480" w:lineRule="auto"/>
      </w:pPr>
      <w:r>
        <w:t>We report summary statistics with one measurement per building, on the lowest floor in a pre-mitigated state. If there was no explicit indication of mitigation status in the source data, we used the earliest higher measurement value. If more than one measurement still remained, we choose the lowest testing floor value via this stepwise procedure: 1)</w:t>
      </w:r>
      <w:r w:rsidRPr="00A471E1">
        <w:t xml:space="preserve"> </w:t>
      </w:r>
      <w:r>
        <w:t>i</w:t>
      </w:r>
      <w:r w:rsidRPr="00A471E1">
        <w:t xml:space="preserve">f all </w:t>
      </w:r>
      <w:r>
        <w:t>measurements</w:t>
      </w:r>
      <w:r w:rsidRPr="00A471E1">
        <w:t xml:space="preserve"> </w:t>
      </w:r>
      <w:r>
        <w:t xml:space="preserve">were taken on </w:t>
      </w:r>
      <w:r w:rsidRPr="00A471E1">
        <w:t>unknown floor</w:t>
      </w:r>
      <w:r>
        <w:t>s</w:t>
      </w:r>
      <w:r w:rsidRPr="00A471E1">
        <w:t xml:space="preserve">, </w:t>
      </w:r>
      <w:r>
        <w:t xml:space="preserve">select </w:t>
      </w:r>
      <w:r w:rsidRPr="00A471E1">
        <w:t xml:space="preserve">one </w:t>
      </w:r>
      <w:r w:rsidRPr="00A471E1">
        <w:lastRenderedPageBreak/>
        <w:t>at random</w:t>
      </w:r>
      <w:r>
        <w:t>; 2) if measurements were taken on an unknown floor and main or upper floors, select one at random; 3) if measurements were taken on an unknown floor and lowest floor, crawl space, or basement, use one value from the lowest floor, crawl space or basement measurement in this order; and 4) o</w:t>
      </w:r>
      <w:r w:rsidRPr="004F1F84">
        <w:t xml:space="preserve">therwise, use one value </w:t>
      </w:r>
      <w:r>
        <w:t xml:space="preserve">with the following hierarchy: </w:t>
      </w:r>
      <w:r w:rsidRPr="00CA7A1B">
        <w:t xml:space="preserve">lowest floor, crawl space, basement, main floor, </w:t>
      </w:r>
      <w:r>
        <w:t xml:space="preserve">and then </w:t>
      </w:r>
      <w:r w:rsidRPr="00CA7A1B">
        <w:t>upper floor</w:t>
      </w:r>
      <w:r>
        <w:t xml:space="preserve">. </w:t>
      </w:r>
      <w:r w:rsidRPr="00BE51AC">
        <w:t>The "Main Floor" is the ground level or first floor of the building, not including a basement or crawl space. The "Upper Floor" is any floor above the Main Floor. The "Lowest Floor" is if the specific floor level i</w:t>
      </w:r>
      <w:r>
        <w:t>s not indicated however there was</w:t>
      </w:r>
      <w:r w:rsidRPr="00BE51AC">
        <w:t xml:space="preserve"> explicit mention that the test occurred in the lowest floor of the building.</w:t>
      </w:r>
    </w:p>
    <w:p w14:paraId="1F1F085B" w14:textId="20F785A1" w:rsidR="00532B69" w:rsidRDefault="00532B69" w:rsidP="00397B08">
      <w:pPr>
        <w:spacing w:line="480" w:lineRule="auto"/>
      </w:pPr>
    </w:p>
    <w:p w14:paraId="52CE3838" w14:textId="4723A153" w:rsidR="00532B69" w:rsidRPr="00532B69" w:rsidRDefault="00532B69" w:rsidP="00397B08">
      <w:pPr>
        <w:spacing w:line="480" w:lineRule="auto"/>
        <w:rPr>
          <w:b/>
        </w:rPr>
      </w:pPr>
      <w:r w:rsidRPr="00532B69">
        <w:rPr>
          <w:b/>
        </w:rPr>
        <w:t>REFERENCES</w:t>
      </w:r>
    </w:p>
    <w:p w14:paraId="7E78D423" w14:textId="20B85803" w:rsidR="00532B69" w:rsidRDefault="00532B69" w:rsidP="00532B69">
      <w:pPr>
        <w:pStyle w:val="Bibliography"/>
        <w:spacing w:line="480" w:lineRule="auto"/>
        <w:rPr>
          <w:rFonts w:ascii="Calibri" w:hAnsi="Calibri" w:cs="Calibri"/>
        </w:rPr>
      </w:pPr>
      <w:r w:rsidRPr="00A12793">
        <w:rPr>
          <w:rFonts w:ascii="Calibri" w:hAnsi="Calibri" w:cs="Calibri"/>
        </w:rPr>
        <w:t xml:space="preserve">R Core Team. (2021). </w:t>
      </w:r>
      <w:r w:rsidRPr="00A12793">
        <w:rPr>
          <w:rFonts w:ascii="Calibri" w:hAnsi="Calibri" w:cs="Calibri"/>
          <w:i/>
          <w:iCs/>
        </w:rPr>
        <w:t>R: A language and environment for statistical computing. R Foundation for Statistical Computing</w:t>
      </w:r>
      <w:r w:rsidRPr="00A12793">
        <w:rPr>
          <w:rFonts w:ascii="Calibri" w:hAnsi="Calibri" w:cs="Calibri"/>
        </w:rPr>
        <w:t xml:space="preserve">. </w:t>
      </w:r>
      <w:hyperlink r:id="rId7" w:history="1">
        <w:r w:rsidR="009C6ECC" w:rsidRPr="00083591">
          <w:rPr>
            <w:rStyle w:val="Hyperlink"/>
            <w:rFonts w:ascii="Calibri" w:hAnsi="Calibri" w:cs="Calibri"/>
          </w:rPr>
          <w:t>https://www.r-project.org/</w:t>
        </w:r>
      </w:hyperlink>
    </w:p>
    <w:p w14:paraId="0DC7C259" w14:textId="77777777" w:rsidR="00A54EF0" w:rsidRDefault="00A54EF0" w:rsidP="009C6ECC">
      <w:pPr>
        <w:pStyle w:val="Bibliography"/>
        <w:spacing w:line="480" w:lineRule="auto"/>
        <w:rPr>
          <w:rFonts w:ascii="Calibri" w:hAnsi="Calibri" w:cs="Calibri"/>
        </w:rPr>
      </w:pPr>
      <w:r w:rsidRPr="00A12793">
        <w:rPr>
          <w:rFonts w:ascii="Calibri" w:hAnsi="Calibri" w:cs="Calibri"/>
        </w:rPr>
        <w:t xml:space="preserve">Smith, A. (2011). </w:t>
      </w:r>
      <w:r w:rsidRPr="00A12793">
        <w:rPr>
          <w:rFonts w:ascii="Calibri" w:hAnsi="Calibri" w:cs="Calibri"/>
          <w:i/>
          <w:iCs/>
        </w:rPr>
        <w:t xml:space="preserve">Mapping the population ecumene of British Columbia: A multilevel binary </w:t>
      </w:r>
      <w:proofErr w:type="spellStart"/>
      <w:r w:rsidRPr="00A12793">
        <w:rPr>
          <w:rFonts w:ascii="Calibri" w:hAnsi="Calibri" w:cs="Calibri"/>
          <w:i/>
          <w:iCs/>
        </w:rPr>
        <w:t>dasymetric</w:t>
      </w:r>
      <w:proofErr w:type="spellEnd"/>
      <w:r w:rsidRPr="00A12793">
        <w:rPr>
          <w:rFonts w:ascii="Calibri" w:hAnsi="Calibri" w:cs="Calibri"/>
          <w:i/>
          <w:iCs/>
        </w:rPr>
        <w:t xml:space="preserve"> GIS methodology | IRMACS Thematic Year 2011</w:t>
      </w:r>
      <w:r w:rsidRPr="00A12793">
        <w:rPr>
          <w:rFonts w:ascii="Calibri" w:hAnsi="Calibri" w:cs="Calibri"/>
        </w:rPr>
        <w:t xml:space="preserve">. </w:t>
      </w:r>
    </w:p>
    <w:p w14:paraId="5B1527B5" w14:textId="528685CC" w:rsidR="009C6ECC" w:rsidRDefault="009C6ECC" w:rsidP="009C6ECC">
      <w:pPr>
        <w:pStyle w:val="Bibliography"/>
        <w:spacing w:line="480" w:lineRule="auto"/>
        <w:rPr>
          <w:rFonts w:ascii="Calibri" w:hAnsi="Calibri" w:cs="Calibri"/>
        </w:rPr>
      </w:pPr>
      <w:bookmarkStart w:id="2" w:name="_GoBack"/>
      <w:bookmarkEnd w:id="2"/>
      <w:r w:rsidRPr="00A12793">
        <w:rPr>
          <w:rFonts w:ascii="Calibri" w:hAnsi="Calibri" w:cs="Calibri"/>
        </w:rPr>
        <w:t xml:space="preserve">Sweeney, L. (2002). K-Anonymity: A Model for Protecting Privacy. </w:t>
      </w:r>
      <w:r w:rsidRPr="00A12793">
        <w:rPr>
          <w:rFonts w:ascii="Calibri" w:hAnsi="Calibri" w:cs="Calibri"/>
          <w:i/>
          <w:iCs/>
        </w:rPr>
        <w:t>International Journal of Uncertainty, Fuzziness and Knowledge-Based Systems</w:t>
      </w:r>
      <w:r w:rsidRPr="00A12793">
        <w:rPr>
          <w:rFonts w:ascii="Calibri" w:hAnsi="Calibri" w:cs="Calibri"/>
        </w:rPr>
        <w:t xml:space="preserve">, </w:t>
      </w:r>
      <w:r w:rsidRPr="00A12793">
        <w:rPr>
          <w:rFonts w:ascii="Calibri" w:hAnsi="Calibri" w:cs="Calibri"/>
          <w:i/>
          <w:iCs/>
        </w:rPr>
        <w:t>10</w:t>
      </w:r>
      <w:r w:rsidRPr="00A12793">
        <w:rPr>
          <w:rFonts w:ascii="Calibri" w:hAnsi="Calibri" w:cs="Calibri"/>
        </w:rPr>
        <w:t xml:space="preserve">(05), 557–570. </w:t>
      </w:r>
      <w:hyperlink r:id="rId8" w:history="1">
        <w:r w:rsidR="00A54EF0" w:rsidRPr="00083591">
          <w:rPr>
            <w:rStyle w:val="Hyperlink"/>
            <w:rFonts w:ascii="Calibri" w:hAnsi="Calibri" w:cs="Calibri"/>
          </w:rPr>
          <w:t>https://doi.org/10.1142/S0218488502001648</w:t>
        </w:r>
      </w:hyperlink>
    </w:p>
    <w:p w14:paraId="53CBD8F3" w14:textId="77777777" w:rsidR="00A54EF0" w:rsidRPr="00A54EF0" w:rsidRDefault="00A54EF0" w:rsidP="00A54EF0"/>
    <w:p w14:paraId="6754A348" w14:textId="77777777" w:rsidR="009C6ECC" w:rsidRPr="009C6ECC" w:rsidRDefault="009C6ECC" w:rsidP="009C6ECC"/>
    <w:p w14:paraId="3CF0D71A" w14:textId="77777777" w:rsidR="00532B69" w:rsidRPr="005A1A67" w:rsidRDefault="00532B69" w:rsidP="00397B08">
      <w:pPr>
        <w:spacing w:line="480" w:lineRule="auto"/>
      </w:pPr>
    </w:p>
    <w:p w14:paraId="17536CDE" w14:textId="77777777" w:rsidR="00047756" w:rsidRDefault="00047756"/>
    <w:sectPr w:rsidR="00047756" w:rsidSect="00FA3A96">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08"/>
    <w:rsid w:val="00047756"/>
    <w:rsid w:val="00397B08"/>
    <w:rsid w:val="00532B69"/>
    <w:rsid w:val="007C57CF"/>
    <w:rsid w:val="009C6ECC"/>
    <w:rsid w:val="00A54EF0"/>
    <w:rsid w:val="00FE68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B96F3"/>
  <w15:chartTrackingRefBased/>
  <w15:docId w15:val="{B05AF7DE-FA64-4B01-A2E5-C6251366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7B0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532B69"/>
  </w:style>
  <w:style w:type="character" w:styleId="Hyperlink">
    <w:name w:val="Hyperlink"/>
    <w:basedOn w:val="DefaultParagraphFont"/>
    <w:uiPriority w:val="99"/>
    <w:unhideWhenUsed/>
    <w:rsid w:val="009C6ECC"/>
    <w:rPr>
      <w:color w:val="0563C1" w:themeColor="hyperlink"/>
      <w:u w:val="single"/>
    </w:rPr>
  </w:style>
  <w:style w:type="character" w:styleId="UnresolvedMention">
    <w:name w:val="Unresolved Mention"/>
    <w:basedOn w:val="DefaultParagraphFont"/>
    <w:uiPriority w:val="99"/>
    <w:semiHidden/>
    <w:unhideWhenUsed/>
    <w:rsid w:val="009C6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42/S0218488502001648" TargetMode="External"/><Relationship Id="rId3" Type="http://schemas.openxmlformats.org/officeDocument/2006/relationships/customXml" Target="../customXml/item3.xml"/><Relationship Id="rId7" Type="http://schemas.openxmlformats.org/officeDocument/2006/relationships/hyperlink" Target="https://www.r-projec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FF5F56A4A4C49A30D13811FCAC8B6" ma:contentTypeVersion="13" ma:contentTypeDescription="Create a new document." ma:contentTypeScope="" ma:versionID="340f139beea0b52e6c1efd7994cca561">
  <xsd:schema xmlns:xsd="http://www.w3.org/2001/XMLSchema" xmlns:xs="http://www.w3.org/2001/XMLSchema" xmlns:p="http://schemas.microsoft.com/office/2006/metadata/properties" xmlns:ns3="3522b03c-7507-4e5a-85a7-9120c11c3164" targetNamespace="http://schemas.microsoft.com/office/2006/metadata/properties" ma:root="true" ma:fieldsID="faf0f8f47d9d81f7a576095ced1a7dff" ns3:_="">
    <xsd:import namespace="3522b03c-7507-4e5a-85a7-9120c11c31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22b03c-7507-4e5a-85a7-9120c11c3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AA8D5-2213-4A7C-B882-B1631C29B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22b03c-7507-4e5a-85a7-9120c11c3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43D584-D7E2-438B-815E-C856D8FC9A45}">
  <ds:schemaRefs>
    <ds:schemaRef ds:uri="http://schemas.microsoft.com/sharepoint/v3/contenttype/forms"/>
  </ds:schemaRefs>
</ds:datastoreItem>
</file>

<file path=customXml/itemProps3.xml><?xml version="1.0" encoding="utf-8"?>
<ds:datastoreItem xmlns:ds="http://schemas.openxmlformats.org/officeDocument/2006/customXml" ds:itemID="{22944F61-A131-4255-955B-4BC8999E6D1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dcmitype/"/>
    <ds:schemaRef ds:uri="3522b03c-7507-4e5a-85a7-9120c11c3164"/>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Craven</dc:creator>
  <cp:keywords/>
  <dc:description/>
  <cp:lastModifiedBy>Karen Craven</cp:lastModifiedBy>
  <cp:revision>3</cp:revision>
  <dcterms:created xsi:type="dcterms:W3CDTF">2024-04-26T20:14:00Z</dcterms:created>
  <dcterms:modified xsi:type="dcterms:W3CDTF">2024-04-26T23:14:00Z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0x0101000ADFF5F56A4A4C49A30D13811FCAC8B6</vt:lpwstr>
  </property>
</Properties>
</file>