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36AA" w:rsidRDefault="000236AA" w:rsidP="000236AA">
      <w:pPr>
        <w:spacing w:before="100" w:beforeAutospacing="1" w:after="100" w:afterAutospacing="1" w:line="480" w:lineRule="auto"/>
        <w:jc w:val="center"/>
        <w:rPr>
          <w:rFonts w:ascii="Times New Roman" w:hAnsi="Times New Roman" w:cs="Times New Roman"/>
          <w:b/>
          <w:bCs/>
          <w:sz w:val="24"/>
          <w:szCs w:val="24"/>
        </w:rPr>
      </w:pPr>
      <w:bookmarkStart w:id="0" w:name="_GoBack"/>
      <w:r w:rsidRPr="00476287">
        <w:rPr>
          <w:rFonts w:ascii="Times New Roman" w:hAnsi="Times New Roman" w:cs="Times New Roman"/>
          <w:b/>
          <w:bCs/>
          <w:sz w:val="24"/>
          <w:szCs w:val="24"/>
        </w:rPr>
        <w:t>Supplementary Analyses</w:t>
      </w:r>
      <w:bookmarkEnd w:id="0"/>
    </w:p>
    <w:p w:rsidR="000236AA" w:rsidRPr="00B536D9" w:rsidRDefault="000236AA" w:rsidP="000236AA">
      <w:pPr>
        <w:spacing w:before="100" w:beforeAutospacing="1" w:after="100" w:afterAutospacing="1"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supplementary analyses examine RT data from participants who were excluded from Experiments 1 or </w:t>
      </w:r>
      <w:proofErr w:type="gramStart"/>
      <w:r>
        <w:rPr>
          <w:rFonts w:ascii="Times New Roman" w:hAnsi="Times New Roman" w:cs="Times New Roman"/>
          <w:sz w:val="24"/>
          <w:szCs w:val="24"/>
        </w:rPr>
        <w:t>2</w:t>
      </w:r>
      <w:proofErr w:type="gramEnd"/>
      <w:r>
        <w:rPr>
          <w:rFonts w:ascii="Times New Roman" w:hAnsi="Times New Roman" w:cs="Times New Roman"/>
          <w:sz w:val="24"/>
          <w:szCs w:val="24"/>
        </w:rPr>
        <w:t xml:space="preserve"> due to significantly reduced facilitation and cost effects. Given that most</w:t>
      </w:r>
      <w:r w:rsidRPr="005D7D53">
        <w:rPr>
          <w:rFonts w:ascii="Times New Roman" w:hAnsi="Times New Roman" w:cs="Times New Roman"/>
          <w:sz w:val="24"/>
          <w:szCs w:val="24"/>
        </w:rPr>
        <w:t xml:space="preserve"> studies in this research area ha</w:t>
      </w:r>
      <w:r>
        <w:rPr>
          <w:rFonts w:ascii="Times New Roman" w:hAnsi="Times New Roman" w:cs="Times New Roman"/>
          <w:sz w:val="24"/>
          <w:szCs w:val="24"/>
        </w:rPr>
        <w:t>ve</w:t>
      </w:r>
      <w:r w:rsidRPr="005D7D53">
        <w:rPr>
          <w:rFonts w:ascii="Times New Roman" w:hAnsi="Times New Roman" w:cs="Times New Roman"/>
          <w:sz w:val="24"/>
          <w:szCs w:val="24"/>
        </w:rPr>
        <w:t xml:space="preserve"> suggested that any cueing difference established as a function of autistic traits might be small</w:t>
      </w:r>
      <w:r>
        <w:rPr>
          <w:rFonts w:ascii="Times New Roman" w:hAnsi="Times New Roman" w:cs="Times New Roman"/>
          <w:sz w:val="24"/>
          <w:szCs w:val="24"/>
        </w:rPr>
        <w:t xml:space="preserve">, </w:t>
      </w:r>
      <w:r w:rsidRPr="005D7D53">
        <w:rPr>
          <w:rFonts w:ascii="Times New Roman" w:hAnsi="Times New Roman" w:cs="Times New Roman"/>
          <w:sz w:val="24"/>
          <w:szCs w:val="24"/>
        </w:rPr>
        <w:t>it is important to ensure that individuals are reliably performing the tasks as expected</w:t>
      </w:r>
      <w:r>
        <w:rPr>
          <w:rFonts w:ascii="Times New Roman" w:hAnsi="Times New Roman" w:cs="Times New Roman"/>
          <w:sz w:val="24"/>
          <w:szCs w:val="24"/>
        </w:rPr>
        <w:t xml:space="preserve">. Thus, the rationale for implementing this exclusion criterion stemmed from the need to obtain </w:t>
      </w:r>
      <w:proofErr w:type="gramStart"/>
      <w:r>
        <w:rPr>
          <w:rFonts w:ascii="Times New Roman" w:hAnsi="Times New Roman" w:cs="Times New Roman"/>
          <w:sz w:val="24"/>
          <w:szCs w:val="24"/>
        </w:rPr>
        <w:t>a sample who reliably exhibit</w:t>
      </w:r>
      <w:proofErr w:type="gramEnd"/>
      <w:r>
        <w:rPr>
          <w:rFonts w:ascii="Times New Roman" w:hAnsi="Times New Roman" w:cs="Times New Roman"/>
          <w:sz w:val="24"/>
          <w:szCs w:val="24"/>
        </w:rPr>
        <w:t xml:space="preserve"> the critical phenomena of interest in order to probe the impact of autistic traits. Nevertheless, in the interest of transparency, analyses of cost and facilitation data from participants who were excluded are presented in this supplementary section. </w:t>
      </w:r>
    </w:p>
    <w:p w:rsidR="000236AA" w:rsidRPr="006101A5" w:rsidRDefault="000236AA" w:rsidP="000236AA">
      <w:pPr>
        <w:spacing w:before="100" w:beforeAutospacing="1" w:after="100" w:afterAutospacing="1" w:line="480" w:lineRule="auto"/>
        <w:rPr>
          <w:rFonts w:ascii="Times New Roman" w:hAnsi="Times New Roman" w:cs="Times New Roman"/>
          <w:b/>
          <w:bCs/>
          <w:sz w:val="24"/>
          <w:szCs w:val="24"/>
        </w:rPr>
      </w:pPr>
      <w:r w:rsidRPr="006101A5">
        <w:rPr>
          <w:rFonts w:ascii="Times New Roman" w:hAnsi="Times New Roman" w:cs="Times New Roman"/>
          <w:b/>
          <w:bCs/>
          <w:sz w:val="24"/>
          <w:szCs w:val="24"/>
        </w:rPr>
        <w:t>Experiment 1</w:t>
      </w:r>
    </w:p>
    <w:p w:rsidR="000236AA" w:rsidRPr="00476287" w:rsidRDefault="000236AA" w:rsidP="000236AA">
      <w:pPr>
        <w:spacing w:before="100" w:beforeAutospacing="1" w:after="100" w:afterAutospacing="1" w:line="480" w:lineRule="auto"/>
        <w:ind w:firstLine="720"/>
        <w:rPr>
          <w:rFonts w:ascii="Times New Roman" w:hAnsi="Times New Roman" w:cs="Times New Roman"/>
          <w:sz w:val="24"/>
          <w:szCs w:val="24"/>
        </w:rPr>
      </w:pPr>
      <w:r w:rsidRPr="00476287">
        <w:rPr>
          <w:rFonts w:ascii="Times New Roman" w:hAnsi="Times New Roman" w:cs="Times New Roman"/>
          <w:sz w:val="24"/>
          <w:szCs w:val="24"/>
        </w:rPr>
        <w:t>Of the 23 participants who were excluded from the main analyses, 12 (</w:t>
      </w:r>
      <w:proofErr w:type="gramStart"/>
      <w:r w:rsidRPr="00476287">
        <w:rPr>
          <w:rFonts w:ascii="Times New Roman" w:hAnsi="Times New Roman" w:cs="Times New Roman"/>
          <w:sz w:val="24"/>
          <w:szCs w:val="24"/>
        </w:rPr>
        <w:t>5</w:t>
      </w:r>
      <w:proofErr w:type="gramEnd"/>
      <w:r w:rsidRPr="00476287">
        <w:rPr>
          <w:rFonts w:ascii="Times New Roman" w:hAnsi="Times New Roman" w:cs="Times New Roman"/>
          <w:sz w:val="24"/>
          <w:szCs w:val="24"/>
        </w:rPr>
        <w:t xml:space="preserve"> High-ALT group; 7 Low-ALT group) had performance accuracy that was 2.5 SDs </w:t>
      </w:r>
      <w:r>
        <w:rPr>
          <w:rFonts w:ascii="Times New Roman" w:hAnsi="Times New Roman" w:cs="Times New Roman"/>
          <w:sz w:val="24"/>
          <w:szCs w:val="24"/>
        </w:rPr>
        <w:t>below</w:t>
      </w:r>
      <w:r w:rsidRPr="00476287">
        <w:rPr>
          <w:rFonts w:ascii="Times New Roman" w:hAnsi="Times New Roman" w:cs="Times New Roman"/>
          <w:sz w:val="24"/>
          <w:szCs w:val="24"/>
        </w:rPr>
        <w:t xml:space="preserve"> their respective overall group mean (76.9%). The other 11 participants (5 High-ALT </w:t>
      </w:r>
      <w:proofErr w:type="gramStart"/>
      <w:r w:rsidRPr="00476287">
        <w:rPr>
          <w:rFonts w:ascii="Times New Roman" w:hAnsi="Times New Roman" w:cs="Times New Roman"/>
          <w:sz w:val="24"/>
          <w:szCs w:val="24"/>
        </w:rPr>
        <w:t>group</w:t>
      </w:r>
      <w:proofErr w:type="gramEnd"/>
      <w:r w:rsidRPr="00476287">
        <w:rPr>
          <w:rFonts w:ascii="Times New Roman" w:hAnsi="Times New Roman" w:cs="Times New Roman"/>
          <w:sz w:val="24"/>
          <w:szCs w:val="24"/>
        </w:rPr>
        <w:t xml:space="preserve"> and 6 Low-ALT group) were excluded as their cost or facilitation </w:t>
      </w:r>
      <w:r>
        <w:rPr>
          <w:rFonts w:ascii="Times New Roman" w:hAnsi="Times New Roman" w:cs="Times New Roman"/>
          <w:sz w:val="24"/>
          <w:szCs w:val="24"/>
        </w:rPr>
        <w:t>effect</w:t>
      </w:r>
      <w:r w:rsidRPr="00476287">
        <w:rPr>
          <w:rFonts w:ascii="Times New Roman" w:hAnsi="Times New Roman" w:cs="Times New Roman"/>
          <w:sz w:val="24"/>
          <w:szCs w:val="24"/>
        </w:rPr>
        <w:t xml:space="preserve"> w</w:t>
      </w:r>
      <w:r>
        <w:rPr>
          <w:rFonts w:ascii="Times New Roman" w:hAnsi="Times New Roman" w:cs="Times New Roman"/>
          <w:sz w:val="24"/>
          <w:szCs w:val="24"/>
        </w:rPr>
        <w:t xml:space="preserve">as </w:t>
      </w:r>
      <w:r w:rsidRPr="00476287">
        <w:rPr>
          <w:rFonts w:ascii="Times New Roman" w:hAnsi="Times New Roman" w:cs="Times New Roman"/>
          <w:sz w:val="24"/>
          <w:szCs w:val="24"/>
        </w:rPr>
        <w:t xml:space="preserve">more than 2.5 SDs </w:t>
      </w:r>
      <w:r>
        <w:rPr>
          <w:rFonts w:ascii="Times New Roman" w:hAnsi="Times New Roman" w:cs="Times New Roman"/>
          <w:sz w:val="24"/>
          <w:szCs w:val="24"/>
        </w:rPr>
        <w:t>below</w:t>
      </w:r>
      <w:r w:rsidRPr="00476287">
        <w:rPr>
          <w:rFonts w:ascii="Times New Roman" w:hAnsi="Times New Roman" w:cs="Times New Roman"/>
          <w:sz w:val="24"/>
          <w:szCs w:val="24"/>
        </w:rPr>
        <w:t xml:space="preserve"> their respective overall group mean. </w:t>
      </w:r>
      <w:r>
        <w:rPr>
          <w:rFonts w:ascii="Times New Roman" w:hAnsi="Times New Roman" w:cs="Times New Roman"/>
          <w:sz w:val="24"/>
          <w:szCs w:val="24"/>
        </w:rPr>
        <w:t>To examine whether these 11 participants performed similarly to those included in the main analyses</w:t>
      </w:r>
      <w:r w:rsidRPr="00476287">
        <w:rPr>
          <w:rFonts w:ascii="Times New Roman" w:hAnsi="Times New Roman" w:cs="Times New Roman"/>
          <w:sz w:val="24"/>
          <w:szCs w:val="24"/>
        </w:rPr>
        <w:t xml:space="preserve">, </w:t>
      </w:r>
      <w:r>
        <w:rPr>
          <w:rFonts w:ascii="Times New Roman" w:hAnsi="Times New Roman" w:cs="Times New Roman"/>
          <w:sz w:val="24"/>
          <w:szCs w:val="24"/>
        </w:rPr>
        <w:t>we looked at cost and facilitation effects as a function of ALT group using identical analyses to those in Experiment 1.</w:t>
      </w:r>
    </w:p>
    <w:p w:rsidR="000236AA" w:rsidRDefault="000236AA" w:rsidP="000236AA">
      <w:pPr>
        <w:spacing w:before="100" w:beforeAutospacing="1" w:after="100" w:afterAutospacing="1"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shown in Figure S1, mean facilitation and cost effects in the High-ALT group were somewhat lower than those in the Low-ALT group. Quantitatively, this pattern of results is similar to that reported in Experiment 1, particularly for cost effects. The data were then submitted to an </w:t>
      </w:r>
      <w:r w:rsidRPr="001819F3">
        <w:rPr>
          <w:rFonts w:ascii="Times New Roman" w:hAnsi="Times New Roman" w:cs="Times New Roman"/>
          <w:sz w:val="24"/>
          <w:szCs w:val="24"/>
        </w:rPr>
        <w:t xml:space="preserve">ALT group </w:t>
      </w:r>
      <w:r>
        <w:rPr>
          <w:rFonts w:ascii="Times New Roman" w:hAnsi="Times New Roman" w:cs="Times New Roman"/>
          <w:sz w:val="24"/>
          <w:szCs w:val="24"/>
        </w:rPr>
        <w:t xml:space="preserve">x </w:t>
      </w:r>
      <w:r w:rsidRPr="001819F3">
        <w:rPr>
          <w:rFonts w:ascii="Times New Roman" w:hAnsi="Times New Roman" w:cs="Times New Roman"/>
          <w:sz w:val="24"/>
          <w:szCs w:val="24"/>
        </w:rPr>
        <w:t>SOA</w:t>
      </w:r>
      <w:r>
        <w:rPr>
          <w:rFonts w:ascii="Times New Roman" w:hAnsi="Times New Roman" w:cs="Times New Roman"/>
          <w:sz w:val="24"/>
          <w:szCs w:val="24"/>
        </w:rPr>
        <w:t xml:space="preserve"> x Cue Influence (facilitation, cost) </w:t>
      </w:r>
      <w:r w:rsidRPr="001819F3">
        <w:rPr>
          <w:rFonts w:ascii="Times New Roman" w:hAnsi="Times New Roman" w:cs="Times New Roman"/>
          <w:sz w:val="24"/>
          <w:szCs w:val="24"/>
        </w:rPr>
        <w:t>mixed-design ANOVA</w:t>
      </w:r>
      <w:r>
        <w:rPr>
          <w:rFonts w:ascii="Times New Roman" w:hAnsi="Times New Roman" w:cs="Times New Roman"/>
          <w:sz w:val="24"/>
          <w:szCs w:val="24"/>
        </w:rPr>
        <w:t xml:space="preserve"> which showed </w:t>
      </w:r>
      <w:r w:rsidRPr="001819F3">
        <w:rPr>
          <w:rFonts w:ascii="Times New Roman" w:hAnsi="Times New Roman" w:cs="Times New Roman"/>
          <w:sz w:val="24"/>
          <w:szCs w:val="24"/>
        </w:rPr>
        <w:t xml:space="preserve">no significant main effects </w:t>
      </w:r>
      <w:r>
        <w:rPr>
          <w:rFonts w:ascii="Times New Roman" w:hAnsi="Times New Roman" w:cs="Times New Roman"/>
          <w:sz w:val="24"/>
          <w:szCs w:val="24"/>
        </w:rPr>
        <w:t xml:space="preserve">or interactions (all </w:t>
      </w:r>
      <w:r w:rsidRPr="001819F3">
        <w:rPr>
          <w:rFonts w:ascii="Times New Roman" w:hAnsi="Times New Roman" w:cs="Times New Roman"/>
          <w:i/>
          <w:sz w:val="24"/>
          <w:szCs w:val="24"/>
        </w:rPr>
        <w:t>F</w:t>
      </w:r>
      <w:r w:rsidRPr="00B3556F">
        <w:rPr>
          <w:rFonts w:ascii="Times New Roman" w:hAnsi="Times New Roman" w:cs="Times New Roman"/>
          <w:iCs/>
          <w:sz w:val="24"/>
          <w:szCs w:val="24"/>
        </w:rPr>
        <w:t>s</w:t>
      </w:r>
      <w:r w:rsidRPr="001819F3">
        <w:rPr>
          <w:rFonts w:ascii="Times New Roman" w:hAnsi="Times New Roman" w:cs="Times New Roman"/>
          <w:sz w:val="24"/>
          <w:szCs w:val="24"/>
        </w:rPr>
        <w:t xml:space="preserve"> </w:t>
      </w:r>
      <w:r>
        <w:rPr>
          <w:rFonts w:ascii="Times New Roman" w:hAnsi="Times New Roman" w:cs="Times New Roman"/>
          <w:sz w:val="24"/>
          <w:szCs w:val="24"/>
        </w:rPr>
        <w:t>&lt; .98</w:t>
      </w:r>
      <w:r w:rsidRPr="001819F3">
        <w:rPr>
          <w:rFonts w:ascii="Times New Roman" w:hAnsi="Times New Roman" w:cs="Times New Roman"/>
          <w:sz w:val="24"/>
          <w:szCs w:val="24"/>
        </w:rPr>
        <w:t xml:space="preserve">, </w:t>
      </w:r>
      <w:r>
        <w:rPr>
          <w:rFonts w:ascii="Times New Roman" w:hAnsi="Times New Roman" w:cs="Times New Roman"/>
          <w:sz w:val="24"/>
          <w:szCs w:val="24"/>
        </w:rPr>
        <w:t xml:space="preserve">all </w:t>
      </w:r>
      <w:proofErr w:type="spellStart"/>
      <w:r w:rsidRPr="001819F3">
        <w:rPr>
          <w:rFonts w:ascii="Times New Roman" w:hAnsi="Times New Roman" w:cs="Times New Roman"/>
          <w:i/>
          <w:sz w:val="24"/>
          <w:szCs w:val="24"/>
        </w:rPr>
        <w:t>p</w:t>
      </w:r>
      <w:r w:rsidRPr="00B3556F">
        <w:rPr>
          <w:rFonts w:ascii="Times New Roman" w:hAnsi="Times New Roman" w:cs="Times New Roman"/>
          <w:iCs/>
          <w:sz w:val="24"/>
          <w:szCs w:val="24"/>
        </w:rPr>
        <w:t>s</w:t>
      </w:r>
      <w:proofErr w:type="spellEnd"/>
      <w:r w:rsidRPr="00B3556F">
        <w:rPr>
          <w:rFonts w:ascii="Times New Roman" w:hAnsi="Times New Roman" w:cs="Times New Roman"/>
          <w:iCs/>
          <w:sz w:val="24"/>
          <w:szCs w:val="24"/>
        </w:rPr>
        <w:t xml:space="preserve"> </w:t>
      </w:r>
      <w:r w:rsidRPr="001819F3">
        <w:rPr>
          <w:rFonts w:ascii="Times New Roman" w:hAnsi="Times New Roman" w:cs="Times New Roman"/>
          <w:sz w:val="24"/>
          <w:szCs w:val="24"/>
        </w:rPr>
        <w:t>&gt; .</w:t>
      </w:r>
      <w:r>
        <w:rPr>
          <w:rFonts w:ascii="Times New Roman" w:hAnsi="Times New Roman" w:cs="Times New Roman"/>
          <w:sz w:val="24"/>
          <w:szCs w:val="24"/>
        </w:rPr>
        <w:t>40</w:t>
      </w:r>
      <w:r w:rsidRPr="001819F3">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all </w:t>
      </w:r>
      <w:r w:rsidRPr="001819F3">
        <w:rPr>
          <w:rFonts w:ascii="Times New Roman" w:hAnsi="Times New Roman" w:cs="Times New Roman"/>
          <w:i/>
          <w:sz w:val="24"/>
          <w:szCs w:val="24"/>
        </w:rPr>
        <w:sym w:font="Symbol" w:char="F068"/>
      </w:r>
      <w:r w:rsidRPr="001819F3">
        <w:rPr>
          <w:rFonts w:ascii="Times New Roman" w:hAnsi="Times New Roman" w:cs="Times New Roman"/>
          <w:i/>
          <w:sz w:val="24"/>
          <w:szCs w:val="24"/>
          <w:vertAlign w:val="superscript"/>
        </w:rPr>
        <w:t>2</w:t>
      </w:r>
      <w:r w:rsidRPr="004D4303">
        <w:rPr>
          <w:rFonts w:ascii="Times New Roman" w:hAnsi="Times New Roman" w:cs="Times New Roman"/>
          <w:iCs/>
          <w:sz w:val="24"/>
          <w:szCs w:val="24"/>
        </w:rPr>
        <w:t>s</w:t>
      </w:r>
      <w:r w:rsidRPr="001819F3">
        <w:rPr>
          <w:rFonts w:ascii="Times New Roman" w:hAnsi="Times New Roman" w:cs="Times New Roman"/>
          <w:i/>
          <w:sz w:val="24"/>
          <w:szCs w:val="24"/>
          <w:vertAlign w:val="superscript"/>
        </w:rPr>
        <w:t xml:space="preserve"> </w:t>
      </w:r>
      <w:r>
        <w:rPr>
          <w:rFonts w:ascii="Times New Roman" w:hAnsi="Times New Roman" w:cs="Times New Roman"/>
          <w:sz w:val="24"/>
          <w:szCs w:val="24"/>
        </w:rPr>
        <w:t>&lt;</w:t>
      </w:r>
      <w:r w:rsidRPr="001819F3">
        <w:rPr>
          <w:rFonts w:ascii="Times New Roman" w:hAnsi="Times New Roman" w:cs="Times New Roman"/>
          <w:sz w:val="24"/>
          <w:szCs w:val="24"/>
        </w:rPr>
        <w:t xml:space="preserve"> .0</w:t>
      </w:r>
      <w:r>
        <w:rPr>
          <w:rFonts w:ascii="Times New Roman" w:hAnsi="Times New Roman" w:cs="Times New Roman"/>
          <w:sz w:val="24"/>
          <w:szCs w:val="24"/>
        </w:rPr>
        <w:t xml:space="preserve">1), likely reflecting the small participant numbers. Overall, it seems there is little compelling evidence that these participants performed differently to those included in the main analysis of Experiment 1. </w:t>
      </w:r>
    </w:p>
    <w:p w:rsidR="000236AA" w:rsidRDefault="000236AA" w:rsidP="000236AA">
      <w:pPr>
        <w:keepNext/>
        <w:spacing w:before="100" w:beforeAutospacing="1" w:after="100" w:afterAutospacing="1"/>
        <w:rPr>
          <w:rFonts w:ascii="Times New Roman" w:hAnsi="Times New Roman" w:cs="Times New Roman"/>
          <w:sz w:val="24"/>
          <w:szCs w:val="24"/>
        </w:rPr>
      </w:pPr>
      <w:r w:rsidRPr="00476287">
        <w:rPr>
          <w:rFonts w:ascii="Times New Roman" w:hAnsi="Times New Roman" w:cs="Times New Roman"/>
          <w:b/>
          <w:sz w:val="24"/>
          <w:szCs w:val="24"/>
        </w:rPr>
        <w:t>Figure S1.</w:t>
      </w:r>
      <w:r>
        <w:rPr>
          <w:rFonts w:ascii="Times New Roman" w:hAnsi="Times New Roman" w:cs="Times New Roman"/>
          <w:bCs/>
          <w:sz w:val="24"/>
          <w:szCs w:val="24"/>
        </w:rPr>
        <w:t xml:space="preserve"> </w:t>
      </w:r>
      <w:r w:rsidRPr="009C2861">
        <w:rPr>
          <w:rFonts w:ascii="Times New Roman" w:hAnsi="Times New Roman" w:cs="Times New Roman"/>
          <w:bCs/>
          <w:sz w:val="24"/>
          <w:szCs w:val="24"/>
        </w:rPr>
        <w:t xml:space="preserve">Cost and facilitation differences between High- and Low-ALT groups </w:t>
      </w:r>
      <w:r>
        <w:rPr>
          <w:rFonts w:ascii="Times New Roman" w:hAnsi="Times New Roman" w:cs="Times New Roman"/>
          <w:bCs/>
          <w:sz w:val="24"/>
          <w:szCs w:val="24"/>
        </w:rPr>
        <w:t xml:space="preserve">for the 11 participants initially excluded on the basis of cost and facilitation effects in </w:t>
      </w:r>
      <w:r w:rsidRPr="009C2861">
        <w:rPr>
          <w:rFonts w:ascii="Times New Roman" w:hAnsi="Times New Roman" w:cs="Times New Roman"/>
          <w:bCs/>
          <w:sz w:val="24"/>
          <w:szCs w:val="24"/>
        </w:rPr>
        <w:t>Experiment 1</w:t>
      </w:r>
      <w:r>
        <w:rPr>
          <w:rFonts w:ascii="Times New Roman" w:hAnsi="Times New Roman" w:cs="Times New Roman"/>
          <w:bCs/>
          <w:sz w:val="24"/>
          <w:szCs w:val="24"/>
        </w:rPr>
        <w:t xml:space="preserve"> (collapsed across SOA)</w:t>
      </w:r>
      <w:r w:rsidRPr="00554666">
        <w:rPr>
          <w:rFonts w:ascii="Times New Roman" w:hAnsi="Times New Roman" w:cs="Times New Roman"/>
          <w:bCs/>
          <w:sz w:val="24"/>
          <w:szCs w:val="24"/>
        </w:rPr>
        <w:t xml:space="preserve">. Error bars represent </w:t>
      </w:r>
      <w:r>
        <w:rPr>
          <w:rFonts w:ascii="Times New Roman" w:hAnsi="Times New Roman" w:cs="Times New Roman"/>
          <w:bCs/>
          <w:sz w:val="24"/>
          <w:szCs w:val="24"/>
        </w:rPr>
        <w:t xml:space="preserve">one </w:t>
      </w:r>
      <w:r w:rsidRPr="00554666">
        <w:rPr>
          <w:rFonts w:ascii="Times New Roman" w:hAnsi="Times New Roman" w:cs="Times New Roman"/>
          <w:bCs/>
          <w:sz w:val="24"/>
          <w:szCs w:val="24"/>
        </w:rPr>
        <w:t>standard error of the mean.</w:t>
      </w:r>
    </w:p>
    <w:p w:rsidR="000236AA" w:rsidRDefault="000236AA" w:rsidP="000236AA">
      <w:pPr>
        <w:jc w:val="center"/>
        <w:rPr>
          <w:rFonts w:ascii="Times New Roman" w:hAnsi="Times New Roman" w:cs="Times New Roman"/>
          <w:b/>
          <w:bCs/>
          <w:sz w:val="24"/>
          <w:szCs w:val="24"/>
        </w:rPr>
      </w:pPr>
      <w:r>
        <w:rPr>
          <w:noProof/>
        </w:rPr>
        <w:drawing>
          <wp:inline distT="0" distB="0" distL="0" distR="0" wp14:anchorId="61B51FA6" wp14:editId="7C8BFF8A">
            <wp:extent cx="3013710" cy="2952000"/>
            <wp:effectExtent l="0" t="0" r="15240" b="1270"/>
            <wp:docPr id="511550916"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6551FBC-25E1-3B5F-F704-B102D99EB8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0236AA" w:rsidRDefault="000236AA" w:rsidP="000236AA">
      <w:pPr>
        <w:rPr>
          <w:rFonts w:ascii="Times New Roman" w:hAnsi="Times New Roman" w:cs="Times New Roman"/>
          <w:b/>
          <w:bCs/>
          <w:sz w:val="24"/>
          <w:szCs w:val="24"/>
        </w:rPr>
      </w:pPr>
    </w:p>
    <w:p w:rsidR="000236AA" w:rsidRDefault="000236AA" w:rsidP="000236AA">
      <w:pPr>
        <w:rPr>
          <w:rFonts w:ascii="Times New Roman" w:hAnsi="Times New Roman" w:cs="Times New Roman"/>
          <w:b/>
          <w:bCs/>
          <w:sz w:val="24"/>
          <w:szCs w:val="24"/>
        </w:rPr>
      </w:pPr>
    </w:p>
    <w:p w:rsidR="000236AA" w:rsidRPr="00982909" w:rsidRDefault="000236AA" w:rsidP="000236AA">
      <w:pPr>
        <w:rPr>
          <w:rFonts w:ascii="Times New Roman" w:hAnsi="Times New Roman" w:cs="Times New Roman"/>
          <w:sz w:val="24"/>
          <w:szCs w:val="24"/>
          <w:u w:val="single"/>
        </w:rPr>
      </w:pPr>
      <w:r w:rsidRPr="006101A5">
        <w:rPr>
          <w:rFonts w:ascii="Times New Roman" w:hAnsi="Times New Roman" w:cs="Times New Roman"/>
          <w:b/>
          <w:bCs/>
          <w:sz w:val="24"/>
          <w:szCs w:val="24"/>
        </w:rPr>
        <w:t>Experiment 2</w:t>
      </w:r>
    </w:p>
    <w:p w:rsidR="000236AA" w:rsidRDefault="000236AA" w:rsidP="000236AA">
      <w:pPr>
        <w:spacing w:before="100" w:beforeAutospacing="1" w:after="100" w:afterAutospacing="1" w:line="480" w:lineRule="auto"/>
        <w:ind w:firstLine="720"/>
        <w:rPr>
          <w:rFonts w:ascii="Times New Roman" w:hAnsi="Times New Roman" w:cs="Times New Roman"/>
          <w:sz w:val="24"/>
          <w:szCs w:val="24"/>
        </w:rPr>
      </w:pPr>
      <w:r w:rsidRPr="00476287">
        <w:rPr>
          <w:rFonts w:ascii="Times New Roman" w:hAnsi="Times New Roman" w:cs="Times New Roman"/>
          <w:sz w:val="24"/>
          <w:szCs w:val="24"/>
        </w:rPr>
        <w:t xml:space="preserve">Of the </w:t>
      </w:r>
      <w:r>
        <w:rPr>
          <w:rFonts w:ascii="Times New Roman" w:hAnsi="Times New Roman" w:cs="Times New Roman"/>
          <w:sz w:val="24"/>
          <w:szCs w:val="24"/>
        </w:rPr>
        <w:t>10</w:t>
      </w:r>
      <w:r w:rsidRPr="00476287">
        <w:rPr>
          <w:rFonts w:ascii="Times New Roman" w:hAnsi="Times New Roman" w:cs="Times New Roman"/>
          <w:sz w:val="24"/>
          <w:szCs w:val="24"/>
        </w:rPr>
        <w:t xml:space="preserve"> participants who were excluded from the main analyses, </w:t>
      </w:r>
      <w:r>
        <w:rPr>
          <w:rFonts w:ascii="Times New Roman" w:hAnsi="Times New Roman" w:cs="Times New Roman"/>
          <w:sz w:val="24"/>
          <w:szCs w:val="24"/>
        </w:rPr>
        <w:t>6</w:t>
      </w:r>
      <w:r w:rsidRPr="00476287">
        <w:rPr>
          <w:rFonts w:ascii="Times New Roman" w:hAnsi="Times New Roman" w:cs="Times New Roman"/>
          <w:sz w:val="24"/>
          <w:szCs w:val="24"/>
        </w:rPr>
        <w:t xml:space="preserve"> (</w:t>
      </w:r>
      <w:proofErr w:type="gramStart"/>
      <w:r w:rsidRPr="00476287">
        <w:rPr>
          <w:rFonts w:ascii="Times New Roman" w:hAnsi="Times New Roman" w:cs="Times New Roman"/>
          <w:sz w:val="24"/>
          <w:szCs w:val="24"/>
        </w:rPr>
        <w:t>5</w:t>
      </w:r>
      <w:proofErr w:type="gramEnd"/>
      <w:r w:rsidRPr="00476287">
        <w:rPr>
          <w:rFonts w:ascii="Times New Roman" w:hAnsi="Times New Roman" w:cs="Times New Roman"/>
          <w:sz w:val="24"/>
          <w:szCs w:val="24"/>
        </w:rPr>
        <w:t xml:space="preserve"> High-ALT group; </w:t>
      </w:r>
      <w:r>
        <w:rPr>
          <w:rFonts w:ascii="Times New Roman" w:hAnsi="Times New Roman" w:cs="Times New Roman"/>
          <w:sz w:val="24"/>
          <w:szCs w:val="24"/>
        </w:rPr>
        <w:t>1</w:t>
      </w:r>
      <w:r w:rsidRPr="00476287">
        <w:rPr>
          <w:rFonts w:ascii="Times New Roman" w:hAnsi="Times New Roman" w:cs="Times New Roman"/>
          <w:sz w:val="24"/>
          <w:szCs w:val="24"/>
        </w:rPr>
        <w:t xml:space="preserve"> Low-ALT group) had performance accuracy that was 2.5 SDs </w:t>
      </w:r>
      <w:r>
        <w:rPr>
          <w:rFonts w:ascii="Times New Roman" w:hAnsi="Times New Roman" w:cs="Times New Roman"/>
          <w:sz w:val="24"/>
          <w:szCs w:val="24"/>
        </w:rPr>
        <w:t>below</w:t>
      </w:r>
      <w:r w:rsidRPr="00476287">
        <w:rPr>
          <w:rFonts w:ascii="Times New Roman" w:hAnsi="Times New Roman" w:cs="Times New Roman"/>
          <w:sz w:val="24"/>
          <w:szCs w:val="24"/>
        </w:rPr>
        <w:t xml:space="preserve"> their respective overall group mean (</w:t>
      </w:r>
      <w:r>
        <w:rPr>
          <w:rFonts w:ascii="Times New Roman" w:hAnsi="Times New Roman" w:cs="Times New Roman"/>
          <w:sz w:val="24"/>
          <w:szCs w:val="24"/>
        </w:rPr>
        <w:t>78</w:t>
      </w:r>
      <w:r w:rsidRPr="00476287">
        <w:rPr>
          <w:rFonts w:ascii="Times New Roman" w:hAnsi="Times New Roman" w:cs="Times New Roman"/>
          <w:sz w:val="24"/>
          <w:szCs w:val="24"/>
        </w:rPr>
        <w:t>.</w:t>
      </w:r>
      <w:r>
        <w:rPr>
          <w:rFonts w:ascii="Times New Roman" w:hAnsi="Times New Roman" w:cs="Times New Roman"/>
          <w:sz w:val="24"/>
          <w:szCs w:val="24"/>
        </w:rPr>
        <w:t>2</w:t>
      </w:r>
      <w:r w:rsidRPr="00476287">
        <w:rPr>
          <w:rFonts w:ascii="Times New Roman" w:hAnsi="Times New Roman" w:cs="Times New Roman"/>
          <w:sz w:val="24"/>
          <w:szCs w:val="24"/>
        </w:rPr>
        <w:t xml:space="preserve">%). The other </w:t>
      </w:r>
      <w:proofErr w:type="gramStart"/>
      <w:r>
        <w:rPr>
          <w:rFonts w:ascii="Times New Roman" w:hAnsi="Times New Roman" w:cs="Times New Roman"/>
          <w:sz w:val="24"/>
          <w:szCs w:val="24"/>
        </w:rPr>
        <w:t>4</w:t>
      </w:r>
      <w:proofErr w:type="gramEnd"/>
      <w:r w:rsidRPr="00476287">
        <w:rPr>
          <w:rFonts w:ascii="Times New Roman" w:hAnsi="Times New Roman" w:cs="Times New Roman"/>
          <w:sz w:val="24"/>
          <w:szCs w:val="24"/>
        </w:rPr>
        <w:t xml:space="preserve"> participants (</w:t>
      </w:r>
      <w:r>
        <w:rPr>
          <w:rFonts w:ascii="Times New Roman" w:hAnsi="Times New Roman" w:cs="Times New Roman"/>
          <w:sz w:val="24"/>
          <w:szCs w:val="24"/>
        </w:rPr>
        <w:t>2</w:t>
      </w:r>
      <w:r w:rsidRPr="00476287">
        <w:rPr>
          <w:rFonts w:ascii="Times New Roman" w:hAnsi="Times New Roman" w:cs="Times New Roman"/>
          <w:sz w:val="24"/>
          <w:szCs w:val="24"/>
        </w:rPr>
        <w:t xml:space="preserve"> High-ALT group and </w:t>
      </w:r>
      <w:r>
        <w:rPr>
          <w:rFonts w:ascii="Times New Roman" w:hAnsi="Times New Roman" w:cs="Times New Roman"/>
          <w:sz w:val="24"/>
          <w:szCs w:val="24"/>
        </w:rPr>
        <w:t>2</w:t>
      </w:r>
      <w:r w:rsidRPr="00476287">
        <w:rPr>
          <w:rFonts w:ascii="Times New Roman" w:hAnsi="Times New Roman" w:cs="Times New Roman"/>
          <w:sz w:val="24"/>
          <w:szCs w:val="24"/>
        </w:rPr>
        <w:t xml:space="preserve"> Low-ALT group) were excluded as their cost or facilitation </w:t>
      </w:r>
      <w:r>
        <w:rPr>
          <w:rFonts w:ascii="Times New Roman" w:hAnsi="Times New Roman" w:cs="Times New Roman"/>
          <w:sz w:val="24"/>
          <w:szCs w:val="24"/>
        </w:rPr>
        <w:t>effect</w:t>
      </w:r>
      <w:r w:rsidRPr="00476287">
        <w:rPr>
          <w:rFonts w:ascii="Times New Roman" w:hAnsi="Times New Roman" w:cs="Times New Roman"/>
          <w:sz w:val="24"/>
          <w:szCs w:val="24"/>
        </w:rPr>
        <w:t xml:space="preserve"> was more than 2.5 SDs </w:t>
      </w:r>
      <w:r>
        <w:rPr>
          <w:rFonts w:ascii="Times New Roman" w:hAnsi="Times New Roman" w:cs="Times New Roman"/>
          <w:sz w:val="24"/>
          <w:szCs w:val="24"/>
        </w:rPr>
        <w:t>below</w:t>
      </w:r>
      <w:r w:rsidRPr="00476287">
        <w:rPr>
          <w:rFonts w:ascii="Times New Roman" w:hAnsi="Times New Roman" w:cs="Times New Roman"/>
          <w:sz w:val="24"/>
          <w:szCs w:val="24"/>
        </w:rPr>
        <w:t xml:space="preserve"> their respective overall group mean. </w:t>
      </w:r>
      <w:r>
        <w:rPr>
          <w:rFonts w:ascii="Times New Roman" w:hAnsi="Times New Roman" w:cs="Times New Roman"/>
          <w:sz w:val="24"/>
          <w:szCs w:val="24"/>
        </w:rPr>
        <w:t xml:space="preserve">Data from these participants is shown below, although we did not conduct inferential statistics due to the extremely small sample size. </w:t>
      </w:r>
    </w:p>
    <w:p w:rsidR="000236AA" w:rsidRDefault="000236AA" w:rsidP="000236AA">
      <w:pPr>
        <w:spacing w:before="100" w:beforeAutospacing="1" w:after="100" w:afterAutospacing="1"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Mean facilitation and cost effects in the endogenous cueing task for the High- and Low-ALT groups are presented in Figure S2. As can be seen in the figure, group differences for cost scores are analogous to those in Experiment 2, although the facilitation effects are essentially identical for the two groups. Of course, it is difficult to offer any meaningful interpretations from these data given the small sample size, but it seems unlikely these participants differ meaningfully from those included in the main analysis in Experiment 2. </w:t>
      </w:r>
    </w:p>
    <w:p w:rsidR="000236AA" w:rsidRDefault="000236AA" w:rsidP="000236AA">
      <w:pPr>
        <w:rPr>
          <w:rFonts w:ascii="Times New Roman" w:hAnsi="Times New Roman" w:cs="Times New Roman"/>
          <w:sz w:val="24"/>
          <w:szCs w:val="24"/>
        </w:rPr>
      </w:pPr>
      <w:r w:rsidRPr="00476287">
        <w:rPr>
          <w:rFonts w:ascii="Times New Roman" w:hAnsi="Times New Roman" w:cs="Times New Roman"/>
          <w:b/>
          <w:sz w:val="24"/>
          <w:szCs w:val="24"/>
        </w:rPr>
        <w:t>Figure S</w:t>
      </w:r>
      <w:r>
        <w:rPr>
          <w:rFonts w:ascii="Times New Roman" w:hAnsi="Times New Roman" w:cs="Times New Roman"/>
          <w:b/>
          <w:sz w:val="24"/>
          <w:szCs w:val="24"/>
        </w:rPr>
        <w:t>2</w:t>
      </w:r>
      <w:r w:rsidRPr="00476287">
        <w:rPr>
          <w:rFonts w:ascii="Times New Roman" w:hAnsi="Times New Roman" w:cs="Times New Roman"/>
          <w:b/>
          <w:sz w:val="24"/>
          <w:szCs w:val="24"/>
        </w:rPr>
        <w:t>.</w:t>
      </w:r>
      <w:r>
        <w:rPr>
          <w:rFonts w:ascii="Times New Roman" w:hAnsi="Times New Roman" w:cs="Times New Roman"/>
          <w:bCs/>
          <w:sz w:val="24"/>
          <w:szCs w:val="24"/>
        </w:rPr>
        <w:t xml:space="preserve"> </w:t>
      </w:r>
      <w:r w:rsidRPr="009C2861">
        <w:rPr>
          <w:rFonts w:ascii="Times New Roman" w:hAnsi="Times New Roman" w:cs="Times New Roman"/>
          <w:bCs/>
          <w:sz w:val="24"/>
          <w:szCs w:val="24"/>
        </w:rPr>
        <w:t xml:space="preserve">Cost and facilitation differences between High- and Low-ALT groups </w:t>
      </w:r>
      <w:r>
        <w:rPr>
          <w:rFonts w:ascii="Times New Roman" w:hAnsi="Times New Roman" w:cs="Times New Roman"/>
          <w:bCs/>
          <w:sz w:val="24"/>
          <w:szCs w:val="24"/>
        </w:rPr>
        <w:t xml:space="preserve">for the four participants initially excluded on the basis of cost and facilitation effects in the endogenous cueing task of </w:t>
      </w:r>
      <w:r w:rsidRPr="009C2861">
        <w:rPr>
          <w:rFonts w:ascii="Times New Roman" w:hAnsi="Times New Roman" w:cs="Times New Roman"/>
          <w:bCs/>
          <w:sz w:val="24"/>
          <w:szCs w:val="24"/>
        </w:rPr>
        <w:t xml:space="preserve">Experiment </w:t>
      </w:r>
      <w:r>
        <w:rPr>
          <w:rFonts w:ascii="Times New Roman" w:hAnsi="Times New Roman" w:cs="Times New Roman"/>
          <w:bCs/>
          <w:sz w:val="24"/>
          <w:szCs w:val="24"/>
        </w:rPr>
        <w:t>2 (collapsed across SOA)</w:t>
      </w:r>
      <w:r w:rsidRPr="00554666">
        <w:rPr>
          <w:rFonts w:ascii="Times New Roman" w:hAnsi="Times New Roman" w:cs="Times New Roman"/>
          <w:bCs/>
          <w:sz w:val="24"/>
          <w:szCs w:val="24"/>
        </w:rPr>
        <w:t xml:space="preserve">. Error bars represent </w:t>
      </w:r>
      <w:r>
        <w:rPr>
          <w:rFonts w:ascii="Times New Roman" w:hAnsi="Times New Roman" w:cs="Times New Roman"/>
          <w:bCs/>
          <w:sz w:val="24"/>
          <w:szCs w:val="24"/>
        </w:rPr>
        <w:t xml:space="preserve">one </w:t>
      </w:r>
      <w:r w:rsidRPr="00554666">
        <w:rPr>
          <w:rFonts w:ascii="Times New Roman" w:hAnsi="Times New Roman" w:cs="Times New Roman"/>
          <w:bCs/>
          <w:sz w:val="24"/>
          <w:szCs w:val="24"/>
        </w:rPr>
        <w:t>standard error of the mean.</w:t>
      </w:r>
    </w:p>
    <w:p w:rsidR="000236AA" w:rsidRDefault="000236AA" w:rsidP="000236AA">
      <w:pPr>
        <w:spacing w:before="100" w:beforeAutospacing="1" w:after="100" w:afterAutospacing="1" w:line="480" w:lineRule="auto"/>
        <w:jc w:val="center"/>
      </w:pPr>
      <w:r>
        <w:rPr>
          <w:noProof/>
        </w:rPr>
        <w:drawing>
          <wp:inline distT="0" distB="0" distL="0" distR="0" wp14:anchorId="21D741FA" wp14:editId="5A0ADC93">
            <wp:extent cx="3096000" cy="2952000"/>
            <wp:effectExtent l="0" t="0" r="9525" b="1270"/>
            <wp:docPr id="784884387"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BA06306-025B-DD26-0FF7-52363FFE57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0236AA" w:rsidRDefault="000236AA" w:rsidP="000236AA">
      <w:pPr>
        <w:spacing w:before="100" w:beforeAutospacing="1" w:after="100" w:afterAutospacing="1" w:line="480" w:lineRule="auto"/>
        <w:rPr>
          <w:rFonts w:ascii="Times New Roman" w:hAnsi="Times New Roman" w:cs="Times New Roman"/>
          <w:sz w:val="24"/>
          <w:szCs w:val="24"/>
          <w:u w:val="single"/>
        </w:rPr>
      </w:pPr>
    </w:p>
    <w:p w:rsidR="000236AA" w:rsidRDefault="000236AA" w:rsidP="000236AA">
      <w:pPr>
        <w:spacing w:before="100" w:beforeAutospacing="1" w:after="100" w:afterAutospacing="1"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Mean facilitation and cost effects in the exogenous cueing task for the High- and Low-ALT groups are presented in Figure S3. As with the endogenous task, the group difference for cost scores quantitatively mirrors the difference reported in the main analysis for Experiment 2, while the facilitation effect is larger in the High-ALT group. Given the </w:t>
      </w:r>
      <w:r>
        <w:rPr>
          <w:rFonts w:ascii="Times New Roman" w:hAnsi="Times New Roman" w:cs="Times New Roman"/>
          <w:sz w:val="24"/>
          <w:szCs w:val="24"/>
        </w:rPr>
        <w:lastRenderedPageBreak/>
        <w:t>small sample sizes, it seems unlikely that these participants differ meaningfully from those included in the analysis in Experiment 2.</w:t>
      </w:r>
    </w:p>
    <w:p w:rsidR="000236AA" w:rsidRDefault="000236AA" w:rsidP="000236AA">
      <w:pPr>
        <w:keepNext/>
        <w:spacing w:before="100" w:beforeAutospacing="1" w:after="100" w:afterAutospacing="1"/>
        <w:rPr>
          <w:rFonts w:ascii="Times New Roman" w:hAnsi="Times New Roman" w:cs="Times New Roman"/>
          <w:sz w:val="24"/>
          <w:szCs w:val="24"/>
        </w:rPr>
      </w:pPr>
      <w:r w:rsidRPr="00476287">
        <w:rPr>
          <w:rFonts w:ascii="Times New Roman" w:hAnsi="Times New Roman" w:cs="Times New Roman"/>
          <w:b/>
          <w:sz w:val="24"/>
          <w:szCs w:val="24"/>
        </w:rPr>
        <w:t>Figure S</w:t>
      </w:r>
      <w:r>
        <w:rPr>
          <w:rFonts w:ascii="Times New Roman" w:hAnsi="Times New Roman" w:cs="Times New Roman"/>
          <w:b/>
          <w:sz w:val="24"/>
          <w:szCs w:val="24"/>
        </w:rPr>
        <w:t>3</w:t>
      </w:r>
      <w:r w:rsidRPr="00476287">
        <w:rPr>
          <w:rFonts w:ascii="Times New Roman" w:hAnsi="Times New Roman" w:cs="Times New Roman"/>
          <w:b/>
          <w:sz w:val="24"/>
          <w:szCs w:val="24"/>
        </w:rPr>
        <w:t>.</w:t>
      </w:r>
      <w:r>
        <w:rPr>
          <w:rFonts w:ascii="Times New Roman" w:hAnsi="Times New Roman" w:cs="Times New Roman"/>
          <w:bCs/>
          <w:sz w:val="24"/>
          <w:szCs w:val="24"/>
        </w:rPr>
        <w:t xml:space="preserve"> </w:t>
      </w:r>
      <w:r w:rsidRPr="009C2861">
        <w:rPr>
          <w:rFonts w:ascii="Times New Roman" w:hAnsi="Times New Roman" w:cs="Times New Roman"/>
          <w:bCs/>
          <w:sz w:val="24"/>
          <w:szCs w:val="24"/>
        </w:rPr>
        <w:t xml:space="preserve">Cost and facilitation differences between High- and Low-ALT groups </w:t>
      </w:r>
      <w:r>
        <w:rPr>
          <w:rFonts w:ascii="Times New Roman" w:hAnsi="Times New Roman" w:cs="Times New Roman"/>
          <w:bCs/>
          <w:sz w:val="24"/>
          <w:szCs w:val="24"/>
        </w:rPr>
        <w:t xml:space="preserve">for the four participants initially excluded on the basis of cost and facilitation effects in the exogenous cueing task of </w:t>
      </w:r>
      <w:r w:rsidRPr="009C2861">
        <w:rPr>
          <w:rFonts w:ascii="Times New Roman" w:hAnsi="Times New Roman" w:cs="Times New Roman"/>
          <w:bCs/>
          <w:sz w:val="24"/>
          <w:szCs w:val="24"/>
        </w:rPr>
        <w:t xml:space="preserve">Experiment </w:t>
      </w:r>
      <w:r>
        <w:rPr>
          <w:rFonts w:ascii="Times New Roman" w:hAnsi="Times New Roman" w:cs="Times New Roman"/>
          <w:bCs/>
          <w:sz w:val="24"/>
          <w:szCs w:val="24"/>
        </w:rPr>
        <w:t>2 (collapsed across SOA)</w:t>
      </w:r>
      <w:r w:rsidRPr="00554666">
        <w:rPr>
          <w:rFonts w:ascii="Times New Roman" w:hAnsi="Times New Roman" w:cs="Times New Roman"/>
          <w:bCs/>
          <w:sz w:val="24"/>
          <w:szCs w:val="24"/>
        </w:rPr>
        <w:t xml:space="preserve">. Error bars represent </w:t>
      </w:r>
      <w:r>
        <w:rPr>
          <w:rFonts w:ascii="Times New Roman" w:hAnsi="Times New Roman" w:cs="Times New Roman"/>
          <w:bCs/>
          <w:sz w:val="24"/>
          <w:szCs w:val="24"/>
        </w:rPr>
        <w:t xml:space="preserve">one </w:t>
      </w:r>
      <w:r w:rsidRPr="00554666">
        <w:rPr>
          <w:rFonts w:ascii="Times New Roman" w:hAnsi="Times New Roman" w:cs="Times New Roman"/>
          <w:bCs/>
          <w:sz w:val="24"/>
          <w:szCs w:val="24"/>
        </w:rPr>
        <w:t>standard error of the mean</w:t>
      </w:r>
      <w:r>
        <w:rPr>
          <w:rFonts w:ascii="Times New Roman" w:hAnsi="Times New Roman" w:cs="Times New Roman"/>
          <w:bCs/>
          <w:sz w:val="24"/>
          <w:szCs w:val="24"/>
        </w:rPr>
        <w:t>.</w:t>
      </w:r>
    </w:p>
    <w:p w:rsidR="000236AA" w:rsidRPr="000F3EF5" w:rsidRDefault="000236AA" w:rsidP="000236AA">
      <w:pPr>
        <w:spacing w:before="100" w:beforeAutospacing="1" w:after="100" w:afterAutospacing="1" w:line="480" w:lineRule="auto"/>
        <w:jc w:val="center"/>
      </w:pPr>
      <w:r>
        <w:rPr>
          <w:noProof/>
        </w:rPr>
        <w:drawing>
          <wp:inline distT="0" distB="0" distL="0" distR="0" wp14:anchorId="6DBCDB8D" wp14:editId="013F9C80">
            <wp:extent cx="3096000" cy="2952000"/>
            <wp:effectExtent l="0" t="0" r="9525" b="1270"/>
            <wp:docPr id="1283124506"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2D0B3B3-0952-DAAF-8E1D-F94A052926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0236AA" w:rsidRDefault="000236AA" w:rsidP="000236AA">
      <w:pPr>
        <w:spacing w:before="100" w:beforeAutospacing="1" w:after="100" w:afterAutospacing="1" w:line="480" w:lineRule="auto"/>
        <w:ind w:firstLine="720"/>
        <w:rPr>
          <w:rFonts w:ascii="Times New Roman" w:hAnsi="Times New Roman" w:cs="Times New Roman"/>
          <w:sz w:val="24"/>
          <w:szCs w:val="24"/>
        </w:rPr>
      </w:pPr>
    </w:p>
    <w:p w:rsidR="000236AA" w:rsidRPr="00C86976" w:rsidRDefault="000236AA" w:rsidP="000236AA">
      <w:pPr>
        <w:spacing w:before="100" w:beforeAutospacing="1" w:after="100" w:afterAutospacing="1" w:line="480" w:lineRule="auto"/>
        <w:rPr>
          <w:rFonts w:ascii="Times New Roman" w:hAnsi="Times New Roman" w:cs="Times New Roman"/>
          <w:sz w:val="24"/>
          <w:szCs w:val="24"/>
          <w:u w:val="single"/>
        </w:rPr>
      </w:pPr>
    </w:p>
    <w:p w:rsidR="009375AE" w:rsidRDefault="009375AE"/>
    <w:sectPr w:rsidR="009375AE" w:rsidSect="009C2861">
      <w:headerReference w:type="default" r:id="rId8"/>
      <w:pgSz w:w="11906" w:h="16838"/>
      <w:pgMar w:top="1440" w:right="1440" w:bottom="1440" w:left="1440"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1D19" w:rsidRPr="006E1D19" w:rsidRDefault="000236AA" w:rsidP="00FF46E3">
    <w:pPr>
      <w:pStyle w:val="Header"/>
      <w:rPr>
        <w:rFonts w:ascii="Times New Roman" w:hAnsi="Times New Roman" w:cs="Times New Roman"/>
        <w:sz w:val="24"/>
        <w:szCs w:val="24"/>
      </w:rPr>
    </w:pPr>
    <w:r>
      <w:rPr>
        <w:rFonts w:ascii="Times New Roman" w:hAnsi="Times New Roman" w:cs="Times New Roman"/>
        <w:sz w:val="24"/>
        <w:szCs w:val="24"/>
      </w:rPr>
      <w:t>VISU</w:t>
    </w:r>
    <w:r>
      <w:rPr>
        <w:rFonts w:ascii="Times New Roman" w:hAnsi="Times New Roman" w:cs="Times New Roman"/>
        <w:sz w:val="24"/>
        <w:szCs w:val="24"/>
      </w:rPr>
      <w:t>OSPATIAL</w:t>
    </w:r>
    <w:r>
      <w:rPr>
        <w:rFonts w:ascii="Times New Roman" w:hAnsi="Times New Roman" w:cs="Times New Roman"/>
        <w:sz w:val="24"/>
        <w:szCs w:val="24"/>
      </w:rPr>
      <w:t xml:space="preserve"> CUEING AND AUTISTIC TRAITS</w:t>
    </w:r>
    <w:r>
      <w:rPr>
        <w:rFonts w:ascii="Times New Roman" w:hAnsi="Times New Roman" w:cs="Times New Roman"/>
        <w:sz w:val="24"/>
        <w:szCs w:val="24"/>
      </w:rPr>
      <w:tab/>
    </w:r>
    <w:r w:rsidRPr="00FF46E3">
      <w:rPr>
        <w:rFonts w:ascii="Times New Roman" w:hAnsi="Times New Roman" w:cs="Times New Roman"/>
        <w:sz w:val="24"/>
        <w:szCs w:val="24"/>
      </w:rPr>
      <w:fldChar w:fldCharType="begin"/>
    </w:r>
    <w:r w:rsidRPr="00FF46E3">
      <w:rPr>
        <w:rFonts w:ascii="Times New Roman" w:hAnsi="Times New Roman" w:cs="Times New Roman"/>
        <w:sz w:val="24"/>
        <w:szCs w:val="24"/>
      </w:rPr>
      <w:instrText xml:space="preserve"> PAGE   \* MERGEFORMAT </w:instrText>
    </w:r>
    <w:r w:rsidRPr="00FF46E3">
      <w:rPr>
        <w:rFonts w:ascii="Times New Roman" w:hAnsi="Times New Roman" w:cs="Times New Roman"/>
        <w:sz w:val="24"/>
        <w:szCs w:val="24"/>
      </w:rPr>
      <w:fldChar w:fldCharType="separate"/>
    </w:r>
    <w:r>
      <w:rPr>
        <w:rFonts w:ascii="Times New Roman" w:hAnsi="Times New Roman" w:cs="Times New Roman"/>
        <w:noProof/>
        <w:sz w:val="24"/>
        <w:szCs w:val="24"/>
      </w:rPr>
      <w:t>3</w:t>
    </w:r>
    <w:r w:rsidRPr="00FF46E3">
      <w:rPr>
        <w:rFonts w:ascii="Times New Roman" w:hAnsi="Times New Roman" w:cs="Times New Roman"/>
        <w:noProof/>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36AA"/>
    <w:rsid w:val="000236AA"/>
    <w:rsid w:val="00100CC9"/>
    <w:rsid w:val="00160340"/>
    <w:rsid w:val="0016243E"/>
    <w:rsid w:val="00184AE2"/>
    <w:rsid w:val="001C615D"/>
    <w:rsid w:val="0020447F"/>
    <w:rsid w:val="0023267C"/>
    <w:rsid w:val="00246228"/>
    <w:rsid w:val="00292298"/>
    <w:rsid w:val="002A1EF5"/>
    <w:rsid w:val="002B7543"/>
    <w:rsid w:val="003019FA"/>
    <w:rsid w:val="0032104F"/>
    <w:rsid w:val="00321A8D"/>
    <w:rsid w:val="003224A5"/>
    <w:rsid w:val="00324BF9"/>
    <w:rsid w:val="0038776D"/>
    <w:rsid w:val="003C26FF"/>
    <w:rsid w:val="003E29A0"/>
    <w:rsid w:val="003F3411"/>
    <w:rsid w:val="003F6192"/>
    <w:rsid w:val="00404AFA"/>
    <w:rsid w:val="00405671"/>
    <w:rsid w:val="00405DCD"/>
    <w:rsid w:val="004130F6"/>
    <w:rsid w:val="00427DA6"/>
    <w:rsid w:val="00462B50"/>
    <w:rsid w:val="0049385C"/>
    <w:rsid w:val="004C4704"/>
    <w:rsid w:val="004D52ED"/>
    <w:rsid w:val="004D69EF"/>
    <w:rsid w:val="00523403"/>
    <w:rsid w:val="00532E75"/>
    <w:rsid w:val="00555A04"/>
    <w:rsid w:val="00563A53"/>
    <w:rsid w:val="00581841"/>
    <w:rsid w:val="006020DA"/>
    <w:rsid w:val="00603A90"/>
    <w:rsid w:val="0064053A"/>
    <w:rsid w:val="00653F85"/>
    <w:rsid w:val="006653EB"/>
    <w:rsid w:val="00672BC8"/>
    <w:rsid w:val="0068351C"/>
    <w:rsid w:val="006844F5"/>
    <w:rsid w:val="006C3783"/>
    <w:rsid w:val="006E208B"/>
    <w:rsid w:val="00753BAE"/>
    <w:rsid w:val="007564B3"/>
    <w:rsid w:val="00766F13"/>
    <w:rsid w:val="00781A3D"/>
    <w:rsid w:val="007D74A2"/>
    <w:rsid w:val="007E4A15"/>
    <w:rsid w:val="00841C0B"/>
    <w:rsid w:val="008612F9"/>
    <w:rsid w:val="008B7E54"/>
    <w:rsid w:val="008D57E0"/>
    <w:rsid w:val="008F6994"/>
    <w:rsid w:val="00901D40"/>
    <w:rsid w:val="009314FA"/>
    <w:rsid w:val="009375AE"/>
    <w:rsid w:val="0094223C"/>
    <w:rsid w:val="00956104"/>
    <w:rsid w:val="009566D8"/>
    <w:rsid w:val="009861FF"/>
    <w:rsid w:val="009C3910"/>
    <w:rsid w:val="009D0F2D"/>
    <w:rsid w:val="009D3755"/>
    <w:rsid w:val="00A1259F"/>
    <w:rsid w:val="00A54969"/>
    <w:rsid w:val="00AA007B"/>
    <w:rsid w:val="00AB5E6C"/>
    <w:rsid w:val="00AB6416"/>
    <w:rsid w:val="00AC73DA"/>
    <w:rsid w:val="00AD130B"/>
    <w:rsid w:val="00B02EA5"/>
    <w:rsid w:val="00B11095"/>
    <w:rsid w:val="00B26D44"/>
    <w:rsid w:val="00B3262D"/>
    <w:rsid w:val="00B33038"/>
    <w:rsid w:val="00B62C3D"/>
    <w:rsid w:val="00B679CA"/>
    <w:rsid w:val="00B70539"/>
    <w:rsid w:val="00B92200"/>
    <w:rsid w:val="00BB704A"/>
    <w:rsid w:val="00BE279E"/>
    <w:rsid w:val="00C53A57"/>
    <w:rsid w:val="00C90577"/>
    <w:rsid w:val="00CA13A8"/>
    <w:rsid w:val="00CA44DC"/>
    <w:rsid w:val="00CE18E7"/>
    <w:rsid w:val="00D05D3C"/>
    <w:rsid w:val="00D2041D"/>
    <w:rsid w:val="00D469B7"/>
    <w:rsid w:val="00D91A91"/>
    <w:rsid w:val="00DA280D"/>
    <w:rsid w:val="00DC6C2F"/>
    <w:rsid w:val="00DD1098"/>
    <w:rsid w:val="00DD51EE"/>
    <w:rsid w:val="00E07B32"/>
    <w:rsid w:val="00E141CF"/>
    <w:rsid w:val="00E1504B"/>
    <w:rsid w:val="00F33CDE"/>
    <w:rsid w:val="00F478A0"/>
    <w:rsid w:val="00F51219"/>
    <w:rsid w:val="00F749CF"/>
    <w:rsid w:val="00FB0E67"/>
    <w:rsid w:val="00FC3F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36AA"/>
    <w:pPr>
      <w:tabs>
        <w:tab w:val="center" w:pos="4513"/>
        <w:tab w:val="right" w:pos="9026"/>
      </w:tabs>
      <w:spacing w:after="0" w:line="240" w:lineRule="auto"/>
    </w:pPr>
    <w:rPr>
      <w:lang w:val="en-AU"/>
    </w:rPr>
  </w:style>
  <w:style w:type="character" w:customStyle="1" w:styleId="HeaderChar">
    <w:name w:val="Header Char"/>
    <w:basedOn w:val="DefaultParagraphFont"/>
    <w:link w:val="Header"/>
    <w:uiPriority w:val="99"/>
    <w:rsid w:val="000236AA"/>
    <w:rPr>
      <w:lang w:val="en-AU"/>
    </w:rPr>
  </w:style>
  <w:style w:type="paragraph" w:styleId="BalloonText">
    <w:name w:val="Balloon Text"/>
    <w:basedOn w:val="Normal"/>
    <w:link w:val="BalloonTextChar"/>
    <w:uiPriority w:val="99"/>
    <w:semiHidden/>
    <w:unhideWhenUsed/>
    <w:rsid w:val="000236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6A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36AA"/>
    <w:pPr>
      <w:tabs>
        <w:tab w:val="center" w:pos="4513"/>
        <w:tab w:val="right" w:pos="9026"/>
      </w:tabs>
      <w:spacing w:after="0" w:line="240" w:lineRule="auto"/>
    </w:pPr>
    <w:rPr>
      <w:lang w:val="en-AU"/>
    </w:rPr>
  </w:style>
  <w:style w:type="character" w:customStyle="1" w:styleId="HeaderChar">
    <w:name w:val="Header Char"/>
    <w:basedOn w:val="DefaultParagraphFont"/>
    <w:link w:val="Header"/>
    <w:uiPriority w:val="99"/>
    <w:rsid w:val="000236AA"/>
    <w:rPr>
      <w:lang w:val="en-AU"/>
    </w:rPr>
  </w:style>
  <w:style w:type="paragraph" w:styleId="BalloonText">
    <w:name w:val="Balloon Text"/>
    <w:basedOn w:val="Normal"/>
    <w:link w:val="BalloonTextChar"/>
    <w:uiPriority w:val="99"/>
    <w:semiHidden/>
    <w:unhideWhenUsed/>
    <w:rsid w:val="000236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6A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chart" Target="charts/chart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chart" Target="charts/chart2.xml"/><Relationship Id="rId5" Type="http://schemas.openxmlformats.org/officeDocument/2006/relationships/chart" Target="charts/chart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Sheet1!$A$2</c:f>
              <c:strCache>
                <c:ptCount val="1"/>
                <c:pt idx="0">
                  <c:v>Low-ALT </c:v>
                </c:pt>
              </c:strCache>
            </c:strRef>
          </c:tx>
          <c:spPr>
            <a:pattFill prst="pct5">
              <a:fgClr>
                <a:schemeClr val="tx1">
                  <a:lumMod val="65000"/>
                  <a:lumOff val="35000"/>
                </a:schemeClr>
              </a:fgClr>
              <a:bgClr>
                <a:schemeClr val="bg1"/>
              </a:bgClr>
            </a:pattFill>
            <a:ln w="6350">
              <a:solidFill>
                <a:schemeClr val="tx1"/>
              </a:solidFill>
            </a:ln>
            <a:effectLst/>
          </c:spPr>
          <c:invertIfNegative val="0"/>
          <c:errBars>
            <c:errBarType val="both"/>
            <c:errValType val="cust"/>
            <c:noEndCap val="0"/>
            <c:plus>
              <c:numRef>
                <c:f>Sheet1!$D$2:$E$2</c:f>
                <c:numCache>
                  <c:formatCode>General</c:formatCode>
                  <c:ptCount val="2"/>
                  <c:pt idx="0">
                    <c:v>2</c:v>
                  </c:pt>
                  <c:pt idx="1">
                    <c:v>2.4</c:v>
                  </c:pt>
                </c:numCache>
              </c:numRef>
            </c:plus>
            <c:minus>
              <c:numRef>
                <c:f>Sheet1!$D$2:$E$2</c:f>
                <c:numCache>
                  <c:formatCode>General</c:formatCode>
                  <c:ptCount val="2"/>
                  <c:pt idx="0">
                    <c:v>2</c:v>
                  </c:pt>
                  <c:pt idx="1">
                    <c:v>2.4</c:v>
                  </c:pt>
                </c:numCache>
              </c:numRef>
            </c:minus>
            <c:spPr>
              <a:noFill/>
              <a:ln w="9525" cap="flat" cmpd="sng" algn="ctr">
                <a:solidFill>
                  <a:schemeClr val="tx1">
                    <a:lumMod val="65000"/>
                    <a:lumOff val="35000"/>
                  </a:schemeClr>
                </a:solidFill>
                <a:round/>
              </a:ln>
              <a:effectLst/>
            </c:spPr>
          </c:errBars>
          <c:cat>
            <c:strRef>
              <c:f>Sheet1!$B$1:$C$1</c:f>
              <c:strCache>
                <c:ptCount val="2"/>
                <c:pt idx="0">
                  <c:v>Cost</c:v>
                </c:pt>
                <c:pt idx="1">
                  <c:v>Facilitation</c:v>
                </c:pt>
              </c:strCache>
            </c:strRef>
          </c:cat>
          <c:val>
            <c:numRef>
              <c:f>Sheet1!$B$2:$C$2</c:f>
              <c:numCache>
                <c:formatCode>General</c:formatCode>
                <c:ptCount val="2"/>
                <c:pt idx="0">
                  <c:v>2.7</c:v>
                </c:pt>
                <c:pt idx="1">
                  <c:v>5.6</c:v>
                </c:pt>
              </c:numCache>
            </c:numRef>
          </c:val>
          <c:extLst xmlns:c16r2="http://schemas.microsoft.com/office/drawing/2015/06/chart">
            <c:ext xmlns:c16="http://schemas.microsoft.com/office/drawing/2014/chart" uri="{C3380CC4-5D6E-409C-BE32-E72D297353CC}">
              <c16:uniqueId val="{00000000-4272-4038-B5F5-03CED072061A}"/>
            </c:ext>
          </c:extLst>
        </c:ser>
        <c:ser>
          <c:idx val="1"/>
          <c:order val="1"/>
          <c:tx>
            <c:strRef>
              <c:f>Sheet1!$A$3</c:f>
              <c:strCache>
                <c:ptCount val="1"/>
                <c:pt idx="0">
                  <c:v>High-ALT</c:v>
                </c:pt>
              </c:strCache>
            </c:strRef>
          </c:tx>
          <c:spPr>
            <a:pattFill prst="wdUpDiag">
              <a:fgClr>
                <a:schemeClr val="tx1">
                  <a:lumMod val="65000"/>
                  <a:lumOff val="35000"/>
                </a:schemeClr>
              </a:fgClr>
              <a:bgClr>
                <a:schemeClr val="bg1"/>
              </a:bgClr>
            </a:pattFill>
            <a:ln w="6350">
              <a:solidFill>
                <a:schemeClr val="tx1"/>
              </a:solidFill>
            </a:ln>
            <a:effectLst/>
          </c:spPr>
          <c:invertIfNegative val="0"/>
          <c:errBars>
            <c:errBarType val="both"/>
            <c:errValType val="cust"/>
            <c:noEndCap val="0"/>
            <c:plus>
              <c:numRef>
                <c:f>Sheet1!$D$3:$E$3</c:f>
                <c:numCache>
                  <c:formatCode>General</c:formatCode>
                  <c:ptCount val="2"/>
                  <c:pt idx="0">
                    <c:v>2.6</c:v>
                  </c:pt>
                  <c:pt idx="1">
                    <c:v>1.8</c:v>
                  </c:pt>
                </c:numCache>
              </c:numRef>
            </c:plus>
            <c:minus>
              <c:numRef>
                <c:f>Sheet1!$D$3:$E$3</c:f>
                <c:numCache>
                  <c:formatCode>General</c:formatCode>
                  <c:ptCount val="2"/>
                  <c:pt idx="0">
                    <c:v>2.6</c:v>
                  </c:pt>
                  <c:pt idx="1">
                    <c:v>1.8</c:v>
                  </c:pt>
                </c:numCache>
              </c:numRef>
            </c:minus>
            <c:spPr>
              <a:noFill/>
              <a:ln w="9525" cap="flat" cmpd="sng" algn="ctr">
                <a:solidFill>
                  <a:schemeClr val="tx1">
                    <a:lumMod val="65000"/>
                    <a:lumOff val="35000"/>
                  </a:schemeClr>
                </a:solidFill>
                <a:round/>
              </a:ln>
              <a:effectLst/>
            </c:spPr>
          </c:errBars>
          <c:cat>
            <c:strRef>
              <c:f>Sheet1!$B$1:$C$1</c:f>
              <c:strCache>
                <c:ptCount val="2"/>
                <c:pt idx="0">
                  <c:v>Cost</c:v>
                </c:pt>
                <c:pt idx="1">
                  <c:v>Facilitation</c:v>
                </c:pt>
              </c:strCache>
            </c:strRef>
          </c:cat>
          <c:val>
            <c:numRef>
              <c:f>Sheet1!$B$3:$C$3</c:f>
              <c:numCache>
                <c:formatCode>General</c:formatCode>
                <c:ptCount val="2"/>
                <c:pt idx="0">
                  <c:v>1.8</c:v>
                </c:pt>
                <c:pt idx="1">
                  <c:v>3.4</c:v>
                </c:pt>
              </c:numCache>
            </c:numRef>
          </c:val>
          <c:extLst xmlns:c16r2="http://schemas.microsoft.com/office/drawing/2015/06/chart">
            <c:ext xmlns:c16="http://schemas.microsoft.com/office/drawing/2014/chart" uri="{C3380CC4-5D6E-409C-BE32-E72D297353CC}">
              <c16:uniqueId val="{00000001-4272-4038-B5F5-03CED072061A}"/>
            </c:ext>
          </c:extLst>
        </c:ser>
        <c:dLbls>
          <c:showLegendKey val="0"/>
          <c:showVal val="0"/>
          <c:showCatName val="0"/>
          <c:showSerName val="0"/>
          <c:showPercent val="0"/>
          <c:showBubbleSize val="0"/>
        </c:dLbls>
        <c:gapWidth val="219"/>
        <c:overlap val="-27"/>
        <c:axId val="789798912"/>
        <c:axId val="789739136"/>
      </c:barChart>
      <c:catAx>
        <c:axId val="789798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89739136"/>
        <c:crosses val="autoZero"/>
        <c:auto val="1"/>
        <c:lblAlgn val="ctr"/>
        <c:lblOffset val="100"/>
        <c:noMultiLvlLbl val="0"/>
      </c:catAx>
      <c:valAx>
        <c:axId val="789739136"/>
        <c:scaling>
          <c:orientation val="minMax"/>
          <c:max val="10"/>
          <c:min val="-6"/>
        </c:scaling>
        <c:delete val="0"/>
        <c:axPos val="l"/>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RT(ms)</a:t>
                </a:r>
              </a:p>
            </c:rich>
          </c:tx>
          <c:overlay val="0"/>
          <c:spPr>
            <a:noFill/>
            <a:ln>
              <a:noFill/>
            </a:ln>
            <a:effectLst/>
          </c:spPr>
        </c:title>
        <c:numFmt formatCode="General" sourceLinked="1"/>
        <c:majorTickMark val="cross"/>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897989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Sheet1!$A$23</c:f>
              <c:strCache>
                <c:ptCount val="1"/>
                <c:pt idx="0">
                  <c:v>Low-ALT </c:v>
                </c:pt>
              </c:strCache>
            </c:strRef>
          </c:tx>
          <c:spPr>
            <a:pattFill prst="pct5">
              <a:fgClr>
                <a:schemeClr val="tx1">
                  <a:lumMod val="65000"/>
                  <a:lumOff val="35000"/>
                </a:schemeClr>
              </a:fgClr>
              <a:bgClr>
                <a:schemeClr val="bg1"/>
              </a:bgClr>
            </a:pattFill>
            <a:ln w="6350">
              <a:solidFill>
                <a:schemeClr val="tx1"/>
              </a:solidFill>
            </a:ln>
            <a:effectLst/>
          </c:spPr>
          <c:invertIfNegative val="0"/>
          <c:errBars>
            <c:errBarType val="both"/>
            <c:errValType val="cust"/>
            <c:noEndCap val="0"/>
            <c:plus>
              <c:numRef>
                <c:f>Sheet1!$D$23:$E$23</c:f>
                <c:numCache>
                  <c:formatCode>General</c:formatCode>
                  <c:ptCount val="2"/>
                  <c:pt idx="0">
                    <c:v>8</c:v>
                  </c:pt>
                  <c:pt idx="1">
                    <c:v>10</c:v>
                  </c:pt>
                </c:numCache>
              </c:numRef>
            </c:plus>
            <c:minus>
              <c:numRef>
                <c:f>Sheet1!$D$23:$E$23</c:f>
                <c:numCache>
                  <c:formatCode>General</c:formatCode>
                  <c:ptCount val="2"/>
                  <c:pt idx="0">
                    <c:v>8</c:v>
                  </c:pt>
                  <c:pt idx="1">
                    <c:v>10</c:v>
                  </c:pt>
                </c:numCache>
              </c:numRef>
            </c:minus>
            <c:spPr>
              <a:noFill/>
              <a:ln w="9525" cap="flat" cmpd="sng" algn="ctr">
                <a:solidFill>
                  <a:schemeClr val="tx1">
                    <a:lumMod val="65000"/>
                    <a:lumOff val="35000"/>
                  </a:schemeClr>
                </a:solidFill>
                <a:round/>
              </a:ln>
              <a:effectLst/>
            </c:spPr>
          </c:errBars>
          <c:cat>
            <c:strRef>
              <c:f>Sheet1!$B$22:$C$22</c:f>
              <c:strCache>
                <c:ptCount val="2"/>
                <c:pt idx="0">
                  <c:v>Cost</c:v>
                </c:pt>
                <c:pt idx="1">
                  <c:v>Facilitation</c:v>
                </c:pt>
              </c:strCache>
            </c:strRef>
          </c:cat>
          <c:val>
            <c:numRef>
              <c:f>Sheet1!$B$23:$C$23</c:f>
              <c:numCache>
                <c:formatCode>General</c:formatCode>
                <c:ptCount val="2"/>
                <c:pt idx="0">
                  <c:v>29.1</c:v>
                </c:pt>
                <c:pt idx="1">
                  <c:v>12.8</c:v>
                </c:pt>
              </c:numCache>
            </c:numRef>
          </c:val>
          <c:extLst xmlns:c16r2="http://schemas.microsoft.com/office/drawing/2015/06/chart">
            <c:ext xmlns:c16="http://schemas.microsoft.com/office/drawing/2014/chart" uri="{C3380CC4-5D6E-409C-BE32-E72D297353CC}">
              <c16:uniqueId val="{00000000-41F5-4994-ADB7-E4F6883640C4}"/>
            </c:ext>
          </c:extLst>
        </c:ser>
        <c:ser>
          <c:idx val="1"/>
          <c:order val="1"/>
          <c:tx>
            <c:strRef>
              <c:f>Sheet1!$A$24</c:f>
              <c:strCache>
                <c:ptCount val="1"/>
                <c:pt idx="0">
                  <c:v>High-ALT</c:v>
                </c:pt>
              </c:strCache>
            </c:strRef>
          </c:tx>
          <c:spPr>
            <a:pattFill prst="wdUpDiag">
              <a:fgClr>
                <a:schemeClr val="tx1">
                  <a:lumMod val="65000"/>
                  <a:lumOff val="35000"/>
                </a:schemeClr>
              </a:fgClr>
              <a:bgClr>
                <a:schemeClr val="bg1"/>
              </a:bgClr>
            </a:pattFill>
            <a:ln w="6350">
              <a:solidFill>
                <a:schemeClr val="tx1"/>
              </a:solidFill>
            </a:ln>
            <a:effectLst/>
          </c:spPr>
          <c:invertIfNegative val="0"/>
          <c:errBars>
            <c:errBarType val="both"/>
            <c:errValType val="cust"/>
            <c:noEndCap val="0"/>
            <c:plus>
              <c:numRef>
                <c:f>Sheet1!$D$24:$E$24</c:f>
                <c:numCache>
                  <c:formatCode>General</c:formatCode>
                  <c:ptCount val="2"/>
                  <c:pt idx="0">
                    <c:v>10</c:v>
                  </c:pt>
                  <c:pt idx="1">
                    <c:v>8</c:v>
                  </c:pt>
                </c:numCache>
              </c:numRef>
            </c:plus>
            <c:minus>
              <c:numRef>
                <c:f>Sheet1!$D$24:$E$24</c:f>
                <c:numCache>
                  <c:formatCode>General</c:formatCode>
                  <c:ptCount val="2"/>
                  <c:pt idx="0">
                    <c:v>10</c:v>
                  </c:pt>
                  <c:pt idx="1">
                    <c:v>8</c:v>
                  </c:pt>
                </c:numCache>
              </c:numRef>
            </c:minus>
            <c:spPr>
              <a:noFill/>
              <a:ln w="9525" cap="flat" cmpd="sng" algn="ctr">
                <a:solidFill>
                  <a:schemeClr val="tx1">
                    <a:lumMod val="65000"/>
                    <a:lumOff val="35000"/>
                  </a:schemeClr>
                </a:solidFill>
                <a:round/>
              </a:ln>
              <a:effectLst/>
            </c:spPr>
          </c:errBars>
          <c:cat>
            <c:strRef>
              <c:f>Sheet1!$B$22:$C$22</c:f>
              <c:strCache>
                <c:ptCount val="2"/>
                <c:pt idx="0">
                  <c:v>Cost</c:v>
                </c:pt>
                <c:pt idx="1">
                  <c:v>Facilitation</c:v>
                </c:pt>
              </c:strCache>
            </c:strRef>
          </c:cat>
          <c:val>
            <c:numRef>
              <c:f>Sheet1!$B$24:$C$24</c:f>
              <c:numCache>
                <c:formatCode>General</c:formatCode>
                <c:ptCount val="2"/>
                <c:pt idx="0">
                  <c:v>25.4</c:v>
                </c:pt>
                <c:pt idx="1">
                  <c:v>14.6</c:v>
                </c:pt>
              </c:numCache>
            </c:numRef>
          </c:val>
          <c:extLst xmlns:c16r2="http://schemas.microsoft.com/office/drawing/2015/06/chart">
            <c:ext xmlns:c16="http://schemas.microsoft.com/office/drawing/2014/chart" uri="{C3380CC4-5D6E-409C-BE32-E72D297353CC}">
              <c16:uniqueId val="{00000001-41F5-4994-ADB7-E4F6883640C4}"/>
            </c:ext>
          </c:extLst>
        </c:ser>
        <c:dLbls>
          <c:showLegendKey val="0"/>
          <c:showVal val="0"/>
          <c:showCatName val="0"/>
          <c:showSerName val="0"/>
          <c:showPercent val="0"/>
          <c:showBubbleSize val="0"/>
        </c:dLbls>
        <c:gapWidth val="219"/>
        <c:overlap val="-27"/>
        <c:axId val="789618688"/>
        <c:axId val="789740864"/>
      </c:barChart>
      <c:catAx>
        <c:axId val="789618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89740864"/>
        <c:crosses val="autoZero"/>
        <c:auto val="1"/>
        <c:lblAlgn val="ctr"/>
        <c:lblOffset val="100"/>
        <c:noMultiLvlLbl val="0"/>
      </c:catAx>
      <c:valAx>
        <c:axId val="789740864"/>
        <c:scaling>
          <c:orientation val="minMax"/>
        </c:scaling>
        <c:delete val="0"/>
        <c:axPos val="l"/>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AU"/>
                  <a:t>RT(ms)</a:t>
                </a:r>
              </a:p>
            </c:rich>
          </c:tx>
          <c:overlay val="0"/>
          <c:spPr>
            <a:noFill/>
            <a:ln>
              <a:noFill/>
            </a:ln>
            <a:effectLst/>
          </c:spPr>
        </c:title>
        <c:numFmt formatCode="General" sourceLinked="1"/>
        <c:majorTickMark val="cross"/>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896186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Sheet1!$A$39</c:f>
              <c:strCache>
                <c:ptCount val="1"/>
                <c:pt idx="0">
                  <c:v>Low-ALT </c:v>
                </c:pt>
              </c:strCache>
            </c:strRef>
          </c:tx>
          <c:spPr>
            <a:pattFill prst="pct5">
              <a:fgClr>
                <a:schemeClr val="tx1">
                  <a:lumMod val="65000"/>
                  <a:lumOff val="35000"/>
                </a:schemeClr>
              </a:fgClr>
              <a:bgClr>
                <a:schemeClr val="bg1"/>
              </a:bgClr>
            </a:pattFill>
            <a:ln w="6350">
              <a:solidFill>
                <a:schemeClr val="tx1"/>
              </a:solidFill>
            </a:ln>
            <a:effectLst/>
          </c:spPr>
          <c:invertIfNegative val="0"/>
          <c:errBars>
            <c:errBarType val="both"/>
            <c:errValType val="cust"/>
            <c:noEndCap val="0"/>
            <c:plus>
              <c:numRef>
                <c:f>Sheet1!$D$39:$E$39</c:f>
                <c:numCache>
                  <c:formatCode>General</c:formatCode>
                  <c:ptCount val="2"/>
                  <c:pt idx="0">
                    <c:v>9</c:v>
                  </c:pt>
                  <c:pt idx="1">
                    <c:v>7</c:v>
                  </c:pt>
                </c:numCache>
              </c:numRef>
            </c:plus>
            <c:minus>
              <c:numRef>
                <c:f>Sheet1!$D$39:$E$39</c:f>
                <c:numCache>
                  <c:formatCode>General</c:formatCode>
                  <c:ptCount val="2"/>
                  <c:pt idx="0">
                    <c:v>9</c:v>
                  </c:pt>
                  <c:pt idx="1">
                    <c:v>7</c:v>
                  </c:pt>
                </c:numCache>
              </c:numRef>
            </c:minus>
            <c:spPr>
              <a:noFill/>
              <a:ln w="9525" cap="flat" cmpd="sng" algn="ctr">
                <a:solidFill>
                  <a:schemeClr val="tx1">
                    <a:lumMod val="65000"/>
                    <a:lumOff val="35000"/>
                  </a:schemeClr>
                </a:solidFill>
                <a:round/>
              </a:ln>
              <a:effectLst/>
            </c:spPr>
          </c:errBars>
          <c:cat>
            <c:strRef>
              <c:f>Sheet1!$B$38:$C$38</c:f>
              <c:strCache>
                <c:ptCount val="2"/>
                <c:pt idx="0">
                  <c:v>Cost</c:v>
                </c:pt>
                <c:pt idx="1">
                  <c:v>Facilitation</c:v>
                </c:pt>
              </c:strCache>
            </c:strRef>
          </c:cat>
          <c:val>
            <c:numRef>
              <c:f>Sheet1!$B$39:$C$39</c:f>
              <c:numCache>
                <c:formatCode>General</c:formatCode>
                <c:ptCount val="2"/>
                <c:pt idx="0">
                  <c:v>23.6</c:v>
                </c:pt>
                <c:pt idx="1">
                  <c:v>15.7</c:v>
                </c:pt>
              </c:numCache>
            </c:numRef>
          </c:val>
          <c:extLst xmlns:c16r2="http://schemas.microsoft.com/office/drawing/2015/06/chart">
            <c:ext xmlns:c16="http://schemas.microsoft.com/office/drawing/2014/chart" uri="{C3380CC4-5D6E-409C-BE32-E72D297353CC}">
              <c16:uniqueId val="{00000000-FCDB-46C6-9E06-AF5519D49857}"/>
            </c:ext>
          </c:extLst>
        </c:ser>
        <c:ser>
          <c:idx val="1"/>
          <c:order val="1"/>
          <c:tx>
            <c:strRef>
              <c:f>Sheet1!$A$40</c:f>
              <c:strCache>
                <c:ptCount val="1"/>
                <c:pt idx="0">
                  <c:v>High-ALT</c:v>
                </c:pt>
              </c:strCache>
            </c:strRef>
          </c:tx>
          <c:spPr>
            <a:pattFill prst="wdUpDiag">
              <a:fgClr>
                <a:schemeClr val="tx1">
                  <a:lumMod val="65000"/>
                  <a:lumOff val="35000"/>
                </a:schemeClr>
              </a:fgClr>
              <a:bgClr>
                <a:schemeClr val="bg1"/>
              </a:bgClr>
            </a:pattFill>
            <a:ln w="6350">
              <a:solidFill>
                <a:schemeClr val="tx1"/>
              </a:solidFill>
            </a:ln>
            <a:effectLst/>
          </c:spPr>
          <c:invertIfNegative val="0"/>
          <c:errBars>
            <c:errBarType val="both"/>
            <c:errValType val="cust"/>
            <c:noEndCap val="0"/>
            <c:plus>
              <c:numRef>
                <c:f>Sheet1!$D$40:$E$40</c:f>
                <c:numCache>
                  <c:formatCode>General</c:formatCode>
                  <c:ptCount val="2"/>
                  <c:pt idx="0">
                    <c:v>7</c:v>
                  </c:pt>
                  <c:pt idx="1">
                    <c:v>9</c:v>
                  </c:pt>
                </c:numCache>
              </c:numRef>
            </c:plus>
            <c:minus>
              <c:numRef>
                <c:f>Sheet1!$D$40:$E$40</c:f>
                <c:numCache>
                  <c:formatCode>General</c:formatCode>
                  <c:ptCount val="2"/>
                  <c:pt idx="0">
                    <c:v>7</c:v>
                  </c:pt>
                  <c:pt idx="1">
                    <c:v>9</c:v>
                  </c:pt>
                </c:numCache>
              </c:numRef>
            </c:minus>
            <c:spPr>
              <a:noFill/>
              <a:ln w="9525" cap="flat" cmpd="sng" algn="ctr">
                <a:solidFill>
                  <a:schemeClr val="tx1">
                    <a:lumMod val="65000"/>
                    <a:lumOff val="35000"/>
                  </a:schemeClr>
                </a:solidFill>
                <a:round/>
              </a:ln>
              <a:effectLst/>
            </c:spPr>
          </c:errBars>
          <c:cat>
            <c:strRef>
              <c:f>Sheet1!$B$38:$C$38</c:f>
              <c:strCache>
                <c:ptCount val="2"/>
                <c:pt idx="0">
                  <c:v>Cost</c:v>
                </c:pt>
                <c:pt idx="1">
                  <c:v>Facilitation</c:v>
                </c:pt>
              </c:strCache>
            </c:strRef>
          </c:cat>
          <c:val>
            <c:numRef>
              <c:f>Sheet1!$B$40:$C$40</c:f>
              <c:numCache>
                <c:formatCode>General</c:formatCode>
                <c:ptCount val="2"/>
                <c:pt idx="0">
                  <c:v>27.8</c:v>
                </c:pt>
                <c:pt idx="1">
                  <c:v>25.4</c:v>
                </c:pt>
              </c:numCache>
            </c:numRef>
          </c:val>
          <c:extLst xmlns:c16r2="http://schemas.microsoft.com/office/drawing/2015/06/chart">
            <c:ext xmlns:c16="http://schemas.microsoft.com/office/drawing/2014/chart" uri="{C3380CC4-5D6E-409C-BE32-E72D297353CC}">
              <c16:uniqueId val="{00000001-FCDB-46C6-9E06-AF5519D49857}"/>
            </c:ext>
          </c:extLst>
        </c:ser>
        <c:dLbls>
          <c:showLegendKey val="0"/>
          <c:showVal val="0"/>
          <c:showCatName val="0"/>
          <c:showSerName val="0"/>
          <c:showPercent val="0"/>
          <c:showBubbleSize val="0"/>
        </c:dLbls>
        <c:gapWidth val="219"/>
        <c:overlap val="-27"/>
        <c:axId val="789801472"/>
        <c:axId val="789939328"/>
      </c:barChart>
      <c:catAx>
        <c:axId val="789801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89939328"/>
        <c:crosses val="autoZero"/>
        <c:auto val="1"/>
        <c:lblAlgn val="ctr"/>
        <c:lblOffset val="100"/>
        <c:noMultiLvlLbl val="0"/>
      </c:catAx>
      <c:valAx>
        <c:axId val="789939328"/>
        <c:scaling>
          <c:orientation val="minMax"/>
        </c:scaling>
        <c:delete val="0"/>
        <c:axPos val="l"/>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AU"/>
                  <a:t> RT(ms)</a:t>
                </a:r>
              </a:p>
            </c:rich>
          </c:tx>
          <c:overlay val="0"/>
          <c:spPr>
            <a:noFill/>
            <a:ln>
              <a:noFill/>
            </a:ln>
            <a:effectLst/>
          </c:spPr>
        </c:title>
        <c:numFmt formatCode="General" sourceLinked="1"/>
        <c:majorTickMark val="cross"/>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898014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669</Words>
  <Characters>3817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E742928</dc:creator>
  <cp:lastModifiedBy>E742928</cp:lastModifiedBy>
  <cp:revision>1</cp:revision>
  <dcterms:created xsi:type="dcterms:W3CDTF">2024-03-01T00:27:00Z</dcterms:created>
  <dcterms:modified xsi:type="dcterms:W3CDTF">2024-03-01T00:29:00Z</dcterms:modified>
</cp:coreProperties>
</file>