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29EF3" w14:textId="05B6FFA7" w:rsidR="00F54A53" w:rsidRPr="00486920" w:rsidRDefault="00B172DF" w:rsidP="00712D53">
      <w:pPr>
        <w:jc w:val="center"/>
        <w:rPr>
          <w:rFonts w:ascii="Times New Roman" w:hAnsi="Times New Roman" w:cs="Times New Roman"/>
          <w:b/>
          <w:bCs/>
        </w:rPr>
      </w:pPr>
      <w:r w:rsidRPr="00486920">
        <w:rPr>
          <w:rFonts w:ascii="Times New Roman" w:hAnsi="Times New Roman" w:cs="Times New Roman"/>
          <w:b/>
          <w:bCs/>
        </w:rPr>
        <w:t>Supple</w:t>
      </w:r>
      <w:r w:rsidR="00F42967" w:rsidRPr="00486920">
        <w:rPr>
          <w:rFonts w:ascii="Times New Roman" w:hAnsi="Times New Roman" w:cs="Times New Roman"/>
          <w:b/>
          <w:bCs/>
        </w:rPr>
        <w:t>ment</w:t>
      </w:r>
      <w:r w:rsidR="003A4C97" w:rsidRPr="00486920">
        <w:rPr>
          <w:rFonts w:ascii="Times New Roman" w:hAnsi="Times New Roman" w:cs="Times New Roman"/>
          <w:b/>
          <w:bCs/>
        </w:rPr>
        <w:t>ary Materials</w:t>
      </w:r>
    </w:p>
    <w:p w14:paraId="6BBB4A6F" w14:textId="77777777" w:rsidR="00712D53" w:rsidRPr="00486920" w:rsidRDefault="00712D53" w:rsidP="00712D53">
      <w:pPr>
        <w:jc w:val="center"/>
        <w:rPr>
          <w:rFonts w:ascii="Times New Roman" w:hAnsi="Times New Roman" w:cs="Times New Roman"/>
          <w:b/>
          <w:bCs/>
        </w:rPr>
      </w:pPr>
    </w:p>
    <w:p w14:paraId="381E4B1D" w14:textId="77777777" w:rsidR="00EF0645" w:rsidRPr="00486920" w:rsidRDefault="00EF0645" w:rsidP="00EF0645">
      <w:pPr>
        <w:spacing w:line="480" w:lineRule="auto"/>
        <w:jc w:val="center"/>
        <w:rPr>
          <w:rFonts w:ascii="Times New Roman" w:hAnsi="Times New Roman" w:cs="Times New Roma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1. </w:t>
      </w:r>
      <w:r w:rsidR="00D6520D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Experiment 1</w:t>
      </w:r>
    </w:p>
    <w:p w14:paraId="46572A4D" w14:textId="769B1FC2" w:rsidR="00575B6C" w:rsidRPr="00486920" w:rsidRDefault="00EF0645" w:rsidP="00EF064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1.1 </w:t>
      </w:r>
      <w:r w:rsidR="00575B6C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Methods</w:t>
      </w:r>
    </w:p>
    <w:p w14:paraId="7BB61389" w14:textId="03A94D40" w:rsidR="00575B6C" w:rsidRPr="00486920" w:rsidRDefault="003A4C97">
      <w:pPr>
        <w:rPr>
          <w:rFonts w:ascii="Times New Roman" w:hAnsi="Times New Roman" w:cs="Times New Roman"/>
          <w:i/>
          <w:iCs/>
        </w:rPr>
      </w:pP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1.1.1. </w:t>
      </w:r>
      <w:r w:rsidR="00575B6C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Task, stimuli, and procedure</w:t>
      </w:r>
    </w:p>
    <w:p w14:paraId="2325D451" w14:textId="5960F47B" w:rsidR="007D5020" w:rsidRPr="00486920" w:rsidRDefault="007D5020" w:rsidP="00F51F06">
      <w:pPr>
        <w:spacing w:line="480" w:lineRule="auto"/>
        <w:rPr>
          <w:rFonts w:ascii="Times New Roman" w:hAnsi="Times New Roman" w:cs="Times New Roman"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color w:val="000000" w:themeColor="text1"/>
          <w:lang w:val="en"/>
        </w:rPr>
        <w:t>During the Enhance-Feature task, participants were cued to the likely shape of the target. The cue correctly predicted the target shape (Enhance-Feature) with 70% validity (“S” or “D” for square or diamond target, respectively; equal probabilities of S vs. D)</w:t>
      </w:r>
      <w:r w:rsidRPr="00486920">
        <w:rPr>
          <w:rStyle w:val="CommentReference"/>
          <w:rFonts w:ascii="Times New Roman" w:eastAsia="Arial" w:hAnsi="Times New Roman" w:cs="Times New Roman"/>
          <w:color w:val="000000" w:themeColor="text1"/>
          <w:sz w:val="24"/>
          <w:szCs w:val="24"/>
          <w:lang w:val="en"/>
        </w:rPr>
        <w:t>.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 The cue invalidly predicted the target shape in 20% of trials (32 trials). The “N” letter cue did not provide any information about the upcoming target for 10% of trials (16 trials). Targets did not appear at the two vertical meridian indexes (12 o’clock and 6 o’clock positions), as our Enhance-Location task only cued to the right or left side.</w:t>
      </w:r>
    </w:p>
    <w:p w14:paraId="7D4EE8D6" w14:textId="169692B1" w:rsidR="007D5020" w:rsidRPr="00486920" w:rsidRDefault="007D5020" w:rsidP="007D5020">
      <w:pPr>
        <w:spacing w:line="480" w:lineRule="auto"/>
        <w:ind w:firstLine="708"/>
        <w:rPr>
          <w:rFonts w:ascii="Times New Roman" w:hAnsi="Times New Roman" w:cs="Times New Roman"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During the Suppress-Feature task, the distractor singleton would have one </w:t>
      </w:r>
      <w:proofErr w:type="gramStart"/>
      <w:r w:rsidRPr="00486920">
        <w:rPr>
          <w:rFonts w:ascii="Times New Roman" w:hAnsi="Times New Roman" w:cs="Times New Roman"/>
          <w:color w:val="000000" w:themeColor="text1"/>
          <w:lang w:val="en"/>
        </w:rPr>
        <w:t>particular color</w:t>
      </w:r>
      <w:proofErr w:type="gramEnd"/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 with 70% probability (Frequent trials) and any of the four other colors at random with 20% probability (Infrequent trials); distractor singleton location was random. Neither targets nor distractor-singletons appeared at the two vertical meridian indexes (12 o’clock and 6 o’clock positions), as our Enhance-Location task only cued to the right or left side.</w:t>
      </w:r>
    </w:p>
    <w:p w14:paraId="1E984A5D" w14:textId="7E7E2879" w:rsidR="007D5020" w:rsidRPr="00486920" w:rsidRDefault="003A4C97" w:rsidP="007D5020">
      <w:pPr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1.1.2. </w:t>
      </w:r>
      <w:r w:rsidR="007D5020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Questionnaire</w:t>
      </w:r>
    </w:p>
    <w:p w14:paraId="363F7196" w14:textId="5B42D520" w:rsidR="00047B17" w:rsidRPr="00486920" w:rsidRDefault="007D5020" w:rsidP="00EF0645">
      <w:pPr>
        <w:spacing w:line="480" w:lineRule="auto"/>
        <w:rPr>
          <w:rFonts w:ascii="Times New Roman" w:hAnsi="Times New Roman" w:cs="Times New Roman"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color w:val="000000" w:themeColor="text1"/>
          <w:lang w:val="en"/>
        </w:rPr>
        <w:t>Participants were provided a questionnaire at the end of the experiment which took roughly 15 minutes to complete. Participants were asked</w:t>
      </w:r>
      <w:r w:rsidR="00923FEF" w:rsidRPr="00486920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>about demographics, education and skills, sex</w:t>
      </w:r>
      <w:r w:rsidR="00923FEF" w:rsidRPr="00486920">
        <w:rPr>
          <w:rFonts w:ascii="Times New Roman" w:hAnsi="Times New Roman" w:cs="Times New Roman"/>
          <w:color w:val="000000" w:themeColor="text1"/>
          <w:lang w:val="en"/>
        </w:rPr>
        <w:t>,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 gender, vision and hearing</w:t>
      </w:r>
      <w:r w:rsidR="00923FEF" w:rsidRPr="00486920">
        <w:rPr>
          <w:rFonts w:ascii="Times New Roman" w:hAnsi="Times New Roman" w:cs="Times New Roman"/>
          <w:color w:val="000000" w:themeColor="text1"/>
          <w:lang w:val="en"/>
        </w:rPr>
        <w:t xml:space="preserve">, 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health history</w:t>
      </w:r>
      <w:r w:rsidR="00923FEF" w:rsidRPr="00486920">
        <w:rPr>
          <w:rFonts w:ascii="Times New Roman" w:hAnsi="Times New Roman" w:cs="Times New Roman"/>
          <w:color w:val="000000" w:themeColor="text1"/>
          <w:lang w:val="en"/>
        </w:rPr>
        <w:t xml:space="preserve">, 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the Alcohol Use Disorders Identification Test (AUDIT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>;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 xml:space="preserve">Saunders </w:t>
      </w:r>
      <w:r w:rsidR="003841C1" w:rsidRPr="00486920">
        <w:rPr>
          <w:rFonts w:ascii="Times New Roman" w:hAnsi="Times New Roman" w:cs="Times New Roman"/>
          <w:color w:val="000000" w:themeColor="text1"/>
          <w:lang w:val="en"/>
        </w:rPr>
        <w:t>et al.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>, 1993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), the Barkley Adult ADHD Rating Scale (BAARS-IV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>;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 xml:space="preserve"> </w:t>
      </w:r>
      <w:r w:rsidR="00193E56" w:rsidRPr="00486920">
        <w:rPr>
          <w:rFonts w:ascii="Times New Roman" w:hAnsi="Times New Roman" w:cs="Times New Roman"/>
          <w:color w:val="000000" w:themeColor="text1"/>
        </w:rPr>
        <w:t>Barkley, 2011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), cardiovascular and respiratory fitness (</w:t>
      </w:r>
      <w:r w:rsidR="00B62879" w:rsidRPr="00486920">
        <w:rPr>
          <w:rFonts w:ascii="Times New Roman" w:hAnsi="Times New Roman" w:cs="Times New Roman"/>
          <w:color w:val="000000" w:themeColor="text1"/>
        </w:rPr>
        <w:t>McAuley</w:t>
      </w:r>
      <w:r w:rsidR="00B62879" w:rsidRPr="00486920">
        <w:rPr>
          <w:rFonts w:ascii="Times New Roman" w:hAnsi="Times New Roman" w:cs="Times New Roman"/>
          <w:color w:val="000000" w:themeColor="text1"/>
          <w:lang w:val="en"/>
        </w:rPr>
        <w:t xml:space="preserve"> et al., 2011), 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the Fagerstrom Nicotine Dependence Test (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>Heatherton et al., 1991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), the Perceived Stress Scale (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>Cohen et al., 1983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), and the Pittsburgh Sleep Quality Index (</w:t>
      </w:r>
      <w:r w:rsidR="00193E56" w:rsidRPr="00486920">
        <w:rPr>
          <w:rFonts w:ascii="Times New Roman" w:hAnsi="Times New Roman" w:cs="Times New Roman"/>
          <w:color w:val="000000" w:themeColor="text1"/>
          <w:lang w:val="en"/>
        </w:rPr>
        <w:t>Buysse et al., 1989</w:t>
      </w:r>
      <w:r w:rsidR="006103D2" w:rsidRPr="00486920">
        <w:rPr>
          <w:rFonts w:ascii="Times New Roman" w:hAnsi="Times New Roman" w:cs="Times New Roman"/>
          <w:color w:val="000000" w:themeColor="text1"/>
          <w:lang w:val="en"/>
        </w:rPr>
        <w:t>).</w:t>
      </w:r>
    </w:p>
    <w:p w14:paraId="68B4C732" w14:textId="77777777" w:rsidR="00ED12D2" w:rsidRPr="00486920" w:rsidRDefault="00ED12D2" w:rsidP="00B938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"/>
        </w:rPr>
      </w:pPr>
    </w:p>
    <w:p w14:paraId="28B7B801" w14:textId="4AEFB30D" w:rsidR="006103D2" w:rsidRPr="00486920" w:rsidRDefault="003A4C97" w:rsidP="00EF0645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2. </w:t>
      </w:r>
      <w:r w:rsidR="00D6520D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Experiment </w:t>
      </w:r>
      <w:r w:rsidR="006103D2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2</w:t>
      </w:r>
    </w:p>
    <w:p w14:paraId="4172A8D6" w14:textId="78F1EF8B" w:rsidR="00AD2885" w:rsidRPr="00486920" w:rsidRDefault="00AD2885" w:rsidP="00AD2885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ANOVA Methods</w:t>
      </w:r>
    </w:p>
    <w:p w14:paraId="26BD69F5" w14:textId="4EFBC127" w:rsidR="00C019CC" w:rsidRPr="00486920" w:rsidRDefault="00AD2885" w:rsidP="00B938E0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color w:val="000000" w:themeColor="text1"/>
          <w:lang w:val="en"/>
        </w:rPr>
        <w:t>For TLL blocks, accuracy and RT were analyzed using a 2x2 repeated measures ANOVA (Target Location [TL] Frequency Effect: frequent location, infrequent location; Distractor Presence Effect: distractor present, distractor absent). An analogous procedure was utilized for DLL blocks with a 3x1 repeated measures ANOVA (Distractor Condition: frequent location, infrequent location, distractor absent), with Greenhouse-Geisser correction. Difference scores were then compared between conditions (Distractor Location [DL] Frequency Effect: infrequent – frequent, Distractor Presence Effect: distractor present – distractor absent) using Bonferroni-corrected paired t-tests.</w:t>
      </w:r>
    </w:p>
    <w:p w14:paraId="05557A33" w14:textId="2A1E04BE" w:rsidR="00AE1FC7" w:rsidRPr="00486920" w:rsidRDefault="003A4C97" w:rsidP="00EF0645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3. </w:t>
      </w:r>
      <w:r w:rsidR="00D6520D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Experiment </w:t>
      </w:r>
      <w:r w:rsidR="006103D2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3</w:t>
      </w:r>
    </w:p>
    <w:p w14:paraId="3A99DA5B" w14:textId="1AB4E288" w:rsidR="00AE1FC7" w:rsidRPr="00486920" w:rsidRDefault="00AE1FC7" w:rsidP="006103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3.</w:t>
      </w:r>
      <w:r w:rsidR="00A76046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1</w:t>
      </w: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. Analysis</w:t>
      </w:r>
    </w:p>
    <w:p w14:paraId="50DAE6B4" w14:textId="32AC3DEF" w:rsidR="006103D2" w:rsidRPr="00486920" w:rsidRDefault="003A4C97" w:rsidP="006103D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3.</w:t>
      </w:r>
      <w:r w:rsidR="00A76046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1</w:t>
      </w: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.</w:t>
      </w:r>
      <w:r w:rsidR="00AE1FC7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1.</w:t>
      </w: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 </w:t>
      </w:r>
      <w:r w:rsidR="00EF0645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Statistical Learning P</w:t>
      </w:r>
      <w:r w:rsidR="006103D2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robe</w:t>
      </w:r>
    </w:p>
    <w:p w14:paraId="08048A92" w14:textId="75EAB23D" w:rsidR="00647B4C" w:rsidRPr="00486920" w:rsidRDefault="006103D2" w:rsidP="00647B4C">
      <w:pPr>
        <w:spacing w:line="480" w:lineRule="auto"/>
        <w:jc w:val="both"/>
        <w:rPr>
          <w:rFonts w:ascii="Times New Roman" w:hAnsi="Times New Roman" w:cs="Times New Roman"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color w:val="000000" w:themeColor="text1"/>
          <w:lang w:val="en"/>
        </w:rPr>
        <w:t>Probe responses were contrasted and compared to chance: 50% for the first Yes/No question, and 25% for the location identification questions since there were four possible locations. Pairwise comparisons were conducted to examine whether each response category</w:t>
      </w:r>
      <w:r w:rsidR="001C5B85" w:rsidRPr="00486920">
        <w:rPr>
          <w:rFonts w:ascii="Times New Roman" w:hAnsi="Times New Roman" w:cs="Times New Roman"/>
          <w:color w:val="000000" w:themeColor="text1"/>
          <w:lang w:val="en"/>
        </w:rPr>
        <w:t xml:space="preserve"> – (1)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 No + Incorrect Response, </w:t>
      </w:r>
      <w:r w:rsidR="001C5B85" w:rsidRPr="00486920">
        <w:rPr>
          <w:rFonts w:ascii="Times New Roman" w:hAnsi="Times New Roman" w:cs="Times New Roman"/>
          <w:color w:val="000000" w:themeColor="text1"/>
          <w:lang w:val="en"/>
        </w:rPr>
        <w:t xml:space="preserve">(2) 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No + Correct Reponses, </w:t>
      </w:r>
      <w:r w:rsidR="001C5B85" w:rsidRPr="00486920">
        <w:rPr>
          <w:rFonts w:ascii="Times New Roman" w:hAnsi="Times New Roman" w:cs="Times New Roman"/>
          <w:color w:val="000000" w:themeColor="text1"/>
          <w:lang w:val="en"/>
        </w:rPr>
        <w:t>(3)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 Yes + Incorrect Response, </w:t>
      </w:r>
      <w:r w:rsidR="001C5B85" w:rsidRPr="00486920">
        <w:rPr>
          <w:rFonts w:ascii="Times New Roman" w:hAnsi="Times New Roman" w:cs="Times New Roman"/>
          <w:color w:val="000000" w:themeColor="text1"/>
          <w:lang w:val="en"/>
        </w:rPr>
        <w:t>(4)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 xml:space="preserve"> Yes + Correct Response</w:t>
      </w:r>
      <w:r w:rsidR="001C5B85" w:rsidRPr="00486920">
        <w:rPr>
          <w:rFonts w:ascii="Times New Roman" w:hAnsi="Times New Roman" w:cs="Times New Roman"/>
          <w:color w:val="000000" w:themeColor="text1"/>
          <w:lang w:val="en"/>
        </w:rPr>
        <w:t xml:space="preserve"> – </w:t>
      </w:r>
      <w:r w:rsidRPr="00486920">
        <w:rPr>
          <w:rFonts w:ascii="Times New Roman" w:hAnsi="Times New Roman" w:cs="Times New Roman"/>
          <w:color w:val="000000" w:themeColor="text1"/>
          <w:lang w:val="en"/>
        </w:rPr>
        <w:t>was significantly different from chance-level.</w:t>
      </w:r>
    </w:p>
    <w:p w14:paraId="55E8CA7D" w14:textId="60B2C885" w:rsidR="007B5D7F" w:rsidRPr="00486920" w:rsidRDefault="00DD1C21" w:rsidP="00DD1C21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3.</w:t>
      </w:r>
      <w:r w:rsidR="00A76046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2</w:t>
      </w: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.1. </w:t>
      </w:r>
      <w:r w:rsidR="00EF0645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Statistical </w:t>
      </w: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Learning Probe </w:t>
      </w:r>
    </w:p>
    <w:p w14:paraId="70D8C1C8" w14:textId="3AFEC395" w:rsidR="007E62EB" w:rsidRPr="00486920" w:rsidRDefault="007B5D7F" w:rsidP="009E5B87">
      <w:pPr>
        <w:pStyle w:val="CommentText"/>
        <w:spacing w:line="480" w:lineRule="auto"/>
        <w:rPr>
          <w:rFonts w:ascii="Times New Roman" w:hAnsi="Times New Roman" w:cs="Times New Roman"/>
          <w:noProof/>
          <w:sz w:val="24"/>
          <w14:ligatures w14:val="standardContextual"/>
        </w:rPr>
      </w:pPr>
      <w:r w:rsidRPr="00486920">
        <w:rPr>
          <w:rFonts w:ascii="Times New Roman" w:hAnsi="Times New Roman" w:cs="Times New Roman"/>
          <w:color w:val="000000" w:themeColor="text1"/>
          <w:sz w:val="24"/>
        </w:rPr>
        <w:t xml:space="preserve">We found that </w:t>
      </w:r>
      <w:r w:rsidR="00DD1C21" w:rsidRPr="00486920">
        <w:rPr>
          <w:rFonts w:ascii="Times New Roman" w:hAnsi="Times New Roman" w:cs="Times New Roman"/>
          <w:color w:val="000000" w:themeColor="text1"/>
          <w:sz w:val="24"/>
        </w:rPr>
        <w:t xml:space="preserve">96% of all participants reported being unaware of any pattern in the location of the target singleton. Although these participants reported a lack of awareness, 57.7% of the unaware participants reported the correct high </w:t>
      </w:r>
      <w:r w:rsidR="00DD1C21" w:rsidRPr="00486920">
        <w:rPr>
          <w:rFonts w:ascii="Times New Roman" w:hAnsi="Times New Roman" w:cs="Times New Roman"/>
          <w:sz w:val="24"/>
        </w:rPr>
        <w:t xml:space="preserve">probability target location, significantly above </w:t>
      </w:r>
      <w:r w:rsidR="00DD1C21" w:rsidRPr="00486920">
        <w:rPr>
          <w:rFonts w:ascii="Times New Roman" w:hAnsi="Times New Roman" w:cs="Times New Roman"/>
          <w:sz w:val="24"/>
        </w:rPr>
        <w:lastRenderedPageBreak/>
        <w:t xml:space="preserve">chance, 25%; </w:t>
      </w:r>
      <w:proofErr w:type="gramStart"/>
      <w:r w:rsidR="00DD1C21" w:rsidRPr="00486920">
        <w:rPr>
          <w:rFonts w:ascii="Times New Roman" w:hAnsi="Times New Roman" w:cs="Times New Roman"/>
          <w:sz w:val="24"/>
        </w:rPr>
        <w:t>t(</w:t>
      </w:r>
      <w:proofErr w:type="gramEnd"/>
      <w:r w:rsidR="00DD1C21" w:rsidRPr="00486920">
        <w:rPr>
          <w:rFonts w:ascii="Times New Roman" w:hAnsi="Times New Roman" w:cs="Times New Roman"/>
          <w:sz w:val="24"/>
        </w:rPr>
        <w:t>26) = 3.1 p &lt; 0.01. 78% of all participants reported being unaware of any pattern in the location of the distractor singleton. Only 24% of the unaware participants reported the correct high probability distractor location, below what would be expected by chance</w:t>
      </w:r>
      <w:r w:rsidR="000D529C" w:rsidRPr="00486920">
        <w:rPr>
          <w:rFonts w:ascii="Times New Roman" w:hAnsi="Times New Roman" w:cs="Times New Roman"/>
          <w:sz w:val="24"/>
        </w:rPr>
        <w:t xml:space="preserve">, </w:t>
      </w:r>
      <w:proofErr w:type="gramStart"/>
      <w:r w:rsidR="000D529C" w:rsidRPr="00486920">
        <w:rPr>
          <w:rFonts w:ascii="Times New Roman" w:hAnsi="Times New Roman" w:cs="Times New Roman"/>
          <w:sz w:val="24"/>
        </w:rPr>
        <w:t>t(</w:t>
      </w:r>
      <w:proofErr w:type="gramEnd"/>
      <w:r w:rsidR="000D529C" w:rsidRPr="00486920">
        <w:rPr>
          <w:rFonts w:ascii="Times New Roman" w:hAnsi="Times New Roman" w:cs="Times New Roman"/>
          <w:sz w:val="24"/>
        </w:rPr>
        <w:t xml:space="preserve">26) = </w:t>
      </w:r>
      <w:r w:rsidR="00A910B1" w:rsidRPr="00486920">
        <w:rPr>
          <w:rFonts w:ascii="Times New Roman" w:hAnsi="Times New Roman" w:cs="Times New Roman"/>
          <w:sz w:val="24"/>
        </w:rPr>
        <w:t>-0.85</w:t>
      </w:r>
      <w:r w:rsidR="000D529C" w:rsidRPr="00486920">
        <w:rPr>
          <w:rFonts w:ascii="Times New Roman" w:hAnsi="Times New Roman" w:cs="Times New Roman"/>
          <w:sz w:val="24"/>
        </w:rPr>
        <w:t xml:space="preserve"> p </w:t>
      </w:r>
      <w:r w:rsidR="00A910B1" w:rsidRPr="00486920">
        <w:rPr>
          <w:rFonts w:ascii="Times New Roman" w:hAnsi="Times New Roman" w:cs="Times New Roman"/>
          <w:sz w:val="24"/>
        </w:rPr>
        <w:t>= 0.40</w:t>
      </w:r>
      <w:r w:rsidR="00DD1C21" w:rsidRPr="00486920">
        <w:rPr>
          <w:rFonts w:ascii="Times New Roman" w:hAnsi="Times New Roman" w:cs="Times New Roman"/>
          <w:sz w:val="24"/>
        </w:rPr>
        <w:t xml:space="preserve">. These results of a lack of conscious awareness suggest that participants learned both target- and distractor-frequency effects via statistical learning rather than explicit pattern-solving. Our target frequency probe results also suggest that, even though participants reported a lack of awareness of the high-probability target location, they still possessed some degree of retained and reportable information guiding their correct </w:t>
      </w:r>
      <w:r w:rsidR="002B6735" w:rsidRPr="00486920">
        <w:rPr>
          <w:rFonts w:ascii="Times New Roman" w:hAnsi="Times New Roman" w:cs="Times New Roman"/>
          <w:sz w:val="24"/>
        </w:rPr>
        <w:t xml:space="preserve">probe </w:t>
      </w:r>
      <w:r w:rsidR="00DD1C21" w:rsidRPr="00486920">
        <w:rPr>
          <w:rFonts w:ascii="Times New Roman" w:hAnsi="Times New Roman" w:cs="Times New Roman"/>
          <w:sz w:val="24"/>
        </w:rPr>
        <w:t xml:space="preserve">selection. Participants </w:t>
      </w:r>
      <w:proofErr w:type="gramStart"/>
      <w:r w:rsidR="00DD1C21" w:rsidRPr="00486920">
        <w:rPr>
          <w:rFonts w:ascii="Times New Roman" w:hAnsi="Times New Roman" w:cs="Times New Roman"/>
          <w:sz w:val="24"/>
        </w:rPr>
        <w:t>were not able to</w:t>
      </w:r>
      <w:proofErr w:type="gramEnd"/>
      <w:r w:rsidR="00DD1C21" w:rsidRPr="00486920">
        <w:rPr>
          <w:rFonts w:ascii="Times New Roman" w:hAnsi="Times New Roman" w:cs="Times New Roman"/>
          <w:sz w:val="24"/>
        </w:rPr>
        <w:t xml:space="preserve"> similarly use learned information about the frequent location of distractors to guide </w:t>
      </w:r>
      <w:r w:rsidR="002B6735" w:rsidRPr="00486920">
        <w:rPr>
          <w:rFonts w:ascii="Times New Roman" w:hAnsi="Times New Roman" w:cs="Times New Roman"/>
          <w:sz w:val="24"/>
        </w:rPr>
        <w:t xml:space="preserve">probe </w:t>
      </w:r>
      <w:r w:rsidR="00DD1C21" w:rsidRPr="00486920">
        <w:rPr>
          <w:rFonts w:ascii="Times New Roman" w:hAnsi="Times New Roman" w:cs="Times New Roman"/>
          <w:sz w:val="24"/>
        </w:rPr>
        <w:t xml:space="preserve">selection. </w:t>
      </w:r>
      <w:r w:rsidR="007E62EB" w:rsidRPr="00486920">
        <w:rPr>
          <w:rFonts w:ascii="Times New Roman" w:hAnsi="Times New Roman" w:cs="Times New Roman"/>
          <w:noProof/>
          <w:sz w:val="24"/>
          <w14:ligatures w14:val="standardContextual"/>
        </w:rPr>
        <w:t xml:space="preserve"> </w:t>
      </w:r>
      <w:r w:rsidR="00FD474A" w:rsidRPr="00486920">
        <w:rPr>
          <w:rFonts w:ascii="Times New Roman" w:hAnsi="Times New Roman" w:cs="Times New Roman"/>
          <w:noProof/>
          <w:sz w:val="24"/>
        </w:rPr>
        <w:t xml:space="preserve"> </w:t>
      </w:r>
    </w:p>
    <w:p w14:paraId="2CD75921" w14:textId="738735DD" w:rsidR="009E5B87" w:rsidRPr="00486920" w:rsidRDefault="003A4C97" w:rsidP="00B938E0">
      <w:pPr>
        <w:jc w:val="center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4. </w:t>
      </w:r>
      <w:r w:rsidR="00D6520D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 xml:space="preserve">Experiment </w:t>
      </w:r>
      <w:r w:rsidR="006103D2"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t>4</w:t>
      </w:r>
    </w:p>
    <w:p w14:paraId="375E565B" w14:textId="36169F92" w:rsidR="00601751" w:rsidRPr="00486920" w:rsidRDefault="00601751" w:rsidP="006103D2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</w:p>
    <w:p w14:paraId="7773AA30" w14:textId="27425908" w:rsidR="006103D2" w:rsidRPr="00486920" w:rsidRDefault="003A4C97" w:rsidP="006103D2">
      <w:pPr>
        <w:spacing w:line="48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4.1.1. </w:t>
      </w:r>
      <w:r w:rsidR="00F109FE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>Statistical</w:t>
      </w:r>
      <w:r w:rsidR="006103D2" w:rsidRPr="00486920">
        <w:rPr>
          <w:rFonts w:ascii="Times New Roman" w:hAnsi="Times New Roman" w:cs="Times New Roman"/>
          <w:b/>
          <w:bCs/>
          <w:i/>
          <w:iCs/>
          <w:color w:val="000000" w:themeColor="text1"/>
          <w:lang w:val="en"/>
        </w:rPr>
        <w:t xml:space="preserve"> Learning Probe</w:t>
      </w:r>
    </w:p>
    <w:p w14:paraId="1253338C" w14:textId="0E1DBEAC" w:rsidR="009E5B87" w:rsidRPr="00486920" w:rsidRDefault="007B5D7F" w:rsidP="00B938E0">
      <w:pPr>
        <w:pStyle w:val="CommentText"/>
        <w:spacing w:line="480" w:lineRule="auto"/>
        <w:rPr>
          <w:rFonts w:ascii="Times New Roman" w:hAnsi="Times New Roman" w:cs="Times New Roman"/>
          <w:sz w:val="24"/>
        </w:rPr>
      </w:pPr>
      <w:r w:rsidRPr="00486920">
        <w:rPr>
          <w:rFonts w:ascii="Times New Roman" w:hAnsi="Times New Roman" w:cs="Times New Roman"/>
          <w:color w:val="000000" w:themeColor="text1"/>
          <w:sz w:val="24"/>
        </w:rPr>
        <w:t xml:space="preserve">We found that </w:t>
      </w:r>
      <w:r w:rsidR="006103D2" w:rsidRPr="00486920">
        <w:rPr>
          <w:rFonts w:ascii="Times New Roman" w:hAnsi="Times New Roman" w:cs="Times New Roman"/>
          <w:color w:val="000000" w:themeColor="text1"/>
          <w:sz w:val="24"/>
        </w:rPr>
        <w:t>8</w:t>
      </w:r>
      <w:r w:rsidR="00583CED" w:rsidRPr="00486920">
        <w:rPr>
          <w:rFonts w:ascii="Times New Roman" w:hAnsi="Times New Roman" w:cs="Times New Roman"/>
          <w:color w:val="000000" w:themeColor="text1"/>
          <w:sz w:val="24"/>
        </w:rPr>
        <w:t>6</w:t>
      </w:r>
      <w:r w:rsidR="006103D2" w:rsidRPr="00486920">
        <w:rPr>
          <w:rFonts w:ascii="Times New Roman" w:hAnsi="Times New Roman" w:cs="Times New Roman"/>
          <w:color w:val="000000" w:themeColor="text1"/>
          <w:sz w:val="24"/>
        </w:rPr>
        <w:t>% of all participants reported being unaware of any pattern in the location of the target singleton. Although these participants reported a lack of awareness, 4</w:t>
      </w:r>
      <w:r w:rsidR="00700BC2" w:rsidRPr="00486920">
        <w:rPr>
          <w:rFonts w:ascii="Times New Roman" w:hAnsi="Times New Roman" w:cs="Times New Roman"/>
          <w:color w:val="000000" w:themeColor="text1"/>
          <w:sz w:val="24"/>
        </w:rPr>
        <w:t>2</w:t>
      </w:r>
      <w:r w:rsidR="006103D2" w:rsidRPr="00486920">
        <w:rPr>
          <w:rFonts w:ascii="Times New Roman" w:hAnsi="Times New Roman" w:cs="Times New Roman"/>
          <w:color w:val="000000" w:themeColor="text1"/>
          <w:sz w:val="24"/>
        </w:rPr>
        <w:t xml:space="preserve">% of the unaware participants reported the correct high </w:t>
      </w:r>
      <w:r w:rsidR="006103D2" w:rsidRPr="00486920">
        <w:rPr>
          <w:rFonts w:ascii="Times New Roman" w:hAnsi="Times New Roman" w:cs="Times New Roman"/>
          <w:sz w:val="24"/>
        </w:rPr>
        <w:t>probability target location. This was no</w:t>
      </w:r>
      <w:r w:rsidR="001B05AA" w:rsidRPr="00486920">
        <w:rPr>
          <w:rFonts w:ascii="Times New Roman" w:hAnsi="Times New Roman" w:cs="Times New Roman"/>
          <w:sz w:val="24"/>
        </w:rPr>
        <w:t>n-</w:t>
      </w:r>
      <w:r w:rsidR="006103D2" w:rsidRPr="00486920">
        <w:rPr>
          <w:rFonts w:ascii="Times New Roman" w:hAnsi="Times New Roman" w:cs="Times New Roman"/>
          <w:sz w:val="24"/>
        </w:rPr>
        <w:t>significan</w:t>
      </w:r>
      <w:r w:rsidR="001B05AA" w:rsidRPr="00486920">
        <w:rPr>
          <w:rFonts w:ascii="Times New Roman" w:hAnsi="Times New Roman" w:cs="Times New Roman"/>
          <w:sz w:val="24"/>
        </w:rPr>
        <w:t>tly</w:t>
      </w:r>
      <w:r w:rsidR="006103D2" w:rsidRPr="00486920">
        <w:rPr>
          <w:rFonts w:ascii="Times New Roman" w:hAnsi="Times New Roman" w:cs="Times New Roman"/>
          <w:sz w:val="24"/>
        </w:rPr>
        <w:t xml:space="preserve"> </w:t>
      </w:r>
      <w:r w:rsidR="001B05AA" w:rsidRPr="00486920">
        <w:rPr>
          <w:rFonts w:ascii="Times New Roman" w:hAnsi="Times New Roman" w:cs="Times New Roman"/>
          <w:sz w:val="24"/>
        </w:rPr>
        <w:t xml:space="preserve">(but marginally) </w:t>
      </w:r>
      <w:r w:rsidR="006103D2" w:rsidRPr="00486920">
        <w:rPr>
          <w:rFonts w:ascii="Times New Roman" w:hAnsi="Times New Roman" w:cs="Times New Roman"/>
          <w:sz w:val="24"/>
        </w:rPr>
        <w:t xml:space="preserve">above chance of 25%, </w:t>
      </w:r>
      <w:proofErr w:type="gramStart"/>
      <w:r w:rsidR="006103D2" w:rsidRPr="00486920">
        <w:rPr>
          <w:rFonts w:ascii="Times New Roman" w:hAnsi="Times New Roman" w:cs="Times New Roman"/>
          <w:sz w:val="24"/>
        </w:rPr>
        <w:t>t(</w:t>
      </w:r>
      <w:proofErr w:type="gramEnd"/>
      <w:r w:rsidR="00700BC2" w:rsidRPr="00486920">
        <w:rPr>
          <w:rFonts w:ascii="Times New Roman" w:hAnsi="Times New Roman" w:cs="Times New Roman"/>
          <w:sz w:val="24"/>
        </w:rPr>
        <w:t>65</w:t>
      </w:r>
      <w:r w:rsidR="006103D2" w:rsidRPr="00486920">
        <w:rPr>
          <w:rFonts w:ascii="Times New Roman" w:hAnsi="Times New Roman" w:cs="Times New Roman"/>
          <w:sz w:val="24"/>
        </w:rPr>
        <w:t>) = 1.</w:t>
      </w:r>
      <w:r w:rsidR="009023BB" w:rsidRPr="00486920">
        <w:rPr>
          <w:rFonts w:ascii="Times New Roman" w:hAnsi="Times New Roman" w:cs="Times New Roman"/>
          <w:sz w:val="24"/>
        </w:rPr>
        <w:t>90</w:t>
      </w:r>
      <w:r w:rsidR="006103D2" w:rsidRPr="00486920">
        <w:rPr>
          <w:rFonts w:ascii="Times New Roman" w:hAnsi="Times New Roman" w:cs="Times New Roman"/>
          <w:sz w:val="24"/>
        </w:rPr>
        <w:t xml:space="preserve"> p = 0.0</w:t>
      </w:r>
      <w:r w:rsidR="009023BB" w:rsidRPr="00486920">
        <w:rPr>
          <w:rFonts w:ascii="Times New Roman" w:hAnsi="Times New Roman" w:cs="Times New Roman"/>
          <w:sz w:val="24"/>
        </w:rPr>
        <w:t>6</w:t>
      </w:r>
      <w:r w:rsidR="006103D2" w:rsidRPr="00486920">
        <w:rPr>
          <w:rFonts w:ascii="Times New Roman" w:hAnsi="Times New Roman" w:cs="Times New Roman"/>
          <w:sz w:val="24"/>
        </w:rPr>
        <w:t xml:space="preserve">. </w:t>
      </w:r>
      <w:r w:rsidR="00FD7F37" w:rsidRPr="00486920">
        <w:rPr>
          <w:rFonts w:ascii="Times New Roman" w:hAnsi="Times New Roman" w:cs="Times New Roman"/>
          <w:sz w:val="24"/>
        </w:rPr>
        <w:t xml:space="preserve">We found that </w:t>
      </w:r>
      <w:r w:rsidR="006103D2" w:rsidRPr="00486920">
        <w:rPr>
          <w:rFonts w:ascii="Times New Roman" w:hAnsi="Times New Roman" w:cs="Times New Roman"/>
          <w:sz w:val="24"/>
        </w:rPr>
        <w:t>7</w:t>
      </w:r>
      <w:r w:rsidR="00FD7F37" w:rsidRPr="00486920">
        <w:rPr>
          <w:rFonts w:ascii="Times New Roman" w:hAnsi="Times New Roman" w:cs="Times New Roman"/>
          <w:sz w:val="24"/>
        </w:rPr>
        <w:t>6</w:t>
      </w:r>
      <w:r w:rsidR="006103D2" w:rsidRPr="00486920">
        <w:rPr>
          <w:rFonts w:ascii="Times New Roman" w:hAnsi="Times New Roman" w:cs="Times New Roman"/>
          <w:sz w:val="24"/>
        </w:rPr>
        <w:t xml:space="preserve">% of all participants reported being unaware of any pattern in the location of the distractor singleton. </w:t>
      </w:r>
      <w:r w:rsidR="001B0FCC" w:rsidRPr="00486920">
        <w:rPr>
          <w:rFonts w:ascii="Times New Roman" w:hAnsi="Times New Roman" w:cs="Times New Roman"/>
          <w:sz w:val="24"/>
        </w:rPr>
        <w:t xml:space="preserve">Although </w:t>
      </w:r>
      <w:r w:rsidR="004835EA" w:rsidRPr="00486920">
        <w:rPr>
          <w:rFonts w:ascii="Times New Roman" w:hAnsi="Times New Roman" w:cs="Times New Roman"/>
          <w:sz w:val="24"/>
        </w:rPr>
        <w:t>40</w:t>
      </w:r>
      <w:r w:rsidR="006103D2" w:rsidRPr="00486920">
        <w:rPr>
          <w:rFonts w:ascii="Times New Roman" w:hAnsi="Times New Roman" w:cs="Times New Roman"/>
          <w:sz w:val="24"/>
        </w:rPr>
        <w:t xml:space="preserve">% of the unaware participants reported the correct high probability distractor location, </w:t>
      </w:r>
      <w:r w:rsidR="00103769" w:rsidRPr="00486920">
        <w:rPr>
          <w:rFonts w:ascii="Times New Roman" w:hAnsi="Times New Roman" w:cs="Times New Roman"/>
          <w:sz w:val="24"/>
        </w:rPr>
        <w:t xml:space="preserve">this </w:t>
      </w:r>
      <w:r w:rsidR="006103D2" w:rsidRPr="00486920">
        <w:rPr>
          <w:rFonts w:ascii="Times New Roman" w:hAnsi="Times New Roman" w:cs="Times New Roman"/>
          <w:sz w:val="24"/>
        </w:rPr>
        <w:t xml:space="preserve">was not significantly above chance, </w:t>
      </w:r>
      <w:proofErr w:type="gramStart"/>
      <w:r w:rsidR="006103D2" w:rsidRPr="00486920">
        <w:rPr>
          <w:rFonts w:ascii="Times New Roman" w:hAnsi="Times New Roman" w:cs="Times New Roman"/>
          <w:sz w:val="24"/>
        </w:rPr>
        <w:t>t(</w:t>
      </w:r>
      <w:proofErr w:type="gramEnd"/>
      <w:r w:rsidR="00E10D51" w:rsidRPr="00486920">
        <w:rPr>
          <w:rFonts w:ascii="Times New Roman" w:hAnsi="Times New Roman" w:cs="Times New Roman"/>
          <w:sz w:val="24"/>
        </w:rPr>
        <w:t>65</w:t>
      </w:r>
      <w:r w:rsidR="006103D2" w:rsidRPr="00486920">
        <w:rPr>
          <w:rFonts w:ascii="Times New Roman" w:hAnsi="Times New Roman" w:cs="Times New Roman"/>
          <w:sz w:val="24"/>
        </w:rPr>
        <w:t>) = 0.</w:t>
      </w:r>
      <w:r w:rsidR="00225260" w:rsidRPr="00486920">
        <w:rPr>
          <w:rFonts w:ascii="Times New Roman" w:hAnsi="Times New Roman" w:cs="Times New Roman"/>
          <w:sz w:val="24"/>
        </w:rPr>
        <w:t>93</w:t>
      </w:r>
      <w:r w:rsidR="006103D2" w:rsidRPr="00486920">
        <w:rPr>
          <w:rFonts w:ascii="Times New Roman" w:hAnsi="Times New Roman" w:cs="Times New Roman"/>
          <w:sz w:val="24"/>
        </w:rPr>
        <w:t>, p = 0.</w:t>
      </w:r>
      <w:r w:rsidR="00225260" w:rsidRPr="00486920">
        <w:rPr>
          <w:rFonts w:ascii="Times New Roman" w:hAnsi="Times New Roman" w:cs="Times New Roman"/>
          <w:sz w:val="24"/>
        </w:rPr>
        <w:t>36</w:t>
      </w:r>
      <w:r w:rsidR="006103D2" w:rsidRPr="00486920">
        <w:rPr>
          <w:rFonts w:ascii="Times New Roman" w:hAnsi="Times New Roman" w:cs="Times New Roman"/>
          <w:sz w:val="24"/>
        </w:rPr>
        <w:t xml:space="preserve">. </w:t>
      </w:r>
      <w:r w:rsidR="00601751" w:rsidRPr="00486920">
        <w:rPr>
          <w:rFonts w:ascii="Times New Roman" w:hAnsi="Times New Roman" w:cs="Times New Roman"/>
          <w:sz w:val="24"/>
        </w:rPr>
        <w:t>These results are consistent with our findings from 3.2.1.</w:t>
      </w:r>
    </w:p>
    <w:p w14:paraId="7E624843" w14:textId="77777777" w:rsidR="00B938E0" w:rsidRPr="00486920" w:rsidRDefault="00B938E0" w:rsidP="00B938E0">
      <w:pPr>
        <w:pStyle w:val="CommentText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230299AC" w14:textId="77777777" w:rsidR="00E80EE0" w:rsidRPr="00486920" w:rsidRDefault="00E80EE0" w:rsidP="00B938E0">
      <w:pPr>
        <w:pStyle w:val="CommentText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3E3D583C" w14:textId="77777777" w:rsidR="00E80EE0" w:rsidRPr="00486920" w:rsidRDefault="00E80EE0" w:rsidP="00B938E0">
      <w:pPr>
        <w:pStyle w:val="CommentText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14:paraId="1AE5FCE3" w14:textId="1A6834FD" w:rsidR="00746BC2" w:rsidRPr="00486920" w:rsidRDefault="00746BC2" w:rsidP="00A7323C">
      <w:pPr>
        <w:spacing w:line="480" w:lineRule="auto"/>
        <w:jc w:val="center"/>
        <w:rPr>
          <w:rFonts w:ascii="Times New Roman" w:hAnsi="Times New Roman" w:cs="Times New Roman"/>
          <w:b/>
          <w:bCs/>
          <w:color w:val="000000" w:themeColor="text1"/>
          <w:lang w:val="en"/>
        </w:rPr>
      </w:pPr>
      <w:r w:rsidRPr="00486920">
        <w:rPr>
          <w:rFonts w:ascii="Times New Roman" w:hAnsi="Times New Roman" w:cs="Times New Roman"/>
          <w:b/>
          <w:bCs/>
          <w:color w:val="000000" w:themeColor="text1"/>
          <w:lang w:val="en"/>
        </w:rPr>
        <w:lastRenderedPageBreak/>
        <w:t>References</w:t>
      </w:r>
    </w:p>
    <w:p w14:paraId="15D475D7" w14:textId="77777777" w:rsidR="00F96616" w:rsidRPr="00486920" w:rsidRDefault="00F96616" w:rsidP="00F40B11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486920">
        <w:rPr>
          <w:rFonts w:ascii="Times New Roman" w:hAnsi="Times New Roman" w:cs="Times New Roman"/>
          <w:color w:val="000000" w:themeColor="text1"/>
        </w:rPr>
        <w:t>Barkley, R. A. (2011). Barkley Adult ADHD Rating Scale-IV (BAARS-IV). The Guilford Press.</w:t>
      </w:r>
    </w:p>
    <w:p w14:paraId="12B979FF" w14:textId="77777777" w:rsidR="00F96616" w:rsidRPr="00486920" w:rsidRDefault="00F96616" w:rsidP="00F40B11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486920">
        <w:rPr>
          <w:rFonts w:ascii="Times New Roman" w:hAnsi="Times New Roman" w:cs="Times New Roman"/>
          <w:color w:val="000000" w:themeColor="text1"/>
        </w:rPr>
        <w:t>Buysse, D. J., Reynolds III, C. F., Monk, T. H., Berman, S. R., &amp; Kupfer, D. J. (1989). The Pittsburgh Sleep Quality Index: a new instrument for psychiatric practice and research. Psychiatry Research, 28(2), 193–213.</w:t>
      </w:r>
    </w:p>
    <w:p w14:paraId="7089EAA6" w14:textId="42F2E68D" w:rsidR="00F96616" w:rsidRPr="00486920" w:rsidRDefault="0016188E" w:rsidP="00F40B11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486920">
        <w:rPr>
          <w:rFonts w:ascii="Times New Roman" w:hAnsi="Times New Roman" w:cs="Times New Roman"/>
          <w:color w:val="000000" w:themeColor="text1"/>
        </w:rPr>
        <w:t>Cohen, S., Kamarck, T., &amp; Mermelstein, R. (1983). A global measure of perceived stress. Journal of health and social behavior, 24(4), 385–396.</w:t>
      </w:r>
    </w:p>
    <w:p w14:paraId="15F8D1FD" w14:textId="4919A83B" w:rsidR="00F13C23" w:rsidRPr="00486920" w:rsidRDefault="00F96616" w:rsidP="00F13C23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  <w:u w:val="single"/>
          <w:shd w:val="clear" w:color="auto" w:fill="FFFFFF"/>
        </w:rPr>
      </w:pPr>
      <w:r w:rsidRPr="00486920">
        <w:rPr>
          <w:rFonts w:ascii="Times New Roman" w:hAnsi="Times New Roman" w:cs="Times New Roman"/>
          <w:color w:val="000000" w:themeColor="text1"/>
          <w:shd w:val="clear" w:color="auto" w:fill="FFFFFF"/>
        </w:rPr>
        <w:t>Heatherton, T. F., Kozlowski, L. T., Frecker, R. C., &amp; Fagerström, K. O. (1991). The Fagerström Test for Nicotine Dependence: a revision of the Fagerström Tolerance Questionnaire. </w:t>
      </w:r>
      <w:r w:rsidRPr="0048692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British journal of addiction</w:t>
      </w:r>
      <w:r w:rsidRPr="00486920">
        <w:rPr>
          <w:rFonts w:ascii="Times New Roman" w:hAnsi="Times New Roman" w:cs="Times New Roman"/>
          <w:color w:val="000000" w:themeColor="text1"/>
          <w:shd w:val="clear" w:color="auto" w:fill="FFFFFF"/>
        </w:rPr>
        <w:t>, </w:t>
      </w:r>
      <w:r w:rsidRPr="00486920">
        <w:rPr>
          <w:rFonts w:ascii="Times New Roman" w:hAnsi="Times New Roman" w:cs="Times New Roman"/>
          <w:i/>
          <w:iCs/>
          <w:color w:val="000000" w:themeColor="text1"/>
          <w:shd w:val="clear" w:color="auto" w:fill="FFFFFF"/>
        </w:rPr>
        <w:t>86</w:t>
      </w:r>
      <w:r w:rsidRPr="00486920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(9), 1119–1127. </w:t>
      </w:r>
      <w:hyperlink r:id="rId7" w:history="1">
        <w:r w:rsidRPr="00486920">
          <w:rPr>
            <w:rStyle w:val="Hyperlink"/>
            <w:rFonts w:ascii="Times New Roman" w:hAnsi="Times New Roman" w:cs="Times New Roman"/>
            <w:color w:val="000000" w:themeColor="text1"/>
            <w:shd w:val="clear" w:color="auto" w:fill="FFFFFF"/>
          </w:rPr>
          <w:t>https://doi.org/10.1111/j.1360-0443.1991.tb01879.x</w:t>
        </w:r>
      </w:hyperlink>
    </w:p>
    <w:p w14:paraId="59CBD6CE" w14:textId="77777777" w:rsidR="00F96616" w:rsidRPr="00486920" w:rsidRDefault="00F96616" w:rsidP="00F40B11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486920">
        <w:rPr>
          <w:rFonts w:ascii="Times New Roman" w:hAnsi="Times New Roman" w:cs="Times New Roman"/>
          <w:color w:val="000000" w:themeColor="text1"/>
        </w:rPr>
        <w:t xml:space="preserve">McAuley, E., Szabo, A. N., Mailey, E. L., Erickson, K. I., Voss, M., White, S. M., Wójcicki, T. R., Gothe, N., Olson, E. A., Mullen, S. P., &amp; Kramer, A. F. (2011). Non-Exercise Estimated Cardiorespiratory Fitness: Associations with Brain Structure, Cognition, and Memory Complaints in Older Adults. Mental health and physical activity, 4(1), 5–11. </w:t>
      </w:r>
      <w:hyperlink r:id="rId8" w:history="1">
        <w:r w:rsidRPr="00486920">
          <w:rPr>
            <w:rStyle w:val="Hyperlink"/>
            <w:rFonts w:ascii="Times New Roman" w:hAnsi="Times New Roman" w:cs="Times New Roman"/>
            <w:color w:val="000000" w:themeColor="text1"/>
          </w:rPr>
          <w:t>https://doi.org/10.1016/j.mhpa.2011.01.001</w:t>
        </w:r>
      </w:hyperlink>
    </w:p>
    <w:p w14:paraId="7BFC7E77" w14:textId="77777777" w:rsidR="00F96616" w:rsidRPr="00486920" w:rsidRDefault="00F96616" w:rsidP="00F40B11">
      <w:pPr>
        <w:spacing w:line="480" w:lineRule="auto"/>
        <w:ind w:left="720" w:hanging="720"/>
        <w:rPr>
          <w:rFonts w:ascii="Times New Roman" w:hAnsi="Times New Roman" w:cs="Times New Roman"/>
          <w:color w:val="000000" w:themeColor="text1"/>
        </w:rPr>
      </w:pPr>
      <w:r w:rsidRPr="00486920">
        <w:rPr>
          <w:rFonts w:ascii="Times New Roman" w:hAnsi="Times New Roman" w:cs="Times New Roman"/>
          <w:color w:val="000000" w:themeColor="text1"/>
        </w:rPr>
        <w:t>Saunders, J. B., Aasland, O. G., Babor, T. F., De la Fuente, J. R., &amp; Grant, M. (1993). Development of the alcohol use disorders identification test (AUDIT): WHO collaborative project on early detection of persons with harmful alcohol consumption‐II. Addiction, 88(6), 791-804.</w:t>
      </w:r>
    </w:p>
    <w:p w14:paraId="578DAABF" w14:textId="77777777" w:rsidR="00746BC2" w:rsidRPr="00486920" w:rsidRDefault="00746BC2" w:rsidP="009E5B87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lang w:val="en"/>
        </w:rPr>
      </w:pPr>
    </w:p>
    <w:sectPr w:rsidR="00746BC2" w:rsidRPr="00486920" w:rsidSect="00A7323C">
      <w:head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133AB" w14:textId="77777777" w:rsidR="000210B6" w:rsidRDefault="000210B6" w:rsidP="00CB342A">
      <w:r>
        <w:separator/>
      </w:r>
    </w:p>
  </w:endnote>
  <w:endnote w:type="continuationSeparator" w:id="0">
    <w:p w14:paraId="114372EC" w14:textId="77777777" w:rsidR="000210B6" w:rsidRDefault="000210B6" w:rsidP="00CB34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0CC8C" w14:textId="77777777" w:rsidR="000210B6" w:rsidRDefault="000210B6" w:rsidP="00CB342A">
      <w:r>
        <w:separator/>
      </w:r>
    </w:p>
  </w:footnote>
  <w:footnote w:type="continuationSeparator" w:id="0">
    <w:p w14:paraId="1BF80CAF" w14:textId="77777777" w:rsidR="000210B6" w:rsidRDefault="000210B6" w:rsidP="00CB34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imes New Roman" w:hAnsi="Times New Roman" w:cs="Times New Roman"/>
      </w:rPr>
      <w:id w:val="1564597716"/>
      <w:docPartObj>
        <w:docPartGallery w:val="Page Numbers (Top of Page)"/>
        <w:docPartUnique/>
      </w:docPartObj>
    </w:sdtPr>
    <w:sdtContent>
      <w:p w14:paraId="66BC284C" w14:textId="77777777" w:rsidR="00983AA2" w:rsidRPr="00983AA2" w:rsidRDefault="00983AA2" w:rsidP="00983AA2">
        <w:pPr>
          <w:pStyle w:val="Header"/>
          <w:framePr w:wrap="none" w:vAnchor="text" w:hAnchor="margin" w:xAlign="right" w:y="1"/>
          <w:rPr>
            <w:rStyle w:val="PageNumber"/>
            <w:rFonts w:ascii="Times New Roman" w:hAnsi="Times New Roman" w:cs="Times New Roman"/>
          </w:rPr>
        </w:pPr>
        <w:r w:rsidRPr="00983AA2">
          <w:rPr>
            <w:rStyle w:val="PageNumber"/>
            <w:rFonts w:ascii="Times New Roman" w:hAnsi="Times New Roman" w:cs="Times New Roman"/>
          </w:rPr>
          <w:fldChar w:fldCharType="begin"/>
        </w:r>
        <w:r w:rsidRPr="00983AA2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983AA2">
          <w:rPr>
            <w:rStyle w:val="PageNumber"/>
            <w:rFonts w:ascii="Times New Roman" w:hAnsi="Times New Roman" w:cs="Times New Roman"/>
          </w:rPr>
          <w:fldChar w:fldCharType="separate"/>
        </w:r>
        <w:r w:rsidRPr="00983AA2">
          <w:rPr>
            <w:rStyle w:val="PageNumber"/>
            <w:rFonts w:ascii="Times New Roman" w:hAnsi="Times New Roman" w:cs="Times New Roman"/>
          </w:rPr>
          <w:t>1</w:t>
        </w:r>
        <w:r w:rsidRPr="00983AA2">
          <w:rPr>
            <w:rStyle w:val="PageNumber"/>
            <w:rFonts w:ascii="Times New Roman" w:hAnsi="Times New Roman" w:cs="Times New Roman"/>
          </w:rPr>
          <w:fldChar w:fldCharType="end"/>
        </w:r>
      </w:p>
    </w:sdtContent>
  </w:sdt>
  <w:p w14:paraId="43C7B082" w14:textId="27D02A5C" w:rsidR="00983AA2" w:rsidRPr="00983AA2" w:rsidRDefault="00983AA2" w:rsidP="00983AA2">
    <w:pPr>
      <w:pStyle w:val="Header"/>
      <w:ind w:right="360" w:firstLine="360"/>
      <w:rPr>
        <w:rFonts w:ascii="Times New Roman" w:hAnsi="Times New Roman" w:cs="Times New Roman"/>
      </w:rPr>
    </w:pPr>
    <w:r w:rsidRPr="00983AA2">
      <w:rPr>
        <w:rFonts w:ascii="Times New Roman" w:hAnsi="Times New Roman" w:cs="Times New Roman"/>
      </w:rPr>
      <w:t>SEPARABLE MECHANISMS OF ENHANCEMENT &amp; SUPPRESSION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8D1E00"/>
    <w:multiLevelType w:val="hybridMultilevel"/>
    <w:tmpl w:val="1E38D302"/>
    <w:lvl w:ilvl="0" w:tplc="377A9F54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 w:tplc="E1644EDC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 w:tplc="D842003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 w:tplc="EA486B42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 w:tplc="3040710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 w:tplc="3A460878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 w:tplc="45367FC8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 w:tplc="B76AD01E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 w:tplc="BFC80FBA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02816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72DF"/>
    <w:rsid w:val="000056D7"/>
    <w:rsid w:val="0001532A"/>
    <w:rsid w:val="000210B6"/>
    <w:rsid w:val="000437EB"/>
    <w:rsid w:val="00047B17"/>
    <w:rsid w:val="0005743D"/>
    <w:rsid w:val="0008209D"/>
    <w:rsid w:val="000C48C1"/>
    <w:rsid w:val="000D3750"/>
    <w:rsid w:val="000D529C"/>
    <w:rsid w:val="000D5FC3"/>
    <w:rsid w:val="000D71E5"/>
    <w:rsid w:val="000E31B7"/>
    <w:rsid w:val="000F3BDB"/>
    <w:rsid w:val="000F7384"/>
    <w:rsid w:val="001031E8"/>
    <w:rsid w:val="00103769"/>
    <w:rsid w:val="0011359A"/>
    <w:rsid w:val="0016188E"/>
    <w:rsid w:val="0016590B"/>
    <w:rsid w:val="00181FC1"/>
    <w:rsid w:val="0019225F"/>
    <w:rsid w:val="00193E56"/>
    <w:rsid w:val="001B05AA"/>
    <w:rsid w:val="001B0FCC"/>
    <w:rsid w:val="001C5B85"/>
    <w:rsid w:val="001E1083"/>
    <w:rsid w:val="001F6E3E"/>
    <w:rsid w:val="002007E9"/>
    <w:rsid w:val="00225260"/>
    <w:rsid w:val="00245BFE"/>
    <w:rsid w:val="00272654"/>
    <w:rsid w:val="0027449B"/>
    <w:rsid w:val="00275FF5"/>
    <w:rsid w:val="00287DFF"/>
    <w:rsid w:val="002A0589"/>
    <w:rsid w:val="002B5445"/>
    <w:rsid w:val="002B6735"/>
    <w:rsid w:val="002D6ADC"/>
    <w:rsid w:val="002F30DC"/>
    <w:rsid w:val="002F3E36"/>
    <w:rsid w:val="002F5AED"/>
    <w:rsid w:val="002F64DE"/>
    <w:rsid w:val="00316CAD"/>
    <w:rsid w:val="00351405"/>
    <w:rsid w:val="00351731"/>
    <w:rsid w:val="00354673"/>
    <w:rsid w:val="00377E14"/>
    <w:rsid w:val="00384105"/>
    <w:rsid w:val="003841C1"/>
    <w:rsid w:val="003A4C97"/>
    <w:rsid w:val="003D0A0C"/>
    <w:rsid w:val="003D7434"/>
    <w:rsid w:val="003E3494"/>
    <w:rsid w:val="00401D09"/>
    <w:rsid w:val="00425AF5"/>
    <w:rsid w:val="004474EF"/>
    <w:rsid w:val="004835EA"/>
    <w:rsid w:val="00486920"/>
    <w:rsid w:val="004972DF"/>
    <w:rsid w:val="004A7F1B"/>
    <w:rsid w:val="004F3FEF"/>
    <w:rsid w:val="00502A4C"/>
    <w:rsid w:val="00504E5B"/>
    <w:rsid w:val="00513205"/>
    <w:rsid w:val="005518DA"/>
    <w:rsid w:val="00571878"/>
    <w:rsid w:val="00572E63"/>
    <w:rsid w:val="00575B6C"/>
    <w:rsid w:val="00583CED"/>
    <w:rsid w:val="005B160D"/>
    <w:rsid w:val="005C3F59"/>
    <w:rsid w:val="005C5240"/>
    <w:rsid w:val="005E5B34"/>
    <w:rsid w:val="005F5918"/>
    <w:rsid w:val="005F79B0"/>
    <w:rsid w:val="00601751"/>
    <w:rsid w:val="006103D2"/>
    <w:rsid w:val="00625A72"/>
    <w:rsid w:val="00635365"/>
    <w:rsid w:val="00647B4C"/>
    <w:rsid w:val="00662E11"/>
    <w:rsid w:val="00673A74"/>
    <w:rsid w:val="0068128B"/>
    <w:rsid w:val="00690463"/>
    <w:rsid w:val="0069489F"/>
    <w:rsid w:val="006A2F51"/>
    <w:rsid w:val="006B385A"/>
    <w:rsid w:val="006B58DA"/>
    <w:rsid w:val="006D36A1"/>
    <w:rsid w:val="00700BC2"/>
    <w:rsid w:val="00703051"/>
    <w:rsid w:val="00712D53"/>
    <w:rsid w:val="00716BEB"/>
    <w:rsid w:val="00746BC2"/>
    <w:rsid w:val="007669FE"/>
    <w:rsid w:val="00775934"/>
    <w:rsid w:val="00775E90"/>
    <w:rsid w:val="007803A2"/>
    <w:rsid w:val="007A14D5"/>
    <w:rsid w:val="007B5D7F"/>
    <w:rsid w:val="007D5020"/>
    <w:rsid w:val="007E62EB"/>
    <w:rsid w:val="007F3E9B"/>
    <w:rsid w:val="007F7D14"/>
    <w:rsid w:val="00835417"/>
    <w:rsid w:val="008374CA"/>
    <w:rsid w:val="008614E0"/>
    <w:rsid w:val="00870056"/>
    <w:rsid w:val="00876BD2"/>
    <w:rsid w:val="008B7ACF"/>
    <w:rsid w:val="008D15A9"/>
    <w:rsid w:val="008E11FB"/>
    <w:rsid w:val="008E2283"/>
    <w:rsid w:val="009023BB"/>
    <w:rsid w:val="00905677"/>
    <w:rsid w:val="009133D0"/>
    <w:rsid w:val="00923FEF"/>
    <w:rsid w:val="00925DE4"/>
    <w:rsid w:val="00946735"/>
    <w:rsid w:val="00950250"/>
    <w:rsid w:val="00970AC3"/>
    <w:rsid w:val="00983AA2"/>
    <w:rsid w:val="009A64F4"/>
    <w:rsid w:val="009B02A0"/>
    <w:rsid w:val="009C1CBB"/>
    <w:rsid w:val="009C5567"/>
    <w:rsid w:val="009D1DBE"/>
    <w:rsid w:val="009E5B87"/>
    <w:rsid w:val="00A349CE"/>
    <w:rsid w:val="00A545AE"/>
    <w:rsid w:val="00A651F4"/>
    <w:rsid w:val="00A7323C"/>
    <w:rsid w:val="00A76046"/>
    <w:rsid w:val="00A910B1"/>
    <w:rsid w:val="00A96D70"/>
    <w:rsid w:val="00AA43B2"/>
    <w:rsid w:val="00AC7332"/>
    <w:rsid w:val="00AD08D8"/>
    <w:rsid w:val="00AD2885"/>
    <w:rsid w:val="00AD74DF"/>
    <w:rsid w:val="00AE1FC7"/>
    <w:rsid w:val="00AF7788"/>
    <w:rsid w:val="00B172DF"/>
    <w:rsid w:val="00B20573"/>
    <w:rsid w:val="00B22327"/>
    <w:rsid w:val="00B3456F"/>
    <w:rsid w:val="00B4280B"/>
    <w:rsid w:val="00B62879"/>
    <w:rsid w:val="00B65E33"/>
    <w:rsid w:val="00B869D7"/>
    <w:rsid w:val="00B938E0"/>
    <w:rsid w:val="00BB5614"/>
    <w:rsid w:val="00BB6908"/>
    <w:rsid w:val="00BC3CBC"/>
    <w:rsid w:val="00BD07A9"/>
    <w:rsid w:val="00BD59D9"/>
    <w:rsid w:val="00C00B9D"/>
    <w:rsid w:val="00C019CC"/>
    <w:rsid w:val="00C04295"/>
    <w:rsid w:val="00C27FDC"/>
    <w:rsid w:val="00C563FD"/>
    <w:rsid w:val="00C74F0E"/>
    <w:rsid w:val="00C8351E"/>
    <w:rsid w:val="00C87CB0"/>
    <w:rsid w:val="00CB342A"/>
    <w:rsid w:val="00CC5255"/>
    <w:rsid w:val="00CD52EC"/>
    <w:rsid w:val="00CE1D0D"/>
    <w:rsid w:val="00D01B54"/>
    <w:rsid w:val="00D07480"/>
    <w:rsid w:val="00D176A8"/>
    <w:rsid w:val="00D6520D"/>
    <w:rsid w:val="00D67669"/>
    <w:rsid w:val="00D811C6"/>
    <w:rsid w:val="00D81333"/>
    <w:rsid w:val="00DC76AA"/>
    <w:rsid w:val="00DD1C21"/>
    <w:rsid w:val="00DD5101"/>
    <w:rsid w:val="00DE39DC"/>
    <w:rsid w:val="00E10D51"/>
    <w:rsid w:val="00E15ED8"/>
    <w:rsid w:val="00E26C0B"/>
    <w:rsid w:val="00E3059F"/>
    <w:rsid w:val="00E30CFE"/>
    <w:rsid w:val="00E3651F"/>
    <w:rsid w:val="00E45D82"/>
    <w:rsid w:val="00E562A4"/>
    <w:rsid w:val="00E65844"/>
    <w:rsid w:val="00E75210"/>
    <w:rsid w:val="00E80EE0"/>
    <w:rsid w:val="00E8352D"/>
    <w:rsid w:val="00EC40A8"/>
    <w:rsid w:val="00ED12D2"/>
    <w:rsid w:val="00EE1ED4"/>
    <w:rsid w:val="00EF0645"/>
    <w:rsid w:val="00F109FE"/>
    <w:rsid w:val="00F13C23"/>
    <w:rsid w:val="00F16DEF"/>
    <w:rsid w:val="00F40B11"/>
    <w:rsid w:val="00F42967"/>
    <w:rsid w:val="00F479FE"/>
    <w:rsid w:val="00F51F06"/>
    <w:rsid w:val="00F54A53"/>
    <w:rsid w:val="00F55FD4"/>
    <w:rsid w:val="00F65354"/>
    <w:rsid w:val="00F70856"/>
    <w:rsid w:val="00F96616"/>
    <w:rsid w:val="00FA52B9"/>
    <w:rsid w:val="00FC5E8C"/>
    <w:rsid w:val="00FD127B"/>
    <w:rsid w:val="00FD1D6D"/>
    <w:rsid w:val="00FD474A"/>
    <w:rsid w:val="00FD7DB4"/>
    <w:rsid w:val="00FD7F37"/>
    <w:rsid w:val="00FF4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81F31"/>
  <w15:chartTrackingRefBased/>
  <w15:docId w15:val="{92E352F3-F58F-3C49-A6F4-4E635B0B7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B22327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pPr>
        <w:jc w:val="left"/>
      </w:pPr>
      <w:rPr>
        <w:b/>
        <w:bCs/>
        <w:caps/>
      </w:rPr>
      <w:tblPr/>
      <w:tcPr>
        <w:tcBorders>
          <w:right w:val="nil"/>
          <w:insideV w:val="single" w:sz="4" w:space="0" w:color="AEAAAA" w:themeColor="background2" w:themeShade="BF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CommentReference">
    <w:name w:val="annotation reference"/>
    <w:uiPriority w:val="99"/>
    <w:unhideWhenUsed/>
    <w:rsid w:val="00F54A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54A53"/>
    <w:rPr>
      <w:rFonts w:ascii="Arial" w:eastAsia="Arial" w:hAnsi="Arial" w:cs="Arial"/>
      <w:kern w:val="0"/>
      <w:sz w:val="20"/>
      <w:lang w:val="en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54A53"/>
    <w:rPr>
      <w:rFonts w:ascii="Arial" w:eastAsia="Arial" w:hAnsi="Arial" w:cs="Arial"/>
      <w:kern w:val="0"/>
      <w:sz w:val="20"/>
      <w:lang w:val="en"/>
      <w14:ligatures w14:val="none"/>
    </w:rPr>
  </w:style>
  <w:style w:type="paragraph" w:styleId="PlainText">
    <w:name w:val="Plain Text"/>
    <w:basedOn w:val="Normal"/>
    <w:link w:val="PlainTextChar"/>
    <w:uiPriority w:val="99"/>
    <w:unhideWhenUsed/>
    <w:rsid w:val="002F30DC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F30DC"/>
    <w:rPr>
      <w:rFonts w:ascii="Consolas" w:hAnsi="Consolas" w:cs="Consolas"/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03D2"/>
    <w:rPr>
      <w:rFonts w:asciiTheme="minorHAnsi" w:eastAsiaTheme="minorHAnsi" w:hAnsiTheme="minorHAnsi" w:cstheme="minorBidi"/>
      <w:b/>
      <w:bCs/>
      <w:kern w:val="2"/>
      <w:szCs w:val="20"/>
      <w:lang w:val="en-US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03D2"/>
    <w:rPr>
      <w:rFonts w:ascii="Arial" w:eastAsia="Arial" w:hAnsi="Arial" w:cs="Arial"/>
      <w:b/>
      <w:bCs/>
      <w:kern w:val="0"/>
      <w:sz w:val="20"/>
      <w:szCs w:val="20"/>
      <w:lang w:val="en"/>
      <w14:ligatures w14:val="none"/>
    </w:rPr>
  </w:style>
  <w:style w:type="paragraph" w:styleId="ListParagraph">
    <w:name w:val="List Paragraph"/>
    <w:basedOn w:val="Normal"/>
    <w:uiPriority w:val="34"/>
    <w:qFormat/>
    <w:rsid w:val="003A4C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B34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B342A"/>
  </w:style>
  <w:style w:type="paragraph" w:styleId="Footer">
    <w:name w:val="footer"/>
    <w:basedOn w:val="Normal"/>
    <w:link w:val="FooterChar"/>
    <w:uiPriority w:val="99"/>
    <w:unhideWhenUsed/>
    <w:rsid w:val="00CB34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B342A"/>
  </w:style>
  <w:style w:type="character" w:styleId="Hyperlink">
    <w:name w:val="Hyperlink"/>
    <w:basedOn w:val="DefaultParagraphFont"/>
    <w:uiPriority w:val="99"/>
    <w:unhideWhenUsed/>
    <w:rsid w:val="00746B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61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96616"/>
    <w:rPr>
      <w:color w:val="954F72" w:themeColor="followedHyperlink"/>
      <w:u w:val="single"/>
    </w:rPr>
  </w:style>
  <w:style w:type="character" w:styleId="PageNumber">
    <w:name w:val="page number"/>
    <w:basedOn w:val="DefaultParagraphFont"/>
    <w:uiPriority w:val="99"/>
    <w:rsid w:val="00983AA2"/>
  </w:style>
  <w:style w:type="character" w:styleId="LineNumber">
    <w:name w:val="line number"/>
    <w:basedOn w:val="DefaultParagraphFont"/>
    <w:uiPriority w:val="99"/>
    <w:semiHidden/>
    <w:unhideWhenUsed/>
    <w:rsid w:val="005B16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mhpa.2011.01.00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1111/j.1360-0443.1991.tb01879.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963</Words>
  <Characters>5495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Khodayari</dc:creator>
  <cp:keywords/>
  <dc:description/>
  <cp:lastModifiedBy>Natalia Khodayari</cp:lastModifiedBy>
  <cp:revision>2</cp:revision>
  <cp:lastPrinted>2024-04-20T22:39:00Z</cp:lastPrinted>
  <dcterms:created xsi:type="dcterms:W3CDTF">2025-12-30T08:30:00Z</dcterms:created>
  <dcterms:modified xsi:type="dcterms:W3CDTF">2025-12-30T08:30:00Z</dcterms:modified>
</cp:coreProperties>
</file>