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F2CE2" w14:textId="707C22B5" w:rsidR="005973C0" w:rsidRPr="00D32E24" w:rsidRDefault="008A1C24" w:rsidP="005973C0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D32E24">
        <w:rPr>
          <w:rFonts w:ascii="Arial" w:hAnsi="Arial" w:cs="Arial"/>
          <w:b/>
          <w:sz w:val="24"/>
          <w:szCs w:val="24"/>
        </w:rPr>
        <w:t>Supplementary Material</w:t>
      </w:r>
    </w:p>
    <w:p w14:paraId="654C77B5" w14:textId="77777777" w:rsidR="005973C0" w:rsidRPr="00D32E24" w:rsidRDefault="005973C0" w:rsidP="005973C0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14:paraId="54CB61E3" w14:textId="77777777" w:rsidR="00096814" w:rsidRPr="00D32E24" w:rsidRDefault="00096814" w:rsidP="00096814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D32E24">
        <w:rPr>
          <w:rFonts w:ascii="Arial" w:hAnsi="Arial" w:cs="Arial"/>
          <w:b/>
          <w:sz w:val="24"/>
          <w:szCs w:val="24"/>
        </w:rPr>
        <w:t>fMRI data using permutation testing</w:t>
      </w:r>
    </w:p>
    <w:p w14:paraId="11FCA88E" w14:textId="658631BD" w:rsidR="00F126F0" w:rsidRPr="00D32E24" w:rsidRDefault="00F126F0" w:rsidP="00F126F0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D32E24">
        <w:rPr>
          <w:rFonts w:ascii="Arial" w:hAnsi="Arial" w:cs="Arial"/>
          <w:sz w:val="24"/>
          <w:szCs w:val="24"/>
        </w:rPr>
        <w:t>The default cluster forming threshold</w:t>
      </w:r>
      <w:r w:rsidR="005973C0" w:rsidRPr="00D32E24">
        <w:rPr>
          <w:rFonts w:ascii="Arial" w:hAnsi="Arial" w:cs="Arial"/>
          <w:sz w:val="24"/>
          <w:szCs w:val="24"/>
        </w:rPr>
        <w:t xml:space="preserve"> value</w:t>
      </w:r>
      <w:r w:rsidRPr="00D32E24">
        <w:rPr>
          <w:rFonts w:ascii="Arial" w:hAnsi="Arial" w:cs="Arial"/>
          <w:sz w:val="24"/>
          <w:szCs w:val="24"/>
        </w:rPr>
        <w:t xml:space="preserve"> is z = 2.3 in the FSL package for fMRI data. </w:t>
      </w:r>
      <w:r w:rsidR="005973C0" w:rsidRPr="00D32E24">
        <w:rPr>
          <w:rFonts w:ascii="Arial" w:hAnsi="Arial" w:cs="Arial"/>
          <w:sz w:val="24"/>
          <w:szCs w:val="24"/>
        </w:rPr>
        <w:t>The</w:t>
      </w:r>
      <w:r w:rsidRPr="00D32E24">
        <w:rPr>
          <w:rFonts w:ascii="Arial" w:hAnsi="Arial" w:cs="Arial"/>
          <w:sz w:val="24"/>
          <w:szCs w:val="24"/>
        </w:rPr>
        <w:t xml:space="preserve"> use of cluster forming thresholds with parametric statistics has been argued to lead to greater chance of false positives. Non-parametric approaches have been demonstrated as robust and valid, as they are based upon actual NULL data rather than a model of such data (Eklund, Nichols and </w:t>
      </w:r>
      <w:proofErr w:type="spellStart"/>
      <w:r w:rsidRPr="00D32E24">
        <w:rPr>
          <w:rFonts w:ascii="Arial" w:hAnsi="Arial" w:cs="Arial"/>
          <w:sz w:val="24"/>
          <w:szCs w:val="24"/>
        </w:rPr>
        <w:t>Knutsson</w:t>
      </w:r>
      <w:proofErr w:type="spellEnd"/>
      <w:r w:rsidRPr="00D32E24">
        <w:rPr>
          <w:rFonts w:ascii="Arial" w:hAnsi="Arial" w:cs="Arial"/>
          <w:sz w:val="24"/>
          <w:szCs w:val="24"/>
        </w:rPr>
        <w:t>, 2016). Therefore, to test the robustness of our results, we reran our analyses using a non-parametric permutation test in FSL (</w:t>
      </w:r>
      <w:proofErr w:type="gramStart"/>
      <w:r w:rsidRPr="00D32E24">
        <w:rPr>
          <w:rFonts w:ascii="Arial" w:hAnsi="Arial" w:cs="Arial"/>
          <w:sz w:val="24"/>
          <w:szCs w:val="24"/>
        </w:rPr>
        <w:t>i.e.</w:t>
      </w:r>
      <w:proofErr w:type="gramEnd"/>
      <w:r w:rsidRPr="00D32E24">
        <w:rPr>
          <w:rFonts w:ascii="Arial" w:hAnsi="Arial" w:cs="Arial"/>
          <w:sz w:val="24"/>
          <w:szCs w:val="24"/>
        </w:rPr>
        <w:t xml:space="preserve"> Randomise with Threshold Free Cluster Enhancement (TFCE) using 5000 samples and corrected at </w:t>
      </w:r>
      <w:r w:rsidRPr="00D32E24">
        <w:rPr>
          <w:rFonts w:ascii="Arial" w:hAnsi="Arial" w:cs="Arial"/>
          <w:i/>
          <w:iCs/>
          <w:sz w:val="24"/>
          <w:szCs w:val="24"/>
        </w:rPr>
        <w:t>p</w:t>
      </w:r>
      <w:r w:rsidRPr="00D32E24">
        <w:rPr>
          <w:rFonts w:ascii="Arial" w:hAnsi="Arial" w:cs="Arial"/>
          <w:sz w:val="24"/>
          <w:szCs w:val="24"/>
        </w:rPr>
        <w:t xml:space="preserve"> &lt;0.05</w:t>
      </w:r>
      <w:r w:rsidR="005973C0" w:rsidRPr="00D32E24">
        <w:rPr>
          <w:rFonts w:ascii="Arial" w:hAnsi="Arial" w:cs="Arial"/>
          <w:sz w:val="24"/>
          <w:szCs w:val="24"/>
        </w:rPr>
        <w:t>).</w:t>
      </w:r>
    </w:p>
    <w:p w14:paraId="1D0C0085" w14:textId="5B696FA5" w:rsidR="002F58A0" w:rsidRPr="00D32E24" w:rsidRDefault="00F126F0" w:rsidP="00F126F0">
      <w:pPr>
        <w:spacing w:after="0" w:line="480" w:lineRule="auto"/>
        <w:ind w:firstLine="720"/>
        <w:rPr>
          <w:rFonts w:ascii="Arial" w:hAnsi="Arial" w:cs="Arial"/>
          <w:sz w:val="24"/>
          <w:szCs w:val="24"/>
        </w:rPr>
      </w:pPr>
      <w:r w:rsidRPr="00D32E24">
        <w:rPr>
          <w:rFonts w:ascii="Arial" w:hAnsi="Arial" w:cs="Arial"/>
          <w:sz w:val="24"/>
          <w:szCs w:val="24"/>
        </w:rPr>
        <w:t>The results from the original analysis</w:t>
      </w:r>
      <w:r w:rsidR="005973C0" w:rsidRPr="00D32E24">
        <w:rPr>
          <w:rFonts w:ascii="Arial" w:hAnsi="Arial" w:cs="Arial"/>
          <w:sz w:val="24"/>
          <w:szCs w:val="24"/>
        </w:rPr>
        <w:t xml:space="preserve"> were </w:t>
      </w:r>
      <w:proofErr w:type="gramStart"/>
      <w:r w:rsidR="005973C0" w:rsidRPr="00D32E24">
        <w:rPr>
          <w:rFonts w:ascii="Arial" w:hAnsi="Arial" w:cs="Arial"/>
          <w:sz w:val="24"/>
          <w:szCs w:val="24"/>
        </w:rPr>
        <w:t>similar to</w:t>
      </w:r>
      <w:proofErr w:type="gramEnd"/>
      <w:r w:rsidR="005973C0" w:rsidRPr="00D32E24">
        <w:rPr>
          <w:rFonts w:ascii="Arial" w:hAnsi="Arial" w:cs="Arial"/>
          <w:sz w:val="24"/>
          <w:szCs w:val="24"/>
        </w:rPr>
        <w:t xml:space="preserve"> the permutation test. The prefrontal clusters identified from the condition x IU interaction in the original analysis were no longer significant under the permutation test (</w:t>
      </w:r>
      <w:proofErr w:type="gramStart"/>
      <w:r w:rsidR="005973C0" w:rsidRPr="00D32E24">
        <w:rPr>
          <w:rFonts w:ascii="Arial" w:hAnsi="Arial" w:cs="Arial"/>
          <w:sz w:val="24"/>
          <w:szCs w:val="24"/>
        </w:rPr>
        <w:t>i.e.</w:t>
      </w:r>
      <w:proofErr w:type="gramEnd"/>
      <w:r w:rsidR="005973C0" w:rsidRPr="00D32E24">
        <w:rPr>
          <w:rFonts w:ascii="Arial" w:hAnsi="Arial" w:cs="Arial"/>
          <w:sz w:val="24"/>
          <w:szCs w:val="24"/>
        </w:rPr>
        <w:t xml:space="preserve"> did not survive multiple comparisons).</w:t>
      </w:r>
      <w:r w:rsidRPr="00D32E24">
        <w:rPr>
          <w:rFonts w:ascii="Arial" w:hAnsi="Arial" w:cs="Arial"/>
          <w:sz w:val="24"/>
          <w:szCs w:val="24"/>
        </w:rPr>
        <w:t xml:space="preserve"> </w:t>
      </w:r>
      <w:r w:rsidR="005973C0" w:rsidRPr="00D32E24">
        <w:rPr>
          <w:rFonts w:ascii="Arial" w:hAnsi="Arial" w:cs="Arial"/>
          <w:sz w:val="24"/>
          <w:szCs w:val="24"/>
        </w:rPr>
        <w:t>H</w:t>
      </w:r>
      <w:r w:rsidRPr="00D32E24">
        <w:rPr>
          <w:rFonts w:ascii="Arial" w:hAnsi="Arial" w:cs="Arial"/>
          <w:sz w:val="24"/>
          <w:szCs w:val="24"/>
        </w:rPr>
        <w:t>owever</w:t>
      </w:r>
      <w:r w:rsidR="005973C0" w:rsidRPr="00D32E24">
        <w:rPr>
          <w:rFonts w:ascii="Arial" w:hAnsi="Arial" w:cs="Arial"/>
          <w:sz w:val="24"/>
          <w:szCs w:val="24"/>
        </w:rPr>
        <w:t xml:space="preserve">, the same prefrontal clusters were </w:t>
      </w:r>
      <w:r w:rsidRPr="00D32E24">
        <w:rPr>
          <w:rFonts w:ascii="Arial" w:hAnsi="Arial" w:cs="Arial"/>
          <w:sz w:val="24"/>
          <w:szCs w:val="24"/>
        </w:rPr>
        <w:t>still observable under threshold. We believe that the results from the original analysis are genuine, given the similarity between the original analysis and the permutation test</w:t>
      </w:r>
      <w:r w:rsidR="005973C0" w:rsidRPr="00D32E24">
        <w:rPr>
          <w:rFonts w:ascii="Arial" w:hAnsi="Arial" w:cs="Arial"/>
          <w:sz w:val="24"/>
          <w:szCs w:val="24"/>
        </w:rPr>
        <w:t>.</w:t>
      </w:r>
    </w:p>
    <w:p w14:paraId="1EDA1B6C" w14:textId="1BC226CD" w:rsidR="00CD2944" w:rsidRPr="00D32E24" w:rsidRDefault="00CD2944" w:rsidP="00A75DBF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5AC0FEE2" w14:textId="77777777" w:rsidR="00097121" w:rsidRPr="00D32E24" w:rsidRDefault="00097121" w:rsidP="00097121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D32E24">
        <w:rPr>
          <w:rFonts w:ascii="Arial" w:hAnsi="Arial" w:cs="Arial"/>
          <w:b/>
          <w:bCs/>
          <w:sz w:val="24"/>
          <w:szCs w:val="24"/>
        </w:rPr>
        <w:t>Analyses across time</w:t>
      </w:r>
    </w:p>
    <w:p w14:paraId="38FEFCAB" w14:textId="6082AD30" w:rsidR="00097121" w:rsidRPr="00D32E24" w:rsidRDefault="00097121" w:rsidP="0009712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D32E24">
        <w:rPr>
          <w:rFonts w:ascii="Arial" w:hAnsi="Arial" w:cs="Arial"/>
          <w:sz w:val="24"/>
          <w:szCs w:val="24"/>
        </w:rPr>
        <w:t xml:space="preserve">We examined the effect of time in our fMRI and SCR data by splitting trials into Early (9 Threat and 9 Safe trials) and Late (9 Threat and 9 Safe trials). </w:t>
      </w:r>
    </w:p>
    <w:p w14:paraId="292FFA6C" w14:textId="7ACA5D94" w:rsidR="00097121" w:rsidRPr="00D32E24" w:rsidRDefault="00097121" w:rsidP="00097121">
      <w:pPr>
        <w:spacing w:after="0" w:line="480" w:lineRule="auto"/>
        <w:ind w:firstLine="720"/>
        <w:rPr>
          <w:rFonts w:ascii="Arial" w:hAnsi="Arial" w:cs="Arial"/>
          <w:sz w:val="24"/>
          <w:szCs w:val="24"/>
        </w:rPr>
      </w:pPr>
      <w:r w:rsidRPr="00D32E24">
        <w:rPr>
          <w:rFonts w:ascii="Arial" w:hAnsi="Arial" w:cs="Arial"/>
          <w:sz w:val="24"/>
          <w:szCs w:val="24"/>
        </w:rPr>
        <w:t xml:space="preserve">For the fMRI analysis we examined the interaction between Condition by Time i.e. ([Threat – </w:t>
      </w:r>
      <w:proofErr w:type="spellStart"/>
      <w:r w:rsidRPr="00D32E24">
        <w:rPr>
          <w:rFonts w:ascii="Arial" w:hAnsi="Arial" w:cs="Arial"/>
          <w:sz w:val="24"/>
          <w:szCs w:val="24"/>
        </w:rPr>
        <w:t>Safe</w:t>
      </w:r>
      <w:r w:rsidRPr="00D32E24">
        <w:rPr>
          <w:rFonts w:ascii="Arial" w:hAnsi="Arial" w:cs="Arial"/>
          <w:sz w:val="24"/>
          <w:szCs w:val="24"/>
          <w:vertAlign w:val="subscript"/>
        </w:rPr>
        <w:t>Early</w:t>
      </w:r>
      <w:proofErr w:type="spellEnd"/>
      <w:r w:rsidRPr="00D32E24">
        <w:rPr>
          <w:rFonts w:ascii="Arial" w:hAnsi="Arial" w:cs="Arial"/>
          <w:sz w:val="24"/>
          <w:szCs w:val="24"/>
        </w:rPr>
        <w:t xml:space="preserve">] – [Threat – </w:t>
      </w:r>
      <w:proofErr w:type="spellStart"/>
      <w:r w:rsidRPr="00D32E24">
        <w:rPr>
          <w:rFonts w:ascii="Arial" w:hAnsi="Arial" w:cs="Arial"/>
          <w:sz w:val="24"/>
          <w:szCs w:val="24"/>
        </w:rPr>
        <w:t>Safe</w:t>
      </w:r>
      <w:r w:rsidRPr="00D32E24">
        <w:rPr>
          <w:rFonts w:ascii="Arial" w:hAnsi="Arial" w:cs="Arial"/>
          <w:sz w:val="24"/>
          <w:szCs w:val="24"/>
          <w:vertAlign w:val="subscript"/>
        </w:rPr>
        <w:t>Late</w:t>
      </w:r>
      <w:proofErr w:type="spellEnd"/>
      <w:r w:rsidRPr="00D32E24">
        <w:rPr>
          <w:rFonts w:ascii="Arial" w:hAnsi="Arial" w:cs="Arial"/>
          <w:sz w:val="24"/>
          <w:szCs w:val="24"/>
        </w:rPr>
        <w:t xml:space="preserve">]). Second-level GLM analysis consisted of regressors for the group mean and a linear regressor for demeaned IU using FSL's OLS procedure with a cluster thresholding of </w:t>
      </w:r>
      <w:r w:rsidRPr="00D32E24">
        <w:rPr>
          <w:rFonts w:ascii="Arial" w:hAnsi="Arial" w:cs="Arial"/>
          <w:i/>
          <w:iCs/>
          <w:sz w:val="24"/>
          <w:szCs w:val="24"/>
        </w:rPr>
        <w:t>z</w:t>
      </w:r>
      <w:r w:rsidRPr="00D32E24">
        <w:rPr>
          <w:rFonts w:ascii="Arial" w:hAnsi="Arial" w:cs="Arial"/>
          <w:sz w:val="24"/>
          <w:szCs w:val="24"/>
        </w:rPr>
        <w:t xml:space="preserve"> = 2.3 and a corrected </w:t>
      </w:r>
      <w:r w:rsidRPr="00D32E24">
        <w:rPr>
          <w:rFonts w:ascii="Arial" w:hAnsi="Arial" w:cs="Arial"/>
          <w:i/>
          <w:iCs/>
          <w:sz w:val="24"/>
          <w:szCs w:val="24"/>
        </w:rPr>
        <w:t>p</w:t>
      </w:r>
      <w:r w:rsidRPr="00D32E24">
        <w:rPr>
          <w:rFonts w:ascii="Arial" w:hAnsi="Arial" w:cs="Arial"/>
          <w:sz w:val="24"/>
          <w:szCs w:val="24"/>
        </w:rPr>
        <w:t xml:space="preserve"> &lt; 0.05. </w:t>
      </w:r>
      <w:r w:rsidRPr="00D32E24">
        <w:rPr>
          <w:rFonts w:ascii="Arial" w:hAnsi="Arial" w:cs="Arial"/>
          <w:sz w:val="24"/>
          <w:szCs w:val="24"/>
        </w:rPr>
        <w:lastRenderedPageBreak/>
        <w:t>We did not observe any significant clusters for the interaction of Condition x Time or Condition x Time x IU.</w:t>
      </w:r>
    </w:p>
    <w:p w14:paraId="0257365B" w14:textId="70C8703E" w:rsidR="00097121" w:rsidRPr="00D32E24" w:rsidRDefault="00097121" w:rsidP="00097121">
      <w:pPr>
        <w:spacing w:after="0" w:line="480" w:lineRule="auto"/>
        <w:ind w:firstLine="720"/>
        <w:rPr>
          <w:rFonts w:ascii="Arial" w:hAnsi="Arial" w:cs="Arial"/>
          <w:sz w:val="24"/>
          <w:szCs w:val="24"/>
        </w:rPr>
      </w:pPr>
      <w:r w:rsidRPr="00D32E24">
        <w:rPr>
          <w:rFonts w:ascii="Arial" w:hAnsi="Arial" w:cs="Arial"/>
          <w:sz w:val="24"/>
          <w:szCs w:val="24"/>
        </w:rPr>
        <w:t xml:space="preserve">For the SCR data, we conducted a 2 Condition (Threat, Safe) x 2 (Early, Late) x IU ANCOVA. None of the interactions were significant [Condition x Time: </w:t>
      </w:r>
      <w:proofErr w:type="gramStart"/>
      <w:r w:rsidRPr="00D32E24">
        <w:rPr>
          <w:rFonts w:ascii="Arial" w:hAnsi="Arial" w:cs="Arial"/>
          <w:i/>
          <w:iCs/>
          <w:sz w:val="24"/>
          <w:szCs w:val="24"/>
        </w:rPr>
        <w:t>F</w:t>
      </w:r>
      <w:r w:rsidRPr="00D32E24">
        <w:rPr>
          <w:rFonts w:ascii="Arial" w:hAnsi="Arial" w:cs="Arial"/>
          <w:sz w:val="24"/>
          <w:szCs w:val="24"/>
        </w:rPr>
        <w:t>(</w:t>
      </w:r>
      <w:proofErr w:type="gramEnd"/>
      <w:r w:rsidRPr="00D32E24">
        <w:rPr>
          <w:rFonts w:ascii="Arial" w:hAnsi="Arial" w:cs="Arial"/>
          <w:sz w:val="24"/>
          <w:szCs w:val="24"/>
        </w:rPr>
        <w:t xml:space="preserve">1,38) = 3.083, </w:t>
      </w:r>
      <w:r w:rsidRPr="00D32E24">
        <w:rPr>
          <w:rFonts w:ascii="Arial" w:hAnsi="Arial" w:cs="Arial"/>
          <w:i/>
          <w:iCs/>
          <w:sz w:val="24"/>
          <w:szCs w:val="24"/>
        </w:rPr>
        <w:t>p</w:t>
      </w:r>
      <w:r w:rsidRPr="00D32E24">
        <w:rPr>
          <w:rFonts w:ascii="Arial" w:hAnsi="Arial" w:cs="Arial"/>
          <w:sz w:val="24"/>
          <w:szCs w:val="24"/>
        </w:rPr>
        <w:t xml:space="preserve"> = .087; Condition x Time x IU: </w:t>
      </w:r>
      <w:r w:rsidRPr="00D32E24">
        <w:rPr>
          <w:rFonts w:ascii="Arial" w:hAnsi="Arial" w:cs="Arial"/>
          <w:i/>
          <w:iCs/>
          <w:sz w:val="24"/>
          <w:szCs w:val="24"/>
        </w:rPr>
        <w:t>F</w:t>
      </w:r>
      <w:r w:rsidRPr="00D32E24">
        <w:rPr>
          <w:rFonts w:ascii="Arial" w:hAnsi="Arial" w:cs="Arial"/>
          <w:sz w:val="24"/>
          <w:szCs w:val="24"/>
        </w:rPr>
        <w:t xml:space="preserve">(1,38) = 3.208, </w:t>
      </w:r>
      <w:r w:rsidRPr="00D32E24">
        <w:rPr>
          <w:rFonts w:ascii="Arial" w:hAnsi="Arial" w:cs="Arial"/>
          <w:i/>
          <w:iCs/>
          <w:sz w:val="24"/>
          <w:szCs w:val="24"/>
        </w:rPr>
        <w:t>p</w:t>
      </w:r>
      <w:r w:rsidRPr="00D32E24">
        <w:rPr>
          <w:rFonts w:ascii="Arial" w:hAnsi="Arial" w:cs="Arial"/>
          <w:sz w:val="24"/>
          <w:szCs w:val="24"/>
        </w:rPr>
        <w:t xml:space="preserve"> = .081].</w:t>
      </w:r>
    </w:p>
    <w:p w14:paraId="670579AB" w14:textId="77777777" w:rsidR="00097121" w:rsidRPr="00D32E24" w:rsidRDefault="00097121" w:rsidP="00A75DBF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09F99E4B" w14:textId="77777777" w:rsidR="00DC3CBF" w:rsidRPr="00D32E24" w:rsidRDefault="00DC3CBF" w:rsidP="00DC3CBF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D32E24">
        <w:rPr>
          <w:rFonts w:ascii="Arial" w:hAnsi="Arial" w:cs="Arial"/>
          <w:b/>
          <w:sz w:val="24"/>
          <w:szCs w:val="24"/>
        </w:rPr>
        <w:t>Psychophysiological interaction analysis</w:t>
      </w:r>
    </w:p>
    <w:p w14:paraId="5C663C6B" w14:textId="07481FF2" w:rsidR="00DC3CBF" w:rsidRPr="00D32E24" w:rsidRDefault="00DC3CBF" w:rsidP="00A75DBF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D32E24">
        <w:rPr>
          <w:rFonts w:ascii="Arial" w:hAnsi="Arial" w:cs="Arial"/>
          <w:sz w:val="24"/>
          <w:szCs w:val="24"/>
        </w:rPr>
        <w:t xml:space="preserve">We used the medial prefrontal cortex cluster as a seed region for the instructed threat of shock task. Second-level GLM analysis consisted of regressors for the group mean and a linear regressor for demeaned IU using FSL's OLS procedure with a cluster thresholding of </w:t>
      </w:r>
      <w:r w:rsidRPr="00D32E24">
        <w:rPr>
          <w:rFonts w:ascii="Arial" w:hAnsi="Arial" w:cs="Arial"/>
          <w:i/>
          <w:iCs/>
          <w:sz w:val="24"/>
          <w:szCs w:val="24"/>
        </w:rPr>
        <w:t>z</w:t>
      </w:r>
      <w:r w:rsidRPr="00D32E24">
        <w:rPr>
          <w:rFonts w:ascii="Arial" w:hAnsi="Arial" w:cs="Arial"/>
          <w:sz w:val="24"/>
          <w:szCs w:val="24"/>
        </w:rPr>
        <w:t xml:space="preserve"> = 2.3 and a corrected </w:t>
      </w:r>
      <w:r w:rsidRPr="00D32E24">
        <w:rPr>
          <w:rFonts w:ascii="Arial" w:hAnsi="Arial" w:cs="Arial"/>
          <w:i/>
          <w:iCs/>
          <w:sz w:val="24"/>
          <w:szCs w:val="24"/>
        </w:rPr>
        <w:t>p</w:t>
      </w:r>
      <w:r w:rsidRPr="00D32E24">
        <w:rPr>
          <w:rFonts w:ascii="Arial" w:hAnsi="Arial" w:cs="Arial"/>
          <w:sz w:val="24"/>
          <w:szCs w:val="24"/>
        </w:rPr>
        <w:t xml:space="preserve"> &lt; 0.05. We did not observe any significant clusters for the medial prefrontal cortex seed. The lack of connectivity results may have been due to our event-related design, which is not optimal for connectivity analysis</w:t>
      </w:r>
      <w:r w:rsidR="00244EB2" w:rsidRPr="00D32E24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44EB2" w:rsidRPr="00D32E24">
        <w:rPr>
          <w:rFonts w:ascii="Arial" w:hAnsi="Arial" w:cs="Arial"/>
          <w:sz w:val="24"/>
          <w:szCs w:val="24"/>
        </w:rPr>
        <w:t>Cisler</w:t>
      </w:r>
      <w:proofErr w:type="spellEnd"/>
      <w:r w:rsidR="00244EB2" w:rsidRPr="00D32E24">
        <w:rPr>
          <w:rFonts w:ascii="Arial" w:hAnsi="Arial" w:cs="Arial"/>
          <w:sz w:val="24"/>
          <w:szCs w:val="24"/>
        </w:rPr>
        <w:t>, Bush &amp; Steele, 2014)</w:t>
      </w:r>
      <w:r w:rsidRPr="00D32E24">
        <w:rPr>
          <w:rFonts w:ascii="Arial" w:hAnsi="Arial" w:cs="Arial"/>
          <w:sz w:val="24"/>
          <w:szCs w:val="24"/>
        </w:rPr>
        <w:t>.</w:t>
      </w:r>
    </w:p>
    <w:p w14:paraId="3532C958" w14:textId="77777777" w:rsidR="00097121" w:rsidRPr="00D32E24" w:rsidRDefault="00097121" w:rsidP="00A75DBF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0D387A73" w14:textId="4ABE4E5D" w:rsidR="00DC3CBF" w:rsidRPr="00D32E24" w:rsidRDefault="00DC3CBF" w:rsidP="00A75DBF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01D135A8" w14:textId="520428C6" w:rsidR="00DC3CBF" w:rsidRPr="00D32E24" w:rsidRDefault="00DC3CBF" w:rsidP="00A75DBF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049D1D5C" w14:textId="1A7C0C58" w:rsidR="00DC3CBF" w:rsidRPr="00D32E24" w:rsidRDefault="00DC3CBF" w:rsidP="00A75DBF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23F24F1B" w14:textId="21D18F0F" w:rsidR="00DC3CBF" w:rsidRPr="00D32E24" w:rsidRDefault="00DC3CBF" w:rsidP="00A75DBF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7F69FA87" w14:textId="1FBD0335" w:rsidR="00DC3CBF" w:rsidRPr="00D32E24" w:rsidRDefault="00DC3CBF" w:rsidP="00A75DBF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3130CCF7" w14:textId="3833E8DC" w:rsidR="00DC3CBF" w:rsidRPr="00D32E24" w:rsidRDefault="00DC3CBF" w:rsidP="00A75DBF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3A79248D" w14:textId="547C0CE3" w:rsidR="00DC3CBF" w:rsidRPr="00D32E24" w:rsidRDefault="00DC3CBF" w:rsidP="00A75DBF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36074E3C" w14:textId="5151319B" w:rsidR="00DC3CBF" w:rsidRPr="00D32E24" w:rsidRDefault="00DC3CBF" w:rsidP="00A75DBF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32E8F109" w14:textId="77777777" w:rsidR="00DC3CBF" w:rsidRPr="00D32E24" w:rsidRDefault="00DC3CBF" w:rsidP="00A75DBF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732CDDE6" w14:textId="77777777" w:rsidR="005973C0" w:rsidRPr="00D32E24" w:rsidRDefault="005973C0" w:rsidP="00A75DBF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46B6BA36" w14:textId="4DCFB67E" w:rsidR="00096814" w:rsidRPr="00D32E24" w:rsidRDefault="00096814" w:rsidP="00A75DBF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D32E24">
        <w:rPr>
          <w:rFonts w:ascii="Arial" w:hAnsi="Arial" w:cs="Arial"/>
          <w:b/>
          <w:sz w:val="24"/>
          <w:szCs w:val="24"/>
        </w:rPr>
        <w:lastRenderedPageBreak/>
        <w:t>References</w:t>
      </w:r>
    </w:p>
    <w:p w14:paraId="3D1CE682" w14:textId="18C3D608" w:rsidR="00244EB2" w:rsidRPr="00D32E24" w:rsidRDefault="00244EB2" w:rsidP="00244EB2">
      <w:pPr>
        <w:spacing w:after="0" w:line="480" w:lineRule="auto"/>
        <w:ind w:left="567" w:hanging="567"/>
        <w:rPr>
          <w:rFonts w:ascii="Arial" w:hAnsi="Arial" w:cs="Arial"/>
          <w:bCs/>
          <w:sz w:val="24"/>
          <w:szCs w:val="24"/>
        </w:rPr>
      </w:pPr>
      <w:proofErr w:type="spellStart"/>
      <w:r w:rsidRPr="00D32E24">
        <w:rPr>
          <w:rFonts w:ascii="Arial" w:hAnsi="Arial" w:cs="Arial"/>
          <w:bCs/>
          <w:sz w:val="24"/>
          <w:szCs w:val="24"/>
        </w:rPr>
        <w:t>Cisler</w:t>
      </w:r>
      <w:proofErr w:type="spellEnd"/>
      <w:r w:rsidRPr="00D32E24">
        <w:rPr>
          <w:rFonts w:ascii="Arial" w:hAnsi="Arial" w:cs="Arial"/>
          <w:bCs/>
          <w:sz w:val="24"/>
          <w:szCs w:val="24"/>
        </w:rPr>
        <w:t xml:space="preserve">, J. M., Bush, K., &amp; Steele, J. S. (2014). A comparison of statistical methods for detecting context-modulated functional connectivity in fMRI. </w:t>
      </w:r>
      <w:r w:rsidRPr="00D32E24">
        <w:rPr>
          <w:rFonts w:ascii="Arial" w:hAnsi="Arial" w:cs="Arial"/>
          <w:bCs/>
          <w:i/>
          <w:iCs/>
          <w:sz w:val="24"/>
          <w:szCs w:val="24"/>
        </w:rPr>
        <w:t>Neuroimage</w:t>
      </w:r>
      <w:r w:rsidRPr="00D32E24">
        <w:rPr>
          <w:rFonts w:ascii="Arial" w:hAnsi="Arial" w:cs="Arial"/>
          <w:bCs/>
          <w:sz w:val="24"/>
          <w:szCs w:val="24"/>
        </w:rPr>
        <w:t>, 84, 1042-1052.</w:t>
      </w:r>
    </w:p>
    <w:p w14:paraId="6AEB28A3" w14:textId="53F2BA37" w:rsidR="004F7CEC" w:rsidRDefault="004F7CEC" w:rsidP="00244EB2">
      <w:pPr>
        <w:spacing w:after="0" w:line="480" w:lineRule="auto"/>
        <w:ind w:left="567" w:hanging="567"/>
        <w:rPr>
          <w:rFonts w:ascii="Arial" w:hAnsi="Arial" w:cs="Arial"/>
          <w:sz w:val="24"/>
          <w:szCs w:val="24"/>
        </w:rPr>
      </w:pPr>
      <w:r w:rsidRPr="00D32E24">
        <w:rPr>
          <w:rFonts w:ascii="Arial" w:hAnsi="Arial" w:cs="Arial"/>
          <w:sz w:val="24"/>
          <w:szCs w:val="24"/>
        </w:rPr>
        <w:t xml:space="preserve">Eklund, A., Nichols, T. E., &amp; </w:t>
      </w:r>
      <w:proofErr w:type="spellStart"/>
      <w:r w:rsidRPr="00D32E24">
        <w:rPr>
          <w:rFonts w:ascii="Arial" w:hAnsi="Arial" w:cs="Arial"/>
          <w:sz w:val="24"/>
          <w:szCs w:val="24"/>
        </w:rPr>
        <w:t>Knutsson</w:t>
      </w:r>
      <w:proofErr w:type="spellEnd"/>
      <w:r w:rsidRPr="00D32E24">
        <w:rPr>
          <w:rFonts w:ascii="Arial" w:hAnsi="Arial" w:cs="Arial"/>
          <w:sz w:val="24"/>
          <w:szCs w:val="24"/>
        </w:rPr>
        <w:t xml:space="preserve">, H. (2016). Cluster failure: why fMRI inferences for spatial extent have inflated false-positive rates. </w:t>
      </w:r>
      <w:r w:rsidRPr="00D32E24">
        <w:rPr>
          <w:rFonts w:ascii="Arial" w:hAnsi="Arial" w:cs="Arial"/>
          <w:i/>
          <w:sz w:val="24"/>
          <w:szCs w:val="24"/>
        </w:rPr>
        <w:t>Proceedings of the National Academy of Sciences</w:t>
      </w:r>
      <w:r w:rsidRPr="00D32E24">
        <w:rPr>
          <w:rFonts w:ascii="Arial" w:hAnsi="Arial" w:cs="Arial"/>
          <w:sz w:val="24"/>
          <w:szCs w:val="24"/>
        </w:rPr>
        <w:t>, 113(28), 7900-7905.</w:t>
      </w:r>
    </w:p>
    <w:p w14:paraId="21DEA600" w14:textId="1B49C4CE" w:rsidR="004F7CEC" w:rsidRPr="004F7CEC" w:rsidRDefault="004F7CEC" w:rsidP="00A75DBF">
      <w:pPr>
        <w:spacing w:after="0" w:line="480" w:lineRule="auto"/>
        <w:rPr>
          <w:rFonts w:ascii="Arial" w:hAnsi="Arial" w:cs="Arial"/>
          <w:sz w:val="24"/>
          <w:szCs w:val="24"/>
        </w:rPr>
      </w:pPr>
    </w:p>
    <w:sectPr w:rsidR="004F7CEC" w:rsidRPr="004F7C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">
    <w:altName w:val="Times New Roman"/>
    <w:charset w:val="01"/>
    <w:family w:val="roman"/>
    <w:pitch w:val="variable"/>
  </w:font>
  <w:font w:name="WenQuanYi Zen Hei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C24"/>
    <w:rsid w:val="0003552A"/>
    <w:rsid w:val="00055004"/>
    <w:rsid w:val="00096814"/>
    <w:rsid w:val="00097121"/>
    <w:rsid w:val="000D57DE"/>
    <w:rsid w:val="002327FC"/>
    <w:rsid w:val="00244EB2"/>
    <w:rsid w:val="0026373F"/>
    <w:rsid w:val="00275D10"/>
    <w:rsid w:val="002F58A0"/>
    <w:rsid w:val="0030049F"/>
    <w:rsid w:val="00474266"/>
    <w:rsid w:val="004F7CEC"/>
    <w:rsid w:val="0057254F"/>
    <w:rsid w:val="00580717"/>
    <w:rsid w:val="005973C0"/>
    <w:rsid w:val="00613BBE"/>
    <w:rsid w:val="00614AAD"/>
    <w:rsid w:val="00710B8C"/>
    <w:rsid w:val="0072704A"/>
    <w:rsid w:val="007B33DD"/>
    <w:rsid w:val="0087595C"/>
    <w:rsid w:val="008A1C24"/>
    <w:rsid w:val="009E46F6"/>
    <w:rsid w:val="00A72550"/>
    <w:rsid w:val="00A75DBF"/>
    <w:rsid w:val="00B9287B"/>
    <w:rsid w:val="00CB7A45"/>
    <w:rsid w:val="00CD2944"/>
    <w:rsid w:val="00D32E24"/>
    <w:rsid w:val="00D47025"/>
    <w:rsid w:val="00D81CE5"/>
    <w:rsid w:val="00DB3C2D"/>
    <w:rsid w:val="00DC3CBF"/>
    <w:rsid w:val="00E22B43"/>
    <w:rsid w:val="00EF12BB"/>
    <w:rsid w:val="00F126F0"/>
    <w:rsid w:val="00F3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2549B"/>
  <w15:chartTrackingRefBased/>
  <w15:docId w15:val="{A0A0DAEC-E9E3-400F-BFE0-234040F4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A1C24"/>
    <w:pPr>
      <w:suppressAutoHyphens/>
      <w:spacing w:after="0" w:line="100" w:lineRule="atLeast"/>
    </w:pPr>
    <w:rPr>
      <w:rFonts w:ascii="1" w:eastAsia="WenQuanYi Zen Hei" w:hAnsi="1" w:cs="1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968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68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68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8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8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814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rsid w:val="00E22B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Reading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Morriss</dc:creator>
  <cp:keywords/>
  <dc:description/>
  <cp:lastModifiedBy>Charlotte</cp:lastModifiedBy>
  <cp:revision>2</cp:revision>
  <cp:lastPrinted>2019-03-05T14:13:00Z</cp:lastPrinted>
  <dcterms:created xsi:type="dcterms:W3CDTF">2021-07-07T11:01:00Z</dcterms:created>
  <dcterms:modified xsi:type="dcterms:W3CDTF">2021-07-07T11:01:00Z</dcterms:modified>
</cp:coreProperties>
</file>