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9AE92" w14:textId="3B3C224B" w:rsidR="00150445" w:rsidRDefault="009B3DD7" w:rsidP="00E6479F">
      <w:pPr>
        <w:spacing w:line="360" w:lineRule="auto"/>
        <w:rPr>
          <w:rFonts w:ascii="Times New Roman" w:hAnsi="Times New Roman" w:cs="Times New Roman"/>
          <w:b/>
          <w:sz w:val="24"/>
          <w:szCs w:val="24"/>
        </w:rPr>
      </w:pPr>
      <w:r>
        <w:rPr>
          <w:rFonts w:ascii="Times New Roman" w:hAnsi="Times New Roman" w:cs="Times New Roman"/>
          <w:b/>
          <w:sz w:val="24"/>
          <w:szCs w:val="24"/>
        </w:rPr>
        <w:t>Supplementary Material</w:t>
      </w:r>
    </w:p>
    <w:p w14:paraId="4A93F5C9" w14:textId="198D90B8" w:rsidR="00F408CC" w:rsidRPr="00303A13" w:rsidRDefault="00F408CC" w:rsidP="002E6582">
      <w:pPr>
        <w:spacing w:after="0" w:line="360" w:lineRule="auto"/>
        <w:rPr>
          <w:rFonts w:ascii="Times New Roman" w:hAnsi="Times New Roman"/>
          <w:sz w:val="24"/>
          <w:szCs w:val="24"/>
        </w:rPr>
      </w:pPr>
      <w:r w:rsidRPr="00303A13">
        <w:rPr>
          <w:rFonts w:ascii="Times New Roman" w:hAnsi="Times New Roman"/>
          <w:b/>
          <w:sz w:val="24"/>
          <w:szCs w:val="24"/>
        </w:rPr>
        <w:t xml:space="preserve">S1. </w:t>
      </w:r>
      <w:r w:rsidRPr="00303A13">
        <w:rPr>
          <w:rFonts w:ascii="Times New Roman" w:hAnsi="Times New Roman"/>
          <w:sz w:val="24"/>
          <w:szCs w:val="24"/>
        </w:rPr>
        <w:t>Pre-Scan Practice</w:t>
      </w:r>
    </w:p>
    <w:p w14:paraId="2949028D" w14:textId="3E40DFBA" w:rsidR="00F408CC" w:rsidRPr="00FF01B8" w:rsidRDefault="00F408CC" w:rsidP="002E6582">
      <w:pPr>
        <w:autoSpaceDE w:val="0"/>
        <w:autoSpaceDN w:val="0"/>
        <w:adjustRightInd w:val="0"/>
        <w:spacing w:line="360" w:lineRule="auto"/>
        <w:ind w:firstLine="720"/>
        <w:rPr>
          <w:rFonts w:ascii="Times New Roman" w:hAnsi="Times New Roman"/>
          <w:sz w:val="24"/>
          <w:szCs w:val="24"/>
        </w:rPr>
      </w:pPr>
      <w:r w:rsidRPr="00FF01B8">
        <w:rPr>
          <w:rFonts w:ascii="Times New Roman" w:hAnsi="Times New Roman"/>
          <w:sz w:val="24"/>
          <w:szCs w:val="24"/>
        </w:rPr>
        <w:t xml:space="preserve">Participants completed a task designed to induce perceptual motion after-effects on </w:t>
      </w:r>
      <w:r w:rsidR="00D33D60">
        <w:rPr>
          <w:rFonts w:ascii="Times New Roman" w:hAnsi="Times New Roman"/>
          <w:sz w:val="24"/>
          <w:szCs w:val="24"/>
        </w:rPr>
        <w:t xml:space="preserve">emotionally neutral </w:t>
      </w:r>
      <w:r w:rsidRPr="00FF01B8">
        <w:rPr>
          <w:rFonts w:ascii="Times New Roman" w:hAnsi="Times New Roman"/>
          <w:sz w:val="24"/>
          <w:szCs w:val="24"/>
        </w:rPr>
        <w:t xml:space="preserve">static images.  Specifically, participants viewed a constant pattern of visual motion for a fixed duration before being presented a static neutral image.  The pre-scan training consisted of a single testing run lasting ~5 minutes (2 motion direction X 8 target images). </w:t>
      </w:r>
    </w:p>
    <w:p w14:paraId="70F3AF97" w14:textId="4E25A07B" w:rsidR="004A5BC5" w:rsidRDefault="00F408CC" w:rsidP="00DF1081">
      <w:pPr>
        <w:autoSpaceDE w:val="0"/>
        <w:autoSpaceDN w:val="0"/>
        <w:adjustRightInd w:val="0"/>
        <w:spacing w:line="360" w:lineRule="auto"/>
        <w:ind w:firstLine="720"/>
        <w:rPr>
          <w:rFonts w:ascii="Times New Roman" w:hAnsi="Times New Roman"/>
          <w:sz w:val="24"/>
          <w:szCs w:val="24"/>
        </w:rPr>
      </w:pPr>
      <w:r w:rsidRPr="00FF01B8">
        <w:rPr>
          <w:rFonts w:ascii="Times New Roman" w:hAnsi="Times New Roman"/>
          <w:sz w:val="24"/>
          <w:szCs w:val="24"/>
        </w:rPr>
        <w:t xml:space="preserve"> To begin each trial, participants were presented a stationary fixation cross lasting 500ms. Following this, a pattern of constant visual movement (contraction or expansion) was presented for a period of ten seconds</w:t>
      </w:r>
      <w:r>
        <w:rPr>
          <w:rFonts w:ascii="Times New Roman" w:hAnsi="Times New Roman"/>
          <w:sz w:val="24"/>
          <w:szCs w:val="24"/>
        </w:rPr>
        <w:t xml:space="preserve">. </w:t>
      </w:r>
      <w:r w:rsidRPr="00FF01B8">
        <w:rPr>
          <w:rFonts w:ascii="Times New Roman" w:hAnsi="Times New Roman"/>
          <w:sz w:val="24"/>
          <w:szCs w:val="24"/>
        </w:rPr>
        <w:t>After the completion of the video, a target image appeared immediately, and remained visible for 3000ms.</w:t>
      </w:r>
      <w:r>
        <w:rPr>
          <w:rFonts w:ascii="Times New Roman" w:hAnsi="Times New Roman"/>
          <w:sz w:val="24"/>
          <w:szCs w:val="24"/>
        </w:rPr>
        <w:t xml:space="preserve"> The constant pattern of visual motion </w:t>
      </w:r>
      <w:r w:rsidRPr="00FF01B8">
        <w:rPr>
          <w:rFonts w:ascii="Times New Roman" w:hAnsi="Times New Roman"/>
          <w:sz w:val="24"/>
          <w:szCs w:val="24"/>
        </w:rPr>
        <w:t>induce</w:t>
      </w:r>
      <w:r>
        <w:rPr>
          <w:rFonts w:ascii="Times New Roman" w:hAnsi="Times New Roman"/>
          <w:sz w:val="24"/>
          <w:szCs w:val="24"/>
        </w:rPr>
        <w:t>d</w:t>
      </w:r>
      <w:r w:rsidRPr="00FF01B8">
        <w:rPr>
          <w:rFonts w:ascii="Times New Roman" w:hAnsi="Times New Roman"/>
          <w:sz w:val="24"/>
          <w:szCs w:val="24"/>
        </w:rPr>
        <w:t xml:space="preserve"> a</w:t>
      </w:r>
      <w:r>
        <w:rPr>
          <w:rFonts w:ascii="Times New Roman" w:hAnsi="Times New Roman"/>
          <w:sz w:val="24"/>
          <w:szCs w:val="24"/>
        </w:rPr>
        <w:t xml:space="preserve"> pattern of illusory motion in the opposite direction on the subsequent target image. This effect is referred to as the</w:t>
      </w:r>
      <w:r w:rsidRPr="00FF01B8">
        <w:rPr>
          <w:rFonts w:ascii="Times New Roman" w:hAnsi="Times New Roman"/>
          <w:sz w:val="24"/>
          <w:szCs w:val="24"/>
        </w:rPr>
        <w:t xml:space="preserve"> motion-after</w:t>
      </w:r>
      <w:r>
        <w:rPr>
          <w:rFonts w:ascii="Times New Roman" w:hAnsi="Times New Roman"/>
          <w:sz w:val="24"/>
          <w:szCs w:val="24"/>
        </w:rPr>
        <w:t xml:space="preserve"> effect</w:t>
      </w:r>
      <w:r w:rsidRPr="00FF01B8">
        <w:rPr>
          <w:rFonts w:ascii="Times New Roman" w:hAnsi="Times New Roman"/>
          <w:sz w:val="24"/>
          <w:szCs w:val="24"/>
        </w:rPr>
        <w:t>.  During the presentation of both the motion pattern and target image, participants maintained fixation on a red centre fixation</w:t>
      </w:r>
      <w:r>
        <w:rPr>
          <w:rFonts w:ascii="Times New Roman" w:hAnsi="Times New Roman"/>
          <w:sz w:val="24"/>
          <w:szCs w:val="24"/>
        </w:rPr>
        <w:t xml:space="preserve"> cross</w:t>
      </w:r>
      <w:r w:rsidRPr="00FF01B8">
        <w:rPr>
          <w:rFonts w:ascii="Times New Roman" w:hAnsi="Times New Roman"/>
          <w:sz w:val="24"/>
          <w:szCs w:val="24"/>
        </w:rPr>
        <w:t>. Once the target image disappeared, two questions were asked in random order. One question required the participant to indicate to what extent the target image appeared to move, while the other required the participant to rate the emotional arousal level of the target image. All responses were given using a 5-point Likert rating, ranging from ‘Very Little’ (1) to ‘Very Much’ (5). All button presses were made with the right hand. The presentation of all motion patterns and target images were randomized within the pre-scan experiment.</w:t>
      </w:r>
    </w:p>
    <w:p w14:paraId="148A6D05" w14:textId="77777777" w:rsidR="004A5BC5" w:rsidRDefault="004A5BC5" w:rsidP="008D3040">
      <w:pPr>
        <w:spacing w:line="360" w:lineRule="auto"/>
        <w:rPr>
          <w:rFonts w:ascii="Times New Roman" w:hAnsi="Times New Roman"/>
          <w:sz w:val="24"/>
          <w:szCs w:val="24"/>
        </w:rPr>
      </w:pPr>
      <w:r>
        <w:rPr>
          <w:rFonts w:ascii="Times New Roman" w:hAnsi="Times New Roman"/>
          <w:sz w:val="24"/>
          <w:szCs w:val="24"/>
        </w:rPr>
        <w:br w:type="page"/>
      </w:r>
    </w:p>
    <w:p w14:paraId="2FA44856" w14:textId="51723522" w:rsidR="00B53165" w:rsidRDefault="00B53165" w:rsidP="002E6582">
      <w:pPr>
        <w:spacing w:before="240" w:after="0" w:line="360" w:lineRule="auto"/>
        <w:rPr>
          <w:rFonts w:ascii="Times New Roman" w:hAnsi="Times New Roman"/>
          <w:color w:val="7030A0"/>
          <w:sz w:val="24"/>
          <w:szCs w:val="24"/>
        </w:rPr>
      </w:pPr>
      <w:r w:rsidRPr="00DF1081">
        <w:rPr>
          <w:rFonts w:ascii="Times New Roman" w:hAnsi="Times New Roman"/>
          <w:b/>
          <w:color w:val="7030A0"/>
          <w:sz w:val="24"/>
          <w:szCs w:val="24"/>
        </w:rPr>
        <w:lastRenderedPageBreak/>
        <w:t>S</w:t>
      </w:r>
      <w:r w:rsidRPr="008D3040">
        <w:rPr>
          <w:rFonts w:ascii="Times New Roman" w:hAnsi="Times New Roman"/>
          <w:b/>
          <w:color w:val="7030A0"/>
          <w:sz w:val="24"/>
          <w:szCs w:val="24"/>
        </w:rPr>
        <w:t>2</w:t>
      </w:r>
      <w:r w:rsidR="002E6582" w:rsidRPr="008D3040">
        <w:rPr>
          <w:rFonts w:ascii="Times New Roman" w:hAnsi="Times New Roman"/>
          <w:b/>
          <w:color w:val="7030A0"/>
          <w:sz w:val="24"/>
          <w:szCs w:val="24"/>
        </w:rPr>
        <w:t>.</w:t>
      </w:r>
      <w:r w:rsidRPr="008D3040">
        <w:rPr>
          <w:rFonts w:ascii="Times New Roman" w:hAnsi="Times New Roman"/>
          <w:b/>
          <w:color w:val="7030A0"/>
          <w:sz w:val="24"/>
          <w:szCs w:val="24"/>
        </w:rPr>
        <w:t xml:space="preserve"> </w:t>
      </w:r>
      <w:r w:rsidRPr="008D3040">
        <w:rPr>
          <w:rFonts w:ascii="Times New Roman" w:hAnsi="Times New Roman"/>
          <w:color w:val="7030A0"/>
          <w:sz w:val="24"/>
          <w:szCs w:val="24"/>
        </w:rPr>
        <w:t xml:space="preserve">Bayesian Analyses Reporting </w:t>
      </w:r>
    </w:p>
    <w:p w14:paraId="52F2505F" w14:textId="77777777" w:rsidR="008D3040" w:rsidRPr="008D3040" w:rsidRDefault="008D3040" w:rsidP="002E6582">
      <w:pPr>
        <w:spacing w:before="240" w:after="0" w:line="360" w:lineRule="auto"/>
        <w:rPr>
          <w:rFonts w:ascii="Times New Roman" w:hAnsi="Times New Roman"/>
          <w:color w:val="7030A0"/>
          <w:sz w:val="24"/>
          <w:szCs w:val="24"/>
        </w:rPr>
      </w:pPr>
    </w:p>
    <w:p w14:paraId="13948C54" w14:textId="2146FF86"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Below we outline extended details for our Bayesian analyses, consistent with the Bayesian Analysis Reporting Guidelines (</w:t>
      </w:r>
      <w:proofErr w:type="spellStart"/>
      <w:r w:rsidRPr="008D3040">
        <w:rPr>
          <w:rFonts w:ascii="Times New Roman" w:hAnsi="Times New Roman"/>
          <w:color w:val="7030A0"/>
          <w:sz w:val="24"/>
          <w:szCs w:val="24"/>
        </w:rPr>
        <w:t>Kruschke</w:t>
      </w:r>
      <w:proofErr w:type="spellEnd"/>
      <w:r w:rsidRPr="008D3040">
        <w:rPr>
          <w:rFonts w:ascii="Times New Roman" w:hAnsi="Times New Roman"/>
          <w:color w:val="7030A0"/>
          <w:sz w:val="24"/>
          <w:szCs w:val="24"/>
        </w:rPr>
        <w:t>, 2021).</w:t>
      </w:r>
    </w:p>
    <w:p w14:paraId="44D82E3C" w14:textId="77777777" w:rsidR="002E6582" w:rsidRPr="008D3040" w:rsidRDefault="002E6582" w:rsidP="008D3040">
      <w:pPr>
        <w:spacing w:after="0" w:line="360" w:lineRule="auto"/>
        <w:rPr>
          <w:rFonts w:ascii="Times New Roman" w:hAnsi="Times New Roman"/>
          <w:color w:val="7030A0"/>
          <w:sz w:val="24"/>
          <w:szCs w:val="24"/>
        </w:rPr>
      </w:pPr>
    </w:p>
    <w:p w14:paraId="347284B8" w14:textId="77777777" w:rsidR="002E6582" w:rsidRPr="008D3040" w:rsidRDefault="002E6582" w:rsidP="008D3040">
      <w:pPr>
        <w:pStyle w:val="ListParagraph"/>
        <w:numPr>
          <w:ilvl w:val="1"/>
          <w:numId w:val="2"/>
        </w:numPr>
        <w:spacing w:after="0" w:line="360" w:lineRule="auto"/>
        <w:contextualSpacing w:val="0"/>
        <w:rPr>
          <w:rFonts w:ascii="Times New Roman" w:hAnsi="Times New Roman"/>
          <w:i/>
          <w:iCs/>
          <w:color w:val="7030A0"/>
          <w:sz w:val="24"/>
          <w:szCs w:val="24"/>
        </w:rPr>
      </w:pPr>
      <w:r w:rsidRPr="008D3040">
        <w:rPr>
          <w:rFonts w:ascii="Times New Roman" w:hAnsi="Times New Roman"/>
          <w:i/>
          <w:iCs/>
          <w:color w:val="7030A0"/>
          <w:sz w:val="24"/>
          <w:szCs w:val="24"/>
        </w:rPr>
        <w:t>Preamble</w:t>
      </w:r>
    </w:p>
    <w:p w14:paraId="285A6747"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 xml:space="preserve">We included Bayesian analyses alongside frequentist analyses in order to provide a more thorough picture of results than frequentist analyses alone can offer, especially for null results. All Bayesian analyses that we used aim to express the amount of evidence for the expected pattern of </w:t>
      </w:r>
      <w:proofErr w:type="spellStart"/>
      <w:r w:rsidRPr="008D3040">
        <w:rPr>
          <w:rFonts w:ascii="Times New Roman" w:hAnsi="Times New Roman"/>
          <w:color w:val="7030A0"/>
          <w:sz w:val="24"/>
          <w:szCs w:val="24"/>
        </w:rPr>
        <w:t>behavioual</w:t>
      </w:r>
      <w:proofErr w:type="spellEnd"/>
      <w:r w:rsidRPr="008D3040">
        <w:rPr>
          <w:rFonts w:ascii="Times New Roman" w:hAnsi="Times New Roman"/>
          <w:color w:val="7030A0"/>
          <w:sz w:val="24"/>
          <w:szCs w:val="24"/>
        </w:rPr>
        <w:t xml:space="preserve"> and neural results given the actual pattern of results.</w:t>
      </w:r>
    </w:p>
    <w:p w14:paraId="2F38DFDE" w14:textId="77777777" w:rsidR="002E6582" w:rsidRPr="008D3040" w:rsidRDefault="002E6582" w:rsidP="008D3040">
      <w:pPr>
        <w:spacing w:after="0" w:line="360" w:lineRule="auto"/>
        <w:rPr>
          <w:rFonts w:ascii="Times New Roman" w:hAnsi="Times New Roman"/>
          <w:color w:val="7030A0"/>
          <w:sz w:val="24"/>
          <w:szCs w:val="24"/>
        </w:rPr>
      </w:pPr>
    </w:p>
    <w:p w14:paraId="33F10FA8" w14:textId="77777777" w:rsidR="002E6582" w:rsidRPr="008D3040" w:rsidRDefault="002E6582" w:rsidP="008D3040">
      <w:pPr>
        <w:pStyle w:val="ListParagraph"/>
        <w:numPr>
          <w:ilvl w:val="1"/>
          <w:numId w:val="2"/>
        </w:numPr>
        <w:spacing w:after="0" w:line="360" w:lineRule="auto"/>
        <w:contextualSpacing w:val="0"/>
        <w:rPr>
          <w:rFonts w:ascii="Times New Roman" w:hAnsi="Times New Roman"/>
          <w:color w:val="7030A0"/>
          <w:sz w:val="24"/>
          <w:szCs w:val="24"/>
        </w:rPr>
      </w:pPr>
      <w:r w:rsidRPr="008D3040">
        <w:rPr>
          <w:rFonts w:ascii="Times New Roman" w:hAnsi="Times New Roman"/>
          <w:i/>
          <w:iCs/>
          <w:color w:val="7030A0"/>
          <w:sz w:val="24"/>
          <w:szCs w:val="24"/>
        </w:rPr>
        <w:t>Model description</w:t>
      </w:r>
    </w:p>
    <w:p w14:paraId="41F268DD"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For the analysis of the behavioral illusion quality rating and emotional arousal ratings during the fMRI task, separate 3 (MAE Direction: approach, recede, static) X 3 (Emotion: negative, neutral, positive) repeated-measures analyses of variance (ANOVAs) were conducted. All parameters are of direct theoretical interest. These analyses were run for 10,000 iterations, assume a fixed prior distribution of medium effect size for all fixed effects (MAE direction and Emotion), and a random prior distribution of medium to large effect size (“nuisance”) to account for random individual differences.</w:t>
      </w:r>
    </w:p>
    <w:p w14:paraId="0BADAF0B" w14:textId="77777777" w:rsidR="002E6582" w:rsidRPr="008D3040" w:rsidRDefault="002E6582" w:rsidP="008D3040">
      <w:pPr>
        <w:spacing w:after="0" w:line="360" w:lineRule="auto"/>
        <w:rPr>
          <w:rFonts w:ascii="Times New Roman" w:hAnsi="Times New Roman"/>
          <w:color w:val="7030A0"/>
          <w:sz w:val="24"/>
          <w:szCs w:val="24"/>
        </w:rPr>
      </w:pPr>
    </w:p>
    <w:p w14:paraId="2120FAC9" w14:textId="77777777" w:rsidR="002E6582" w:rsidRPr="008D3040" w:rsidRDefault="002E6582" w:rsidP="008D3040">
      <w:pPr>
        <w:pStyle w:val="ListParagraph"/>
        <w:numPr>
          <w:ilvl w:val="1"/>
          <w:numId w:val="2"/>
        </w:numPr>
        <w:spacing w:after="0" w:line="360" w:lineRule="auto"/>
        <w:contextualSpacing w:val="0"/>
        <w:rPr>
          <w:rFonts w:ascii="Times New Roman" w:hAnsi="Times New Roman"/>
          <w:i/>
          <w:iCs/>
          <w:color w:val="7030A0"/>
          <w:sz w:val="24"/>
          <w:szCs w:val="24"/>
        </w:rPr>
      </w:pPr>
      <w:r w:rsidRPr="008D3040">
        <w:rPr>
          <w:rFonts w:ascii="Times New Roman" w:hAnsi="Times New Roman"/>
          <w:i/>
          <w:iCs/>
          <w:color w:val="7030A0"/>
          <w:sz w:val="24"/>
          <w:szCs w:val="24"/>
        </w:rPr>
        <w:t>Computation details</w:t>
      </w:r>
    </w:p>
    <w:p w14:paraId="0941B6EE" w14:textId="0F234608"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 xml:space="preserve">All Bayesian analyses were conducted using the </w:t>
      </w:r>
      <w:proofErr w:type="spellStart"/>
      <w:r w:rsidRPr="008D3040">
        <w:rPr>
          <w:rFonts w:ascii="Times New Roman" w:hAnsi="Times New Roman"/>
          <w:color w:val="7030A0"/>
          <w:sz w:val="24"/>
          <w:szCs w:val="24"/>
        </w:rPr>
        <w:t>anovaBF</w:t>
      </w:r>
      <w:proofErr w:type="spellEnd"/>
      <w:r w:rsidRPr="008D3040">
        <w:rPr>
          <w:rFonts w:ascii="Times New Roman" w:hAnsi="Times New Roman"/>
          <w:color w:val="7030A0"/>
          <w:sz w:val="24"/>
          <w:szCs w:val="24"/>
        </w:rPr>
        <w:t xml:space="preserve"> function from </w:t>
      </w:r>
      <w:proofErr w:type="spellStart"/>
      <w:r w:rsidRPr="008D3040">
        <w:rPr>
          <w:rFonts w:ascii="Times New Roman" w:hAnsi="Times New Roman"/>
          <w:color w:val="7030A0"/>
          <w:sz w:val="24"/>
          <w:szCs w:val="24"/>
        </w:rPr>
        <w:t>BayesFactor</w:t>
      </w:r>
      <w:proofErr w:type="spellEnd"/>
      <w:r w:rsidRPr="008D3040">
        <w:rPr>
          <w:rFonts w:ascii="Times New Roman" w:hAnsi="Times New Roman"/>
          <w:color w:val="7030A0"/>
          <w:sz w:val="24"/>
          <w:szCs w:val="24"/>
        </w:rPr>
        <w:t xml:space="preserve"> R package, version 0.9.12-4.4 (</w:t>
      </w:r>
      <w:proofErr w:type="spellStart"/>
      <w:r w:rsidRPr="008D3040">
        <w:rPr>
          <w:rFonts w:ascii="Times New Roman" w:hAnsi="Times New Roman"/>
          <w:color w:val="7030A0"/>
          <w:sz w:val="24"/>
          <w:szCs w:val="24"/>
        </w:rPr>
        <w:t>Kruschke</w:t>
      </w:r>
      <w:proofErr w:type="spellEnd"/>
      <w:r w:rsidRPr="008D3040">
        <w:rPr>
          <w:rFonts w:ascii="Times New Roman" w:hAnsi="Times New Roman"/>
          <w:color w:val="7030A0"/>
          <w:sz w:val="24"/>
          <w:szCs w:val="24"/>
        </w:rPr>
        <w:t xml:space="preserve">, 2015). Markov Chain Monte Carlo (MCMC) chains were extracted from posterior distributions for each Bayesian ANOVA using the </w:t>
      </w:r>
      <w:proofErr w:type="spellStart"/>
      <w:r w:rsidRPr="008D3040">
        <w:rPr>
          <w:rFonts w:ascii="Times New Roman" w:hAnsi="Times New Roman"/>
          <w:color w:val="7030A0"/>
          <w:sz w:val="24"/>
          <w:szCs w:val="24"/>
        </w:rPr>
        <w:t>mcmc.list</w:t>
      </w:r>
      <w:proofErr w:type="spellEnd"/>
      <w:r w:rsidRPr="008D3040">
        <w:rPr>
          <w:rFonts w:ascii="Times New Roman" w:hAnsi="Times New Roman"/>
          <w:color w:val="7030A0"/>
          <w:sz w:val="24"/>
          <w:szCs w:val="24"/>
        </w:rPr>
        <w:t xml:space="preserve"> function coda package, version 0.19-3 (Plummer et al., 2006). We then used the </w:t>
      </w:r>
      <w:proofErr w:type="spellStart"/>
      <w:r w:rsidRPr="008D3040">
        <w:rPr>
          <w:rFonts w:ascii="Times New Roman" w:hAnsi="Times New Roman"/>
          <w:color w:val="7030A0"/>
          <w:sz w:val="24"/>
          <w:szCs w:val="24"/>
        </w:rPr>
        <w:t>check.psrf</w:t>
      </w:r>
      <w:proofErr w:type="spellEnd"/>
      <w:r w:rsidRPr="008D3040">
        <w:rPr>
          <w:rFonts w:ascii="Times New Roman" w:hAnsi="Times New Roman"/>
          <w:color w:val="7030A0"/>
          <w:sz w:val="24"/>
          <w:szCs w:val="24"/>
        </w:rPr>
        <w:t xml:space="preserve"> function from the </w:t>
      </w:r>
      <w:proofErr w:type="spellStart"/>
      <w:r w:rsidRPr="008D3040">
        <w:rPr>
          <w:rFonts w:ascii="Times New Roman" w:hAnsi="Times New Roman"/>
          <w:color w:val="7030A0"/>
          <w:sz w:val="24"/>
          <w:szCs w:val="24"/>
        </w:rPr>
        <w:t>zoib</w:t>
      </w:r>
      <w:proofErr w:type="spellEnd"/>
      <w:r w:rsidRPr="008D3040">
        <w:rPr>
          <w:rFonts w:ascii="Times New Roman" w:hAnsi="Times New Roman"/>
          <w:color w:val="7030A0"/>
          <w:sz w:val="24"/>
          <w:szCs w:val="24"/>
        </w:rPr>
        <w:t xml:space="preserve"> package, version 1.5.5 (Liu and Kong, 2015) to calculate all potential scale reduction factors (PSRF) in order to evaluate MCMC chain convergence. All PSRF values for all models were &lt; 1.1, indicating that all MCMC chains successfully converged (Gelman and Rubin, 1992). All PSRF values are reported in </w:t>
      </w:r>
      <w:r w:rsidR="00DF1081" w:rsidRPr="008D3040">
        <w:rPr>
          <w:rFonts w:ascii="Times New Roman" w:hAnsi="Times New Roman"/>
          <w:color w:val="7030A0"/>
          <w:sz w:val="24"/>
          <w:szCs w:val="24"/>
        </w:rPr>
        <w:t>s</w:t>
      </w:r>
      <w:r w:rsidRPr="008D3040">
        <w:rPr>
          <w:rFonts w:ascii="Times New Roman" w:hAnsi="Times New Roman"/>
          <w:color w:val="7030A0"/>
          <w:sz w:val="24"/>
          <w:szCs w:val="24"/>
        </w:rPr>
        <w:t>upplementary</w:t>
      </w:r>
      <w:r w:rsidR="00DF1081" w:rsidRPr="008D3040">
        <w:rPr>
          <w:rFonts w:ascii="Times New Roman" w:hAnsi="Times New Roman"/>
          <w:color w:val="7030A0"/>
          <w:sz w:val="24"/>
          <w:szCs w:val="24"/>
        </w:rPr>
        <w:t xml:space="preserve"> table ST2</w:t>
      </w:r>
      <w:r w:rsidR="00E6479F">
        <w:rPr>
          <w:rFonts w:ascii="Times New Roman" w:hAnsi="Times New Roman"/>
          <w:color w:val="7030A0"/>
          <w:sz w:val="24"/>
          <w:szCs w:val="24"/>
        </w:rPr>
        <w:t>:</w:t>
      </w:r>
      <w:r w:rsidRPr="008D3040">
        <w:rPr>
          <w:rFonts w:ascii="Times New Roman" w:hAnsi="Times New Roman"/>
          <w:color w:val="7030A0"/>
          <w:sz w:val="24"/>
          <w:szCs w:val="24"/>
        </w:rPr>
        <w:t xml:space="preserve"> PSRF_values.csv.</w:t>
      </w:r>
    </w:p>
    <w:p w14:paraId="39138DFF" w14:textId="77777777" w:rsidR="002E6582" w:rsidRPr="008D3040" w:rsidRDefault="002E6582" w:rsidP="008D3040">
      <w:pPr>
        <w:spacing w:after="0" w:line="360" w:lineRule="auto"/>
        <w:rPr>
          <w:rFonts w:ascii="Times New Roman" w:hAnsi="Times New Roman"/>
          <w:color w:val="7030A0"/>
          <w:sz w:val="24"/>
          <w:szCs w:val="24"/>
        </w:rPr>
      </w:pPr>
    </w:p>
    <w:p w14:paraId="3E3B38B1" w14:textId="77777777" w:rsidR="002E6582" w:rsidRPr="008D3040" w:rsidRDefault="002E6582" w:rsidP="008D3040">
      <w:pPr>
        <w:pStyle w:val="ListParagraph"/>
        <w:numPr>
          <w:ilvl w:val="1"/>
          <w:numId w:val="2"/>
        </w:numPr>
        <w:spacing w:after="0" w:line="360" w:lineRule="auto"/>
        <w:contextualSpacing w:val="0"/>
        <w:rPr>
          <w:rFonts w:ascii="Times New Roman" w:hAnsi="Times New Roman"/>
          <w:i/>
          <w:iCs/>
          <w:color w:val="7030A0"/>
          <w:sz w:val="24"/>
          <w:szCs w:val="24"/>
        </w:rPr>
      </w:pPr>
      <w:r w:rsidRPr="008D3040">
        <w:rPr>
          <w:rFonts w:ascii="Times New Roman" w:hAnsi="Times New Roman"/>
          <w:i/>
          <w:iCs/>
          <w:color w:val="7030A0"/>
          <w:sz w:val="24"/>
          <w:szCs w:val="24"/>
        </w:rPr>
        <w:t>Posterior distribution</w:t>
      </w:r>
    </w:p>
    <w:p w14:paraId="00FABBF7" w14:textId="39B44784" w:rsidR="002E6582" w:rsidRPr="008D3040" w:rsidRDefault="005C75F5"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lastRenderedPageBreak/>
        <w:t>Please see supplemental table ST</w:t>
      </w:r>
      <w:r w:rsidR="00DF1081" w:rsidRPr="008D3040">
        <w:rPr>
          <w:rFonts w:ascii="Times New Roman" w:hAnsi="Times New Roman"/>
          <w:color w:val="7030A0"/>
          <w:sz w:val="24"/>
          <w:szCs w:val="24"/>
        </w:rPr>
        <w:t>3</w:t>
      </w:r>
      <w:bookmarkStart w:id="0" w:name="_GoBack"/>
      <w:r w:rsidR="00E6479F" w:rsidRPr="006252B9">
        <w:rPr>
          <w:rFonts w:ascii="Times New Roman" w:hAnsi="Times New Roman"/>
          <w:color w:val="7030A0"/>
          <w:sz w:val="24"/>
          <w:szCs w:val="24"/>
        </w:rPr>
        <w:t xml:space="preserve">: </w:t>
      </w:r>
      <w:bookmarkEnd w:id="0"/>
      <w:r w:rsidR="00C76915">
        <w:rPr>
          <w:rFonts w:ascii="Times New Roman" w:hAnsi="Times New Roman"/>
          <w:color w:val="7030A0"/>
          <w:sz w:val="24"/>
          <w:szCs w:val="24"/>
        </w:rPr>
        <w:t>P</w:t>
      </w:r>
      <w:r w:rsidR="00C76915" w:rsidRPr="006252B9">
        <w:rPr>
          <w:rFonts w:ascii="Times New Roman" w:hAnsi="Times New Roman"/>
          <w:color w:val="7030A0"/>
          <w:sz w:val="24"/>
          <w:szCs w:val="24"/>
        </w:rPr>
        <w:t>osterior_stats</w:t>
      </w:r>
      <w:r w:rsidR="00E6479F" w:rsidRPr="006252B9">
        <w:rPr>
          <w:rFonts w:ascii="Times New Roman" w:hAnsi="Times New Roman"/>
          <w:color w:val="7030A0"/>
          <w:sz w:val="24"/>
          <w:szCs w:val="24"/>
        </w:rPr>
        <w:t>.csv</w:t>
      </w:r>
      <w:r w:rsidRPr="00C76915">
        <w:rPr>
          <w:rFonts w:ascii="Times New Roman" w:hAnsi="Times New Roman"/>
          <w:color w:val="7030A0"/>
          <w:sz w:val="24"/>
          <w:szCs w:val="24"/>
        </w:rPr>
        <w:t xml:space="preserve"> for</w:t>
      </w:r>
      <w:r w:rsidR="002E6582" w:rsidRPr="008D3040">
        <w:rPr>
          <w:rFonts w:ascii="Times New Roman" w:hAnsi="Times New Roman"/>
          <w:color w:val="7030A0"/>
          <w:sz w:val="24"/>
          <w:szCs w:val="24"/>
        </w:rPr>
        <w:t xml:space="preserve"> medians and 95% credible intervals for </w:t>
      </w:r>
      <w:r w:rsidRPr="008D3040">
        <w:rPr>
          <w:rFonts w:ascii="Times New Roman" w:hAnsi="Times New Roman"/>
          <w:color w:val="7030A0"/>
          <w:sz w:val="24"/>
          <w:szCs w:val="24"/>
        </w:rPr>
        <w:t xml:space="preserve">all </w:t>
      </w:r>
      <w:r w:rsidR="002E6582" w:rsidRPr="008D3040">
        <w:rPr>
          <w:rFonts w:ascii="Times New Roman" w:hAnsi="Times New Roman"/>
          <w:color w:val="7030A0"/>
          <w:sz w:val="24"/>
          <w:szCs w:val="24"/>
        </w:rPr>
        <w:t>posterior distribution obtained.</w:t>
      </w:r>
    </w:p>
    <w:p w14:paraId="2E09A828" w14:textId="77777777" w:rsidR="002E6582" w:rsidRPr="008D3040" w:rsidRDefault="002E6582" w:rsidP="008D3040">
      <w:pPr>
        <w:spacing w:after="0" w:line="360" w:lineRule="auto"/>
        <w:rPr>
          <w:rFonts w:ascii="Times New Roman" w:hAnsi="Times New Roman"/>
          <w:color w:val="7030A0"/>
          <w:sz w:val="24"/>
          <w:szCs w:val="24"/>
        </w:rPr>
      </w:pPr>
    </w:p>
    <w:p w14:paraId="4384CD91" w14:textId="77777777" w:rsidR="002E6582" w:rsidRPr="008D3040" w:rsidRDefault="002E6582" w:rsidP="008D3040">
      <w:pPr>
        <w:pStyle w:val="ListParagraph"/>
        <w:numPr>
          <w:ilvl w:val="1"/>
          <w:numId w:val="2"/>
        </w:numPr>
        <w:spacing w:after="0" w:line="360" w:lineRule="auto"/>
        <w:contextualSpacing w:val="0"/>
        <w:rPr>
          <w:rFonts w:ascii="Times New Roman" w:hAnsi="Times New Roman"/>
          <w:i/>
          <w:iCs/>
          <w:color w:val="7030A0"/>
          <w:sz w:val="24"/>
          <w:szCs w:val="24"/>
        </w:rPr>
      </w:pPr>
      <w:r w:rsidRPr="008D3040">
        <w:rPr>
          <w:rFonts w:ascii="Times New Roman" w:hAnsi="Times New Roman"/>
          <w:i/>
          <w:iCs/>
          <w:color w:val="7030A0"/>
          <w:sz w:val="24"/>
          <w:szCs w:val="24"/>
        </w:rPr>
        <w:t>Decision criteria</w:t>
      </w:r>
    </w:p>
    <w:p w14:paraId="58CEFA25"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When reporting Bayes factors, we consider any Bayes factor &lt; 3 to be weak or inconclusive evidence against the null hypothesis (Dienes, 2014) across all models. These decisions are theoretically meaningful as a low Bayes factor represents the distribution of data likely being unrelated to the experimental effect of interest.</w:t>
      </w:r>
    </w:p>
    <w:p w14:paraId="175F4419" w14:textId="77777777" w:rsidR="002E6582" w:rsidRPr="008D3040" w:rsidRDefault="002E6582" w:rsidP="008D3040">
      <w:pPr>
        <w:spacing w:after="0" w:line="360" w:lineRule="auto"/>
        <w:rPr>
          <w:rFonts w:ascii="Times New Roman" w:hAnsi="Times New Roman"/>
          <w:color w:val="7030A0"/>
          <w:sz w:val="24"/>
          <w:szCs w:val="24"/>
        </w:rPr>
      </w:pPr>
    </w:p>
    <w:p w14:paraId="3CC420B7" w14:textId="77777777" w:rsidR="002E6582" w:rsidRPr="008D3040" w:rsidRDefault="002E6582" w:rsidP="008D3040">
      <w:pPr>
        <w:spacing w:after="0" w:line="360" w:lineRule="auto"/>
        <w:rPr>
          <w:rFonts w:ascii="Times New Roman" w:hAnsi="Times New Roman"/>
          <w:color w:val="7030A0"/>
          <w:sz w:val="24"/>
          <w:szCs w:val="24"/>
        </w:rPr>
      </w:pPr>
    </w:p>
    <w:p w14:paraId="4B27D7B5" w14:textId="77777777" w:rsidR="002E6582" w:rsidRPr="008D3040" w:rsidRDefault="002E6582" w:rsidP="008D3040">
      <w:pPr>
        <w:spacing w:after="0" w:line="360" w:lineRule="auto"/>
        <w:jc w:val="center"/>
        <w:rPr>
          <w:rFonts w:ascii="Times New Roman" w:hAnsi="Times New Roman"/>
          <w:b/>
          <w:bCs/>
          <w:i/>
          <w:iCs/>
          <w:color w:val="7030A0"/>
          <w:sz w:val="24"/>
          <w:szCs w:val="24"/>
        </w:rPr>
      </w:pPr>
      <w:r w:rsidRPr="008D3040">
        <w:rPr>
          <w:rFonts w:ascii="Times New Roman" w:hAnsi="Times New Roman"/>
          <w:b/>
          <w:bCs/>
          <w:i/>
          <w:iCs/>
          <w:color w:val="7030A0"/>
          <w:sz w:val="24"/>
          <w:szCs w:val="24"/>
        </w:rPr>
        <w:t>References</w:t>
      </w:r>
    </w:p>
    <w:p w14:paraId="528B22AE"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Dienes, Z. (2014). Using Bayes to get the most out of non-significant results. Frontiers in Psychology, 5. https://doi.org/10.3389/fpsyg.2014.00781</w:t>
      </w:r>
    </w:p>
    <w:p w14:paraId="3EBE4494"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Gelman, A. and Rubin, D. (1992). Inference from iterative simulation using multiple sequences. Statistical Science, 7(4), 457-511.</w:t>
      </w:r>
    </w:p>
    <w:p w14:paraId="2459B3AA" w14:textId="77777777" w:rsidR="002E6582" w:rsidRPr="008D3040" w:rsidRDefault="002E6582" w:rsidP="008D3040">
      <w:pPr>
        <w:spacing w:after="0" w:line="360" w:lineRule="auto"/>
        <w:rPr>
          <w:rFonts w:ascii="Times New Roman" w:hAnsi="Times New Roman"/>
          <w:color w:val="7030A0"/>
          <w:sz w:val="24"/>
          <w:szCs w:val="24"/>
        </w:rPr>
      </w:pPr>
      <w:proofErr w:type="spellStart"/>
      <w:r w:rsidRPr="008D3040">
        <w:rPr>
          <w:rFonts w:ascii="Times New Roman" w:hAnsi="Times New Roman"/>
          <w:color w:val="7030A0"/>
          <w:sz w:val="24"/>
          <w:szCs w:val="24"/>
        </w:rPr>
        <w:t>Kruschke</w:t>
      </w:r>
      <w:proofErr w:type="spellEnd"/>
      <w:r w:rsidRPr="008D3040">
        <w:rPr>
          <w:rFonts w:ascii="Times New Roman" w:hAnsi="Times New Roman"/>
          <w:color w:val="7030A0"/>
          <w:sz w:val="24"/>
          <w:szCs w:val="24"/>
        </w:rPr>
        <w:t xml:space="preserve">, J. K. (2015). </w:t>
      </w:r>
      <w:proofErr w:type="spellStart"/>
      <w:r w:rsidRPr="008D3040">
        <w:rPr>
          <w:rFonts w:ascii="Times New Roman" w:hAnsi="Times New Roman"/>
          <w:color w:val="7030A0"/>
          <w:sz w:val="24"/>
          <w:szCs w:val="24"/>
        </w:rPr>
        <w:t>BayesFactor</w:t>
      </w:r>
      <w:proofErr w:type="spellEnd"/>
      <w:r w:rsidRPr="008D3040">
        <w:rPr>
          <w:rFonts w:ascii="Times New Roman" w:hAnsi="Times New Roman"/>
          <w:color w:val="7030A0"/>
          <w:sz w:val="24"/>
          <w:szCs w:val="24"/>
        </w:rPr>
        <w:t>: Computation of Bayes factors for common designs. R package version 0.9.12-4.4.</w:t>
      </w:r>
    </w:p>
    <w:p w14:paraId="204E48B1" w14:textId="77777777" w:rsidR="002E6582" w:rsidRPr="008D3040" w:rsidRDefault="002E6582" w:rsidP="008D3040">
      <w:pPr>
        <w:spacing w:after="0" w:line="360" w:lineRule="auto"/>
        <w:rPr>
          <w:rFonts w:ascii="Times New Roman" w:hAnsi="Times New Roman"/>
          <w:color w:val="7030A0"/>
          <w:sz w:val="24"/>
          <w:szCs w:val="24"/>
        </w:rPr>
      </w:pPr>
      <w:proofErr w:type="spellStart"/>
      <w:r w:rsidRPr="008D3040">
        <w:rPr>
          <w:rFonts w:ascii="Times New Roman" w:hAnsi="Times New Roman"/>
          <w:color w:val="7030A0"/>
          <w:sz w:val="24"/>
          <w:szCs w:val="24"/>
        </w:rPr>
        <w:t>Kruschke</w:t>
      </w:r>
      <w:proofErr w:type="spellEnd"/>
      <w:r w:rsidRPr="008D3040">
        <w:rPr>
          <w:rFonts w:ascii="Times New Roman" w:hAnsi="Times New Roman"/>
          <w:color w:val="7030A0"/>
          <w:sz w:val="24"/>
          <w:szCs w:val="24"/>
        </w:rPr>
        <w:t xml:space="preserve">, J. K. (2021). Bayesian Analysis Reporting Guidelines. Nature Human Behaviour, 5(10), 1282–1291. </w:t>
      </w:r>
      <w:hyperlink r:id="rId5" w:history="1">
        <w:r w:rsidRPr="008D3040">
          <w:rPr>
            <w:rStyle w:val="Hyperlink"/>
            <w:rFonts w:ascii="Times New Roman" w:hAnsi="Times New Roman"/>
            <w:color w:val="7030A0"/>
            <w:sz w:val="24"/>
            <w:szCs w:val="24"/>
          </w:rPr>
          <w:t>https://doi.org/10.1038/s41562-021-01177-7</w:t>
        </w:r>
      </w:hyperlink>
    </w:p>
    <w:p w14:paraId="76477029"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Liu, F. and Kong, Y. (2015). ZOIB: an R Package for Bayesian inferences in beta and zero one</w:t>
      </w:r>
    </w:p>
    <w:p w14:paraId="2DA6C823"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inflated beta regression models. The R Journal, 7(2), 34-51.</w:t>
      </w:r>
    </w:p>
    <w:p w14:paraId="7258A846" w14:textId="77777777" w:rsidR="002E6582" w:rsidRPr="008D3040" w:rsidRDefault="002E6582" w:rsidP="008D3040">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Plummer, M., Best, N., Cowles, K., &amp; Vines, K. (2019). CODA: Convergence diagnosis and output analysis for MCMC.</w:t>
      </w:r>
    </w:p>
    <w:p w14:paraId="4E3C8329" w14:textId="77777777" w:rsidR="002E6582" w:rsidRPr="00990088" w:rsidRDefault="002E6582" w:rsidP="008D3040">
      <w:pPr>
        <w:spacing w:after="0" w:line="360" w:lineRule="auto"/>
        <w:rPr>
          <w:rFonts w:ascii="Times New Roman" w:hAnsi="Times New Roman"/>
          <w:color w:val="000000" w:themeColor="text1"/>
          <w:sz w:val="24"/>
          <w:szCs w:val="24"/>
        </w:rPr>
      </w:pPr>
    </w:p>
    <w:p w14:paraId="0E5D62CF" w14:textId="77777777" w:rsidR="00B53165" w:rsidRDefault="00B53165" w:rsidP="008D3040">
      <w:pPr>
        <w:spacing w:line="360" w:lineRule="auto"/>
        <w:rPr>
          <w:rFonts w:ascii="Times New Roman" w:hAnsi="Times New Roman"/>
          <w:b/>
          <w:color w:val="7030A0"/>
          <w:sz w:val="24"/>
          <w:szCs w:val="24"/>
        </w:rPr>
      </w:pPr>
      <w:r>
        <w:rPr>
          <w:rFonts w:ascii="Times New Roman" w:hAnsi="Times New Roman"/>
          <w:b/>
          <w:color w:val="7030A0"/>
          <w:sz w:val="24"/>
          <w:szCs w:val="24"/>
        </w:rPr>
        <w:br w:type="page"/>
      </w:r>
    </w:p>
    <w:p w14:paraId="1D852698" w14:textId="5CA70450" w:rsidR="004A5BC5" w:rsidRPr="008D3040" w:rsidRDefault="004A5BC5" w:rsidP="002E6582">
      <w:pPr>
        <w:spacing w:before="240" w:after="0" w:line="360" w:lineRule="auto"/>
        <w:rPr>
          <w:rFonts w:ascii="Times New Roman" w:hAnsi="Times New Roman"/>
          <w:color w:val="7030A0"/>
          <w:sz w:val="24"/>
          <w:szCs w:val="24"/>
        </w:rPr>
      </w:pPr>
      <w:r w:rsidRPr="008D3040">
        <w:rPr>
          <w:rFonts w:ascii="Times New Roman" w:hAnsi="Times New Roman"/>
          <w:b/>
          <w:color w:val="7030A0"/>
          <w:sz w:val="24"/>
          <w:szCs w:val="24"/>
        </w:rPr>
        <w:lastRenderedPageBreak/>
        <w:t>S</w:t>
      </w:r>
      <w:r w:rsidR="00B53165">
        <w:rPr>
          <w:rFonts w:ascii="Times New Roman" w:hAnsi="Times New Roman"/>
          <w:b/>
          <w:color w:val="7030A0"/>
          <w:sz w:val="24"/>
          <w:szCs w:val="24"/>
        </w:rPr>
        <w:t>3</w:t>
      </w:r>
      <w:r w:rsidRPr="008D3040">
        <w:rPr>
          <w:rFonts w:ascii="Times New Roman" w:hAnsi="Times New Roman"/>
          <w:b/>
          <w:color w:val="7030A0"/>
          <w:sz w:val="24"/>
          <w:szCs w:val="24"/>
        </w:rPr>
        <w:t xml:space="preserve">: </w:t>
      </w:r>
      <w:r w:rsidRPr="008D3040">
        <w:rPr>
          <w:rFonts w:ascii="Times New Roman" w:hAnsi="Times New Roman"/>
          <w:color w:val="7030A0"/>
          <w:sz w:val="24"/>
          <w:szCs w:val="24"/>
        </w:rPr>
        <w:t xml:space="preserve">Whole brain analysis </w:t>
      </w:r>
    </w:p>
    <w:p w14:paraId="68E77EFE" w14:textId="35AF18CA" w:rsidR="0005416C" w:rsidRPr="008D3040" w:rsidRDefault="004A5BC5" w:rsidP="002E6582">
      <w:pPr>
        <w:spacing w:after="0" w:line="360" w:lineRule="auto"/>
        <w:rPr>
          <w:rFonts w:ascii="Times New Roman" w:hAnsi="Times New Roman"/>
          <w:color w:val="7030A0"/>
          <w:sz w:val="24"/>
          <w:szCs w:val="24"/>
        </w:rPr>
      </w:pPr>
      <w:r w:rsidRPr="008D3040">
        <w:rPr>
          <w:rFonts w:ascii="Times New Roman" w:hAnsi="Times New Roman"/>
          <w:color w:val="7030A0"/>
          <w:sz w:val="24"/>
          <w:szCs w:val="24"/>
        </w:rPr>
        <w:tab/>
        <w:t xml:space="preserve">A 3 (MAE direction) X 3 (emotion) repeated-measures ANOVA was conducted on the whole-brain functional data collected from the main experimental task. All clusters presented in this analysis are significant at </w:t>
      </w:r>
      <w:r w:rsidRPr="008D3040">
        <w:rPr>
          <w:rFonts w:ascii="Times New Roman" w:hAnsi="Times New Roman"/>
          <w:i/>
          <w:color w:val="7030A0"/>
          <w:sz w:val="24"/>
          <w:szCs w:val="24"/>
        </w:rPr>
        <w:t>p &lt;</w:t>
      </w:r>
      <w:r w:rsidRPr="008D3040">
        <w:rPr>
          <w:rFonts w:ascii="Times New Roman" w:hAnsi="Times New Roman"/>
          <w:color w:val="7030A0"/>
          <w:sz w:val="24"/>
          <w:szCs w:val="24"/>
        </w:rPr>
        <w:t xml:space="preserve"> 0.00</w:t>
      </w:r>
      <w:r w:rsidR="00A47899" w:rsidRPr="008D3040">
        <w:rPr>
          <w:rFonts w:ascii="Times New Roman" w:hAnsi="Times New Roman"/>
          <w:color w:val="7030A0"/>
          <w:sz w:val="24"/>
          <w:szCs w:val="24"/>
        </w:rPr>
        <w:t>1</w:t>
      </w:r>
      <w:r w:rsidRPr="008D3040">
        <w:rPr>
          <w:rFonts w:ascii="Times New Roman" w:hAnsi="Times New Roman"/>
          <w:color w:val="7030A0"/>
          <w:sz w:val="24"/>
          <w:szCs w:val="24"/>
        </w:rPr>
        <w:t xml:space="preserve"> (corrected to </w:t>
      </w:r>
      <w:r w:rsidRPr="008D3040">
        <w:rPr>
          <w:rFonts w:ascii="Times New Roman" w:hAnsi="Times New Roman"/>
          <w:i/>
          <w:color w:val="7030A0"/>
          <w:sz w:val="24"/>
          <w:szCs w:val="24"/>
        </w:rPr>
        <w:t>p &lt;</w:t>
      </w:r>
      <w:r w:rsidRPr="008D3040">
        <w:rPr>
          <w:rFonts w:ascii="Times New Roman" w:hAnsi="Times New Roman"/>
          <w:color w:val="7030A0"/>
          <w:sz w:val="24"/>
          <w:szCs w:val="24"/>
        </w:rPr>
        <w:t xml:space="preserve"> 0.01</w:t>
      </w:r>
      <w:r w:rsidR="00A47899" w:rsidRPr="008D3040">
        <w:rPr>
          <w:rFonts w:ascii="Times New Roman" w:hAnsi="Times New Roman"/>
          <w:color w:val="7030A0"/>
          <w:sz w:val="24"/>
          <w:szCs w:val="24"/>
        </w:rPr>
        <w:t>; supplemental table ST2</w:t>
      </w:r>
      <w:r w:rsidRPr="008D3040">
        <w:rPr>
          <w:rFonts w:ascii="Times New Roman" w:hAnsi="Times New Roman"/>
          <w:color w:val="7030A0"/>
          <w:sz w:val="24"/>
          <w:szCs w:val="24"/>
        </w:rPr>
        <w:t>).</w:t>
      </w:r>
    </w:p>
    <w:p w14:paraId="05BC2C7D" w14:textId="1956D893" w:rsidR="0005416C" w:rsidRPr="008D3040" w:rsidRDefault="00A47899" w:rsidP="00DF1081">
      <w:pPr>
        <w:spacing w:after="0" w:line="360" w:lineRule="auto"/>
        <w:ind w:firstLine="720"/>
        <w:rPr>
          <w:rFonts w:ascii="Times New Roman" w:hAnsi="Times New Roman"/>
          <w:color w:val="7030A0"/>
          <w:sz w:val="24"/>
          <w:szCs w:val="24"/>
        </w:rPr>
      </w:pPr>
      <w:r w:rsidRPr="008D3040">
        <w:rPr>
          <w:rFonts w:ascii="Times New Roman" w:hAnsi="Times New Roman"/>
          <w:color w:val="7030A0"/>
          <w:sz w:val="24"/>
          <w:szCs w:val="24"/>
        </w:rPr>
        <w:t>Motion after-effect</w:t>
      </w:r>
      <w:r w:rsidR="0005416C" w:rsidRPr="008D3040">
        <w:rPr>
          <w:rFonts w:ascii="Times New Roman" w:hAnsi="Times New Roman"/>
          <w:color w:val="7030A0"/>
          <w:sz w:val="24"/>
          <w:szCs w:val="24"/>
        </w:rPr>
        <w:t xml:space="preserve"> (MAE)</w:t>
      </w:r>
      <w:r w:rsidRPr="008D3040">
        <w:rPr>
          <w:rFonts w:ascii="Times New Roman" w:hAnsi="Times New Roman"/>
          <w:color w:val="7030A0"/>
          <w:sz w:val="24"/>
          <w:szCs w:val="24"/>
        </w:rPr>
        <w:t xml:space="preserve"> </w:t>
      </w:r>
      <w:r w:rsidR="0005416C" w:rsidRPr="008D3040">
        <w:rPr>
          <w:rFonts w:ascii="Times New Roman" w:hAnsi="Times New Roman"/>
          <w:color w:val="7030A0"/>
          <w:sz w:val="24"/>
          <w:szCs w:val="24"/>
        </w:rPr>
        <w:t xml:space="preserve">direction </w:t>
      </w:r>
      <w:r w:rsidRPr="008D3040">
        <w:rPr>
          <w:rFonts w:ascii="Times New Roman" w:hAnsi="Times New Roman"/>
          <w:color w:val="7030A0"/>
          <w:sz w:val="24"/>
          <w:szCs w:val="24"/>
        </w:rPr>
        <w:t xml:space="preserve">was found to modulate activity in a single region in right V5/MT+. This was characterized by greater activity for both approaching and receding </w:t>
      </w:r>
      <w:r w:rsidR="0005416C" w:rsidRPr="008D3040">
        <w:rPr>
          <w:rFonts w:ascii="Times New Roman" w:hAnsi="Times New Roman"/>
          <w:color w:val="7030A0"/>
          <w:sz w:val="24"/>
          <w:szCs w:val="24"/>
        </w:rPr>
        <w:t>MAEs</w:t>
      </w:r>
      <w:r w:rsidRPr="008D3040">
        <w:rPr>
          <w:rFonts w:ascii="Times New Roman" w:hAnsi="Times New Roman"/>
          <w:color w:val="7030A0"/>
          <w:sz w:val="24"/>
          <w:szCs w:val="24"/>
        </w:rPr>
        <w:t xml:space="preserve"> compared to the static image condition (</w:t>
      </w:r>
      <w:r w:rsidRPr="008D3040">
        <w:rPr>
          <w:rFonts w:ascii="Times New Roman" w:hAnsi="Times New Roman"/>
          <w:i/>
          <w:color w:val="7030A0"/>
          <w:sz w:val="24"/>
          <w:szCs w:val="24"/>
        </w:rPr>
        <w:t xml:space="preserve">p </w:t>
      </w:r>
      <w:r w:rsidRPr="008D3040">
        <w:rPr>
          <w:rFonts w:ascii="Times New Roman" w:hAnsi="Times New Roman"/>
          <w:color w:val="7030A0"/>
          <w:sz w:val="24"/>
          <w:szCs w:val="24"/>
        </w:rPr>
        <w:t xml:space="preserve">&lt; 0.001 for both contrasts), and no differences in activation between </w:t>
      </w:r>
      <w:r w:rsidR="0005416C" w:rsidRPr="008D3040">
        <w:rPr>
          <w:rFonts w:ascii="Times New Roman" w:hAnsi="Times New Roman"/>
          <w:color w:val="7030A0"/>
          <w:sz w:val="24"/>
          <w:szCs w:val="24"/>
        </w:rPr>
        <w:t>MAEs</w:t>
      </w:r>
      <w:r w:rsidRPr="008D3040">
        <w:rPr>
          <w:rFonts w:ascii="Times New Roman" w:hAnsi="Times New Roman"/>
          <w:color w:val="7030A0"/>
          <w:sz w:val="24"/>
          <w:szCs w:val="24"/>
        </w:rPr>
        <w:t xml:space="preserve"> (</w:t>
      </w:r>
      <w:r w:rsidRPr="008D3040">
        <w:rPr>
          <w:rFonts w:ascii="Times New Roman" w:hAnsi="Times New Roman"/>
          <w:i/>
          <w:color w:val="7030A0"/>
          <w:sz w:val="24"/>
          <w:szCs w:val="24"/>
        </w:rPr>
        <w:t xml:space="preserve">p = </w:t>
      </w:r>
      <w:r w:rsidRPr="008D3040">
        <w:rPr>
          <w:rFonts w:ascii="Times New Roman" w:hAnsi="Times New Roman"/>
          <w:color w:val="7030A0"/>
          <w:sz w:val="24"/>
          <w:szCs w:val="24"/>
        </w:rPr>
        <w:t>0.17</w:t>
      </w:r>
      <w:r w:rsidR="0005416C" w:rsidRPr="008D3040">
        <w:rPr>
          <w:rFonts w:ascii="Times New Roman" w:hAnsi="Times New Roman"/>
          <w:color w:val="7030A0"/>
          <w:sz w:val="24"/>
          <w:szCs w:val="24"/>
        </w:rPr>
        <w:t xml:space="preserve">). </w:t>
      </w:r>
    </w:p>
    <w:p w14:paraId="0CD9D13F" w14:textId="642C3612" w:rsidR="00150445" w:rsidRPr="008D3040" w:rsidRDefault="0005416C" w:rsidP="008D3040">
      <w:pPr>
        <w:spacing w:after="0" w:line="360" w:lineRule="auto"/>
        <w:ind w:firstLine="720"/>
        <w:rPr>
          <w:rFonts w:ascii="Times New Roman" w:hAnsi="Times New Roman" w:cs="Times New Roman"/>
          <w:color w:val="7030A0"/>
          <w:sz w:val="24"/>
          <w:szCs w:val="24"/>
        </w:rPr>
      </w:pPr>
      <w:r w:rsidRPr="008D3040">
        <w:rPr>
          <w:rFonts w:ascii="Times New Roman" w:hAnsi="Times New Roman"/>
          <w:color w:val="7030A0"/>
          <w:sz w:val="24"/>
          <w:szCs w:val="24"/>
        </w:rPr>
        <w:t>W</w:t>
      </w:r>
      <w:r w:rsidR="004A5BC5" w:rsidRPr="008D3040">
        <w:rPr>
          <w:rFonts w:ascii="Times New Roman" w:hAnsi="Times New Roman"/>
          <w:color w:val="7030A0"/>
          <w:sz w:val="24"/>
          <w:szCs w:val="24"/>
        </w:rPr>
        <w:t>idespread areas were modulated by emotion</w:t>
      </w:r>
      <w:r w:rsidR="002D62EB" w:rsidRPr="008D3040">
        <w:rPr>
          <w:rFonts w:ascii="Times New Roman" w:hAnsi="Times New Roman"/>
          <w:color w:val="7030A0"/>
          <w:sz w:val="24"/>
          <w:szCs w:val="24"/>
        </w:rPr>
        <w:t xml:space="preserve"> (see supplemental table ST2)</w:t>
      </w:r>
      <w:r w:rsidR="004A5BC5" w:rsidRPr="008D3040">
        <w:rPr>
          <w:rFonts w:ascii="Times New Roman" w:hAnsi="Times New Roman"/>
          <w:color w:val="7030A0"/>
          <w:sz w:val="24"/>
          <w:szCs w:val="24"/>
        </w:rPr>
        <w:t>. Th</w:t>
      </w:r>
      <w:r w:rsidR="002D62EB" w:rsidRPr="008D3040">
        <w:rPr>
          <w:rFonts w:ascii="Times New Roman" w:hAnsi="Times New Roman"/>
          <w:color w:val="7030A0"/>
          <w:sz w:val="24"/>
          <w:szCs w:val="24"/>
        </w:rPr>
        <w:t>e largest of these clusters was identified within the cuneus and lingual gyrus</w:t>
      </w:r>
      <w:r w:rsidR="00D76928" w:rsidRPr="008D3040">
        <w:rPr>
          <w:rFonts w:ascii="Times New Roman" w:hAnsi="Times New Roman"/>
          <w:color w:val="7030A0"/>
          <w:sz w:val="24"/>
          <w:szCs w:val="24"/>
        </w:rPr>
        <w:t xml:space="preserve"> and </w:t>
      </w:r>
      <w:r w:rsidR="002D62EB" w:rsidRPr="008D3040">
        <w:rPr>
          <w:rFonts w:ascii="Times New Roman" w:hAnsi="Times New Roman"/>
          <w:color w:val="7030A0"/>
          <w:sz w:val="24"/>
          <w:szCs w:val="24"/>
        </w:rPr>
        <w:t>characterized by a greater response to negative images compared to positive or neutral images (</w:t>
      </w:r>
      <w:r w:rsidR="002D62EB" w:rsidRPr="008D3040">
        <w:rPr>
          <w:rFonts w:ascii="Times New Roman" w:hAnsi="Times New Roman"/>
          <w:i/>
          <w:color w:val="7030A0"/>
          <w:sz w:val="24"/>
          <w:szCs w:val="24"/>
        </w:rPr>
        <w:t>p</w:t>
      </w:r>
      <w:r w:rsidR="002D62EB" w:rsidRPr="008D3040">
        <w:rPr>
          <w:rFonts w:ascii="Times New Roman" w:hAnsi="Times New Roman"/>
          <w:color w:val="7030A0"/>
          <w:sz w:val="24"/>
          <w:szCs w:val="24"/>
        </w:rPr>
        <w:t xml:space="preserve"> = 0.003 and </w:t>
      </w:r>
      <w:r w:rsidR="002D62EB" w:rsidRPr="008D3040">
        <w:rPr>
          <w:rFonts w:ascii="Times New Roman" w:hAnsi="Times New Roman"/>
          <w:i/>
          <w:color w:val="7030A0"/>
          <w:sz w:val="24"/>
          <w:szCs w:val="24"/>
        </w:rPr>
        <w:t xml:space="preserve">p </w:t>
      </w:r>
      <w:r w:rsidR="002D62EB" w:rsidRPr="008D3040">
        <w:rPr>
          <w:rFonts w:ascii="Times New Roman" w:hAnsi="Times New Roman"/>
          <w:color w:val="7030A0"/>
          <w:sz w:val="24"/>
          <w:szCs w:val="24"/>
        </w:rPr>
        <w:t>&gt; 0.001 respectively) and greater response to positive compared to neutral images (</w:t>
      </w:r>
      <w:r w:rsidR="002D62EB" w:rsidRPr="008D3040">
        <w:rPr>
          <w:rFonts w:ascii="Times New Roman" w:hAnsi="Times New Roman"/>
          <w:i/>
          <w:color w:val="7030A0"/>
          <w:sz w:val="24"/>
          <w:szCs w:val="24"/>
        </w:rPr>
        <w:t xml:space="preserve">p &lt; </w:t>
      </w:r>
      <w:r w:rsidR="002D62EB" w:rsidRPr="008D3040">
        <w:rPr>
          <w:rFonts w:ascii="Times New Roman" w:hAnsi="Times New Roman"/>
          <w:color w:val="7030A0"/>
          <w:sz w:val="24"/>
          <w:szCs w:val="24"/>
        </w:rPr>
        <w:t xml:space="preserve">0.001). Three additional clusters </w:t>
      </w:r>
      <w:r w:rsidR="00E6479F">
        <w:rPr>
          <w:rFonts w:ascii="Times New Roman" w:hAnsi="Times New Roman"/>
          <w:color w:val="7030A0"/>
          <w:sz w:val="24"/>
          <w:szCs w:val="24"/>
        </w:rPr>
        <w:t xml:space="preserve">that </w:t>
      </w:r>
      <w:r w:rsidR="002D62EB" w:rsidRPr="008D3040">
        <w:rPr>
          <w:rFonts w:ascii="Times New Roman" w:hAnsi="Times New Roman"/>
          <w:color w:val="7030A0"/>
          <w:sz w:val="24"/>
          <w:szCs w:val="24"/>
        </w:rPr>
        <w:t>tran</w:t>
      </w:r>
      <w:r w:rsidR="00D76928" w:rsidRPr="008D3040">
        <w:rPr>
          <w:rFonts w:ascii="Times New Roman" w:hAnsi="Times New Roman"/>
          <w:color w:val="7030A0"/>
          <w:sz w:val="24"/>
          <w:szCs w:val="24"/>
        </w:rPr>
        <w:t>s</w:t>
      </w:r>
      <w:r w:rsidR="002D62EB" w:rsidRPr="008D3040">
        <w:rPr>
          <w:rFonts w:ascii="Times New Roman" w:hAnsi="Times New Roman"/>
          <w:color w:val="7030A0"/>
          <w:sz w:val="24"/>
          <w:szCs w:val="24"/>
        </w:rPr>
        <w:t>vers</w:t>
      </w:r>
      <w:r w:rsidR="00E6479F">
        <w:rPr>
          <w:rFonts w:ascii="Times New Roman" w:hAnsi="Times New Roman"/>
          <w:color w:val="7030A0"/>
          <w:sz w:val="24"/>
          <w:szCs w:val="24"/>
        </w:rPr>
        <w:t>e</w:t>
      </w:r>
      <w:r w:rsidR="002D62EB" w:rsidRPr="008D3040">
        <w:rPr>
          <w:rFonts w:ascii="Times New Roman" w:hAnsi="Times New Roman"/>
          <w:color w:val="7030A0"/>
          <w:sz w:val="24"/>
          <w:szCs w:val="24"/>
        </w:rPr>
        <w:t xml:space="preserve"> areas traditionally identified as contributing to ventral visual processing (i.e., middle temporal, middle occipital and fusiform gyri) were found to greater activity for either emotional image set (positive or negative) compared to neutral imagery (all </w:t>
      </w:r>
      <w:proofErr w:type="spellStart"/>
      <w:proofErr w:type="gramStart"/>
      <w:r w:rsidR="002D62EB" w:rsidRPr="008D3040">
        <w:rPr>
          <w:rFonts w:ascii="Times New Roman" w:hAnsi="Times New Roman"/>
          <w:i/>
          <w:color w:val="7030A0"/>
          <w:sz w:val="24"/>
          <w:szCs w:val="24"/>
        </w:rPr>
        <w:t>p</w:t>
      </w:r>
      <w:r w:rsidR="00D76928" w:rsidRPr="008D3040">
        <w:rPr>
          <w:rFonts w:ascii="Times New Roman" w:hAnsi="Times New Roman"/>
          <w:color w:val="7030A0"/>
          <w:sz w:val="24"/>
          <w:szCs w:val="24"/>
        </w:rPr>
        <w:t>s</w:t>
      </w:r>
      <w:proofErr w:type="spellEnd"/>
      <w:r w:rsidR="002D62EB" w:rsidRPr="008D3040">
        <w:rPr>
          <w:rFonts w:ascii="Times New Roman" w:hAnsi="Times New Roman"/>
          <w:i/>
          <w:color w:val="7030A0"/>
          <w:sz w:val="24"/>
          <w:szCs w:val="24"/>
        </w:rPr>
        <w:t xml:space="preserve"> </w:t>
      </w:r>
      <w:r w:rsidR="002D62EB" w:rsidRPr="008D3040">
        <w:rPr>
          <w:rFonts w:ascii="Times New Roman" w:hAnsi="Times New Roman"/>
          <w:color w:val="7030A0"/>
          <w:sz w:val="24"/>
          <w:szCs w:val="24"/>
        </w:rPr>
        <w:t xml:space="preserve"> &lt;</w:t>
      </w:r>
      <w:proofErr w:type="gramEnd"/>
      <w:r w:rsidR="002D62EB" w:rsidRPr="008D3040">
        <w:rPr>
          <w:rFonts w:ascii="Times New Roman" w:hAnsi="Times New Roman"/>
          <w:color w:val="7030A0"/>
          <w:sz w:val="24"/>
          <w:szCs w:val="24"/>
        </w:rPr>
        <w:t xml:space="preserve"> 0.001)</w:t>
      </w:r>
      <w:r w:rsidR="00D76928" w:rsidRPr="008D3040">
        <w:rPr>
          <w:rFonts w:ascii="Times New Roman" w:hAnsi="Times New Roman"/>
          <w:color w:val="7030A0"/>
          <w:sz w:val="24"/>
          <w:szCs w:val="24"/>
        </w:rPr>
        <w:t xml:space="preserve">, but no significant difference between emotional categories (all </w:t>
      </w:r>
      <w:proofErr w:type="spellStart"/>
      <w:r w:rsidR="00D76928" w:rsidRPr="008D3040">
        <w:rPr>
          <w:rFonts w:ascii="Times New Roman" w:hAnsi="Times New Roman"/>
          <w:i/>
          <w:color w:val="7030A0"/>
          <w:sz w:val="24"/>
          <w:szCs w:val="24"/>
        </w:rPr>
        <w:t>p</w:t>
      </w:r>
      <w:r w:rsidR="00D76928" w:rsidRPr="008D3040">
        <w:rPr>
          <w:rFonts w:ascii="Times New Roman" w:hAnsi="Times New Roman"/>
          <w:color w:val="7030A0"/>
          <w:sz w:val="24"/>
          <w:szCs w:val="24"/>
        </w:rPr>
        <w:t>s</w:t>
      </w:r>
      <w:proofErr w:type="spellEnd"/>
      <w:r w:rsidR="00D76928" w:rsidRPr="008D3040">
        <w:rPr>
          <w:rFonts w:ascii="Times New Roman" w:hAnsi="Times New Roman"/>
          <w:color w:val="7030A0"/>
          <w:sz w:val="24"/>
          <w:szCs w:val="24"/>
        </w:rPr>
        <w:t xml:space="preserve"> &gt; 0.40). A final emotion sensitive region identified within the posterior cingulate cortex was found to have greater activation for negative images compared to positive or neutral images (both </w:t>
      </w:r>
      <w:proofErr w:type="spellStart"/>
      <w:r w:rsidR="00D76928" w:rsidRPr="008D3040">
        <w:rPr>
          <w:rFonts w:ascii="Times New Roman" w:hAnsi="Times New Roman"/>
          <w:i/>
          <w:color w:val="7030A0"/>
          <w:sz w:val="24"/>
          <w:szCs w:val="24"/>
        </w:rPr>
        <w:t>p</w:t>
      </w:r>
      <w:r w:rsidR="00D76928" w:rsidRPr="008D3040">
        <w:rPr>
          <w:rFonts w:ascii="Times New Roman" w:hAnsi="Times New Roman"/>
          <w:color w:val="7030A0"/>
          <w:sz w:val="24"/>
          <w:szCs w:val="24"/>
        </w:rPr>
        <w:t>s</w:t>
      </w:r>
      <w:proofErr w:type="spellEnd"/>
      <w:r w:rsidR="00D76928" w:rsidRPr="008D3040">
        <w:rPr>
          <w:rFonts w:ascii="Times New Roman" w:hAnsi="Times New Roman"/>
          <w:i/>
          <w:color w:val="7030A0"/>
          <w:sz w:val="24"/>
          <w:szCs w:val="24"/>
        </w:rPr>
        <w:t xml:space="preserve"> </w:t>
      </w:r>
      <w:r w:rsidR="00D76928" w:rsidRPr="008D3040">
        <w:rPr>
          <w:rFonts w:ascii="Times New Roman" w:hAnsi="Times New Roman"/>
          <w:color w:val="7030A0"/>
          <w:sz w:val="24"/>
          <w:szCs w:val="24"/>
        </w:rPr>
        <w:t>&gt; 0.001 respectively) with no difference in response between positive and neutral images (</w:t>
      </w:r>
      <w:r w:rsidR="00D76928" w:rsidRPr="008D3040">
        <w:rPr>
          <w:rFonts w:ascii="Times New Roman" w:hAnsi="Times New Roman"/>
          <w:i/>
          <w:color w:val="7030A0"/>
          <w:sz w:val="24"/>
          <w:szCs w:val="24"/>
        </w:rPr>
        <w:t xml:space="preserve">p </w:t>
      </w:r>
      <w:r w:rsidR="00D76928" w:rsidRPr="008D3040">
        <w:rPr>
          <w:rFonts w:ascii="Times New Roman" w:hAnsi="Times New Roman"/>
          <w:color w:val="7030A0"/>
          <w:sz w:val="24"/>
          <w:szCs w:val="24"/>
        </w:rPr>
        <w:t>=</w:t>
      </w:r>
      <w:r w:rsidR="00D76928" w:rsidRPr="008D3040">
        <w:rPr>
          <w:rFonts w:ascii="Times New Roman" w:hAnsi="Times New Roman"/>
          <w:i/>
          <w:color w:val="7030A0"/>
          <w:sz w:val="24"/>
          <w:szCs w:val="24"/>
        </w:rPr>
        <w:t xml:space="preserve"> </w:t>
      </w:r>
      <w:r w:rsidR="00D76928" w:rsidRPr="008D3040">
        <w:rPr>
          <w:rFonts w:ascii="Times New Roman" w:hAnsi="Times New Roman"/>
          <w:color w:val="7030A0"/>
          <w:sz w:val="24"/>
          <w:szCs w:val="24"/>
        </w:rPr>
        <w:t xml:space="preserve">0.90). </w:t>
      </w:r>
      <w:r w:rsidRPr="008D3040">
        <w:rPr>
          <w:rFonts w:ascii="Times New Roman" w:hAnsi="Times New Roman"/>
          <w:color w:val="7030A0"/>
          <w:sz w:val="24"/>
          <w:szCs w:val="24"/>
        </w:rPr>
        <w:t>No</w:t>
      </w:r>
      <w:r w:rsidR="004A5BC5" w:rsidRPr="008D3040">
        <w:rPr>
          <w:rFonts w:ascii="Times New Roman" w:hAnsi="Times New Roman"/>
          <w:color w:val="7030A0"/>
          <w:sz w:val="24"/>
          <w:szCs w:val="24"/>
        </w:rPr>
        <w:t xml:space="preserve"> MAE direction by emotion interaction w</w:t>
      </w:r>
      <w:r w:rsidRPr="008D3040">
        <w:rPr>
          <w:rFonts w:ascii="Times New Roman" w:hAnsi="Times New Roman"/>
          <w:color w:val="7030A0"/>
          <w:sz w:val="24"/>
          <w:szCs w:val="24"/>
        </w:rPr>
        <w:t>as identified in the data</w:t>
      </w:r>
    </w:p>
    <w:sectPr w:rsidR="00150445" w:rsidRPr="008D3040" w:rsidSect="000C5D6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A4887"/>
    <w:multiLevelType w:val="multilevel"/>
    <w:tmpl w:val="2BC0B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36B22AA"/>
    <w:multiLevelType w:val="multilevel"/>
    <w:tmpl w:val="BB02D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B3DD7"/>
    <w:rsid w:val="0005416C"/>
    <w:rsid w:val="00054E60"/>
    <w:rsid w:val="0005721F"/>
    <w:rsid w:val="000B4BC5"/>
    <w:rsid w:val="000C5D64"/>
    <w:rsid w:val="001454BE"/>
    <w:rsid w:val="00150445"/>
    <w:rsid w:val="00160774"/>
    <w:rsid w:val="00165484"/>
    <w:rsid w:val="00185C5B"/>
    <w:rsid w:val="001E4A29"/>
    <w:rsid w:val="0021748A"/>
    <w:rsid w:val="00266E40"/>
    <w:rsid w:val="002714F8"/>
    <w:rsid w:val="00283DD1"/>
    <w:rsid w:val="00297E84"/>
    <w:rsid w:val="002D62EB"/>
    <w:rsid w:val="002E6582"/>
    <w:rsid w:val="00303A13"/>
    <w:rsid w:val="00340DC0"/>
    <w:rsid w:val="003F3017"/>
    <w:rsid w:val="0042579B"/>
    <w:rsid w:val="004879C0"/>
    <w:rsid w:val="004A41DC"/>
    <w:rsid w:val="004A5BC5"/>
    <w:rsid w:val="005870B4"/>
    <w:rsid w:val="005C75F5"/>
    <w:rsid w:val="005F3ACB"/>
    <w:rsid w:val="00602879"/>
    <w:rsid w:val="006252B9"/>
    <w:rsid w:val="006B349C"/>
    <w:rsid w:val="006C05F3"/>
    <w:rsid w:val="00866042"/>
    <w:rsid w:val="008D3040"/>
    <w:rsid w:val="0099078F"/>
    <w:rsid w:val="009B3DD7"/>
    <w:rsid w:val="009B6E1C"/>
    <w:rsid w:val="009C474D"/>
    <w:rsid w:val="009E505E"/>
    <w:rsid w:val="00A01832"/>
    <w:rsid w:val="00A47899"/>
    <w:rsid w:val="00A51388"/>
    <w:rsid w:val="00A70906"/>
    <w:rsid w:val="00A92BE2"/>
    <w:rsid w:val="00B4697A"/>
    <w:rsid w:val="00B53165"/>
    <w:rsid w:val="00BC6EDC"/>
    <w:rsid w:val="00C76915"/>
    <w:rsid w:val="00C855DF"/>
    <w:rsid w:val="00CF295D"/>
    <w:rsid w:val="00D33D60"/>
    <w:rsid w:val="00D50830"/>
    <w:rsid w:val="00D76928"/>
    <w:rsid w:val="00D948B9"/>
    <w:rsid w:val="00D96FD2"/>
    <w:rsid w:val="00DA41AA"/>
    <w:rsid w:val="00DB5916"/>
    <w:rsid w:val="00DB7A83"/>
    <w:rsid w:val="00DC494E"/>
    <w:rsid w:val="00DF1081"/>
    <w:rsid w:val="00DF5AE4"/>
    <w:rsid w:val="00E137F7"/>
    <w:rsid w:val="00E6479F"/>
    <w:rsid w:val="00E750C3"/>
    <w:rsid w:val="00E93966"/>
    <w:rsid w:val="00E95F24"/>
    <w:rsid w:val="00EC263D"/>
    <w:rsid w:val="00F17F80"/>
    <w:rsid w:val="00F408CC"/>
    <w:rsid w:val="00F45E53"/>
    <w:rsid w:val="00F819A7"/>
    <w:rsid w:val="00FA0375"/>
    <w:rsid w:val="00FE6F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E763"/>
  <w15:docId w15:val="{1A1F0116-AAE5-4C82-AC8F-5D0DA2089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D64"/>
  </w:style>
  <w:style w:type="paragraph" w:styleId="Heading2">
    <w:name w:val="heading 2"/>
    <w:basedOn w:val="Normal"/>
    <w:next w:val="Normal"/>
    <w:link w:val="Heading2Char"/>
    <w:uiPriority w:val="99"/>
    <w:qFormat/>
    <w:rsid w:val="002E6582"/>
    <w:pPr>
      <w:keepNext/>
      <w:keepLines/>
      <w:spacing w:before="200" w:after="0" w:line="276" w:lineRule="auto"/>
      <w:outlineLvl w:val="1"/>
    </w:pPr>
    <w:rPr>
      <w:rFonts w:ascii="Calibri Light" w:eastAsia="Times New Roman" w:hAnsi="Calibri Light" w:cs="Times New Roman"/>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3DD7"/>
    <w:pPr>
      <w:ind w:left="720"/>
      <w:contextualSpacing/>
    </w:pPr>
  </w:style>
  <w:style w:type="character" w:styleId="CommentReference">
    <w:name w:val="annotation reference"/>
    <w:basedOn w:val="DefaultParagraphFont"/>
    <w:uiPriority w:val="99"/>
    <w:semiHidden/>
    <w:unhideWhenUsed/>
    <w:rsid w:val="009B3DD7"/>
    <w:rPr>
      <w:sz w:val="16"/>
      <w:szCs w:val="16"/>
    </w:rPr>
  </w:style>
  <w:style w:type="paragraph" w:styleId="CommentText">
    <w:name w:val="annotation text"/>
    <w:basedOn w:val="Normal"/>
    <w:link w:val="CommentTextChar"/>
    <w:uiPriority w:val="99"/>
    <w:unhideWhenUsed/>
    <w:rsid w:val="009B3DD7"/>
    <w:pPr>
      <w:spacing w:line="240" w:lineRule="auto"/>
    </w:pPr>
    <w:rPr>
      <w:sz w:val="20"/>
      <w:szCs w:val="20"/>
    </w:rPr>
  </w:style>
  <w:style w:type="character" w:customStyle="1" w:styleId="CommentTextChar">
    <w:name w:val="Comment Text Char"/>
    <w:basedOn w:val="DefaultParagraphFont"/>
    <w:link w:val="CommentText"/>
    <w:uiPriority w:val="99"/>
    <w:rsid w:val="009B3DD7"/>
    <w:rPr>
      <w:sz w:val="20"/>
      <w:szCs w:val="20"/>
    </w:rPr>
  </w:style>
  <w:style w:type="paragraph" w:styleId="BalloonText">
    <w:name w:val="Balloon Text"/>
    <w:basedOn w:val="Normal"/>
    <w:link w:val="BalloonTextChar"/>
    <w:uiPriority w:val="99"/>
    <w:semiHidden/>
    <w:unhideWhenUsed/>
    <w:rsid w:val="009B3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DD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2579B"/>
    <w:rPr>
      <w:b/>
      <w:bCs/>
    </w:rPr>
  </w:style>
  <w:style w:type="character" w:customStyle="1" w:styleId="CommentSubjectChar">
    <w:name w:val="Comment Subject Char"/>
    <w:basedOn w:val="CommentTextChar"/>
    <w:link w:val="CommentSubject"/>
    <w:uiPriority w:val="99"/>
    <w:semiHidden/>
    <w:rsid w:val="0042579B"/>
    <w:rPr>
      <w:b/>
      <w:bCs/>
      <w:sz w:val="20"/>
      <w:szCs w:val="20"/>
    </w:rPr>
  </w:style>
  <w:style w:type="character" w:customStyle="1" w:styleId="Heading2Char">
    <w:name w:val="Heading 2 Char"/>
    <w:basedOn w:val="DefaultParagraphFont"/>
    <w:link w:val="Heading2"/>
    <w:uiPriority w:val="99"/>
    <w:rsid w:val="002E6582"/>
    <w:rPr>
      <w:rFonts w:ascii="Calibri Light" w:eastAsia="Times New Roman" w:hAnsi="Calibri Light" w:cs="Times New Roman"/>
      <w:b/>
      <w:bCs/>
      <w:color w:val="5B9BD5"/>
      <w:sz w:val="26"/>
      <w:szCs w:val="26"/>
    </w:rPr>
  </w:style>
  <w:style w:type="character" w:customStyle="1" w:styleId="ListParagraphChar">
    <w:name w:val="List Paragraph Char"/>
    <w:basedOn w:val="DefaultParagraphFont"/>
    <w:link w:val="ListParagraph"/>
    <w:uiPriority w:val="34"/>
    <w:locked/>
    <w:rsid w:val="002E6582"/>
  </w:style>
  <w:style w:type="character" w:styleId="Hyperlink">
    <w:name w:val="Hyperlink"/>
    <w:basedOn w:val="DefaultParagraphFont"/>
    <w:uiPriority w:val="99"/>
    <w:rsid w:val="002E6582"/>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38/s41562-021-0117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2807</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Kryklywy</dc:creator>
  <cp:keywords/>
  <dc:description/>
  <cp:lastModifiedBy>James Kryklywy</cp:lastModifiedBy>
  <cp:revision>32</cp:revision>
  <cp:lastPrinted>2021-10-26T20:48:00Z</cp:lastPrinted>
  <dcterms:created xsi:type="dcterms:W3CDTF">2019-08-11T15:26:00Z</dcterms:created>
  <dcterms:modified xsi:type="dcterms:W3CDTF">2023-03-24T22:38:00Z</dcterms:modified>
</cp:coreProperties>
</file>