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SUPPLEMENTAL MATERIAL</w:t>
      </w:r>
    </w:p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4"/>
          <w:szCs w:val="24"/>
        </w:rPr>
        <w:drawing>
          <wp:inline distT="114300" distB="114300" distL="114300" distR="114300">
            <wp:extent cx="5731200" cy="274320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4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Supp. fig.1. </w:t>
      </w:r>
      <w:r>
        <w:rPr>
          <w:rFonts w:ascii="Calibri" w:eastAsia="Calibri" w:hAnsi="Calibri" w:cs="Calibri"/>
          <w:sz w:val="24"/>
          <w:szCs w:val="24"/>
        </w:rPr>
        <w:t>Schematic of the experimental parameters being tested, and time sequence.</w:t>
      </w:r>
    </w:p>
    <w:p w:rsidR="001C1B55" w:rsidRDefault="001C1B55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noProof/>
          <w:sz w:val="24"/>
          <w:szCs w:val="24"/>
          <w:highlight w:val="white"/>
        </w:rPr>
        <w:drawing>
          <wp:inline distT="114300" distB="114300" distL="114300" distR="114300">
            <wp:extent cx="5731200" cy="32639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6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Supp. fig. 2. </w:t>
      </w:r>
      <w:r>
        <w:rPr>
          <w:rFonts w:ascii="Calibri" w:eastAsia="Calibri" w:hAnsi="Calibri" w:cs="Calibri"/>
          <w:sz w:val="24"/>
          <w:szCs w:val="24"/>
        </w:rPr>
        <w:t>Upper part: Effect of access time to the reinforcer on lever presses (A) and 10% sucrose intake (B). Lower part: Effect of sucrose concentration under free concurrent presentation on sucrose intake (C), or under FR1 responding: lever presses (D), and sucrose intake (E). Bars represent the mean ± SEM number of lever presses or ml consumed during 30 minutes. *p&lt;0.05, **p&lt;0.01 significant differences between groups.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1C1B55" w:rsidRDefault="001C1B55">
      <w:pPr>
        <w:widowControl w:val="0"/>
        <w:spacing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4"/>
          <w:szCs w:val="24"/>
        </w:rPr>
        <w:lastRenderedPageBreak/>
        <w:drawing>
          <wp:inline distT="114300" distB="114300" distL="114300" distR="114300">
            <wp:extent cx="5731200" cy="4076700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7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1B55" w:rsidRDefault="001C1B55">
      <w:pPr>
        <w:widowControl w:val="0"/>
        <w:spacing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Supp. fig. 3. </w:t>
      </w:r>
      <w:r>
        <w:rPr>
          <w:rFonts w:ascii="Calibri" w:eastAsia="Calibri" w:hAnsi="Calibri" w:cs="Calibri"/>
          <w:sz w:val="24"/>
          <w:szCs w:val="24"/>
        </w:rPr>
        <w:t>Upper part: Effect of introducing free choice conditions on FR8 lever presses (A), operant-dependent 10% sucrose intake (B) and free sucrose intake (C). Lower part: Effect of concurrent free access presentation in the operant box of two concentrations of sucrose (10 and 3%) on volume consumed in a session of 15 minutes. Bars represent the mean ± SEM of lever presses or ml consumed. *p&lt;0.05, **p&lt;0.01, significant differences between experimental conditions.</w:t>
      </w: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>
            <wp:extent cx="5731200" cy="3556000"/>
            <wp:effectExtent l="0" t="0" r="0" b="0"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5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1B55" w:rsidRDefault="001C1B55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Supp. fig. 4. </w:t>
      </w:r>
      <w:r>
        <w:rPr>
          <w:rFonts w:ascii="Calibri" w:eastAsia="Calibri" w:hAnsi="Calibri" w:cs="Calibri"/>
          <w:sz w:val="24"/>
          <w:szCs w:val="24"/>
        </w:rPr>
        <w:t xml:space="preserve">Average performance during 5 weeks of FR8 followed by 5 weeks of PROG schedules. Bars represent the mean ± SEM total lever presses (A, C), ml of 10% sucrose consumed (B, D), and ml of 3% sucrose consumed (E) in 15 minutes sessions. </w:t>
      </w:r>
      <w:r>
        <w:rPr>
          <w:rFonts w:ascii="Calibri" w:eastAsia="Calibri" w:hAnsi="Calibri" w:cs="Calibri"/>
          <w:sz w:val="24"/>
          <w:szCs w:val="24"/>
          <w:highlight w:val="white"/>
        </w:rPr>
        <w:t>**p&lt;0.01, significant differences between operant schedules.</w:t>
      </w:r>
    </w:p>
    <w:p w:rsidR="001C1B55" w:rsidRDefault="001C1B55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:rsidR="001C1B55" w:rsidRDefault="001C1B55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>
            <wp:extent cx="5731200" cy="25019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01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Supp. fig. 5. </w:t>
      </w:r>
      <w:r>
        <w:rPr>
          <w:rFonts w:ascii="Calibri" w:eastAsia="Calibri" w:hAnsi="Calibri" w:cs="Calibri"/>
          <w:sz w:val="24"/>
          <w:szCs w:val="24"/>
        </w:rPr>
        <w:t xml:space="preserve">Correlation between the average of the lever presses for every mice during the last week of each schedule. Individual data for the no-choice group (A), and the choice group (B). in 15 minute sessions. </w:t>
      </w:r>
    </w:p>
    <w:p w:rsidR="001C1B55" w:rsidRDefault="001C1B55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C1B55" w:rsidRDefault="001C1B55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noProof/>
          <w:sz w:val="24"/>
          <w:szCs w:val="24"/>
          <w:highlight w:val="white"/>
        </w:rPr>
        <w:lastRenderedPageBreak/>
        <w:drawing>
          <wp:inline distT="114300" distB="114300" distL="114300" distR="114300">
            <wp:extent cx="5731200" cy="37846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78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Supp. fig. 6. </w:t>
      </w:r>
      <w:r>
        <w:rPr>
          <w:rFonts w:ascii="Calibri" w:eastAsia="Calibri" w:hAnsi="Calibri" w:cs="Calibri"/>
          <w:sz w:val="24"/>
          <w:szCs w:val="24"/>
        </w:rPr>
        <w:t xml:space="preserve">Effect of choice conditions during operant sessions with different work requirements (FR8 and PROG schedules), according to type of performer (N=22). Data represent the mean ± SEM number of lever presses (A), 10% sucrose ml consumed (B), highest ratio achieved during the PROG weeks (C), and free 3% sucrose ml consumed for the choice groups (D) in 15 minutes sessions. </w:t>
      </w:r>
    </w:p>
    <w:p w:rsidR="001C1B55" w:rsidRDefault="001C1B55">
      <w:pPr>
        <w:widowControl w:val="0"/>
        <w:spacing w:line="25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For these results, a three-way repeated measures ANOVA was conducted to evaluate the effects of Week (within-subject factor), Choice condition ("Choice" vs "No Choice"), and Type of Performer ("High Performer" vs "Low Performer") on Lever Presses, 10% sucrose intake, and highest ratio achieved. </w:t>
      </w:r>
    </w:p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For Lever Presses, there was a significant main effect of Week (F(9, 162)=6.650, p&lt;0.001, η²p=0.270), a significant main effect of Choice condition (F(1, 18) = 17.801, p&lt;0.001, η²p =0.497) and of Type of Performer (F(1, 18)=5.351, p=0.033, η²p =0.229). There was also a significant interaction between Week and Choice condition (F(9, 162)=6.317, p&lt;0.001, η²p=0.260), while the interactions between Week and Type of Performer (F(9, 162)=0.548, p=0.837, η²p=0.030), between Choice condition and Type of performer was not significant (F(1, 18)=1.784, p=0.198, η²p=0.090), and the three-way interaction (F(9, 162)=0.698, p=0.710, η²p=0.037) were not significant. </w:t>
      </w:r>
    </w:p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For 10% sucrose intake, there was a significant main effect of Choice condition (F(1, 18)=24.250, p&lt;0.001, η²p=0.574) and Type of Performer (F(1, 18)=13.657, p=0.002, η²p=0.431), but no main effect of Week (F(9, 162)=1.773, p=0.077, η²p=0.090). There was a significant interaction between Week and Type of Performer (F(9, 162)=7.215, p&lt;0.001, η²p=0.286), as well as a significant interaction between Choice condition and Type of Performer (F(1, 18)=6.582, p=0.019, η²p=0.268), while the interaction between Week and </w:t>
      </w:r>
      <w:r>
        <w:rPr>
          <w:rFonts w:ascii="Calibri" w:eastAsia="Calibri" w:hAnsi="Calibri" w:cs="Calibri"/>
          <w:sz w:val="24"/>
          <w:szCs w:val="24"/>
          <w:highlight w:val="white"/>
        </w:rPr>
        <w:lastRenderedPageBreak/>
        <w:t xml:space="preserve">Choice condition (F(9, 162)=1.387, p=0.198, η²p=0.072), and the three-way interaction (F(9, 162)=1.225, p=0.283, η²p=0.064) were not significant. </w:t>
      </w:r>
    </w:p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For the highest ratio achieved, there was a significant main effect of Choice condition (F(1, 18)=12.663, p=0.002, η²p=0.413), but the main effect of Type of Performer (F(1, 18)=0.984, p=0.334, η²p=0.052) and Week factor (F(4, 72)=2.211, p=0.076, η²p=0.109) were not significant. The two way-interaction between Choice condition and Type of Performer (F(1, 18)=0.842, p=0.371, η²p=0.045), Week and Choice condition (F(4, 72)=1.209, p=0.315, η²p=0.063), or Week and Type of Performer (F(4, 72)=0.032, p=0.998, η²p=0.002), as well as the three-way interaction (F(4, 72)=0.071, p=0.991, η²p=0.004) were not significant. </w:t>
      </w:r>
    </w:p>
    <w:p w:rsidR="001C1B55" w:rsidRDefault="00000000">
      <w:pPr>
        <w:spacing w:after="240" w:line="240" w:lineRule="auto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Finally, a two-way repeated measures ANOVA was conducted for 3% sucrose intake, showing no significant main effect of Week (F(9, 81)=0.870, p=0.556, η²p=0.088), Type of Performer (F(1, 9)=0.524, p=0.487, η²p=0.055), and no interaction between Week and Type of Performer (F(9, 81)=1.000, p=0.447, η²p=0.100).</w:t>
      </w:r>
    </w:p>
    <w:p w:rsidR="001C1B55" w:rsidRDefault="001C1B55">
      <w:pPr>
        <w:rPr>
          <w:rFonts w:ascii="Calibri" w:eastAsia="Calibri" w:hAnsi="Calibri" w:cs="Calibri"/>
          <w:sz w:val="24"/>
          <w:szCs w:val="24"/>
        </w:rPr>
      </w:pPr>
    </w:p>
    <w:p w:rsidR="001C1B55" w:rsidRDefault="00000000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>
            <wp:extent cx="3986213" cy="4151753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6213" cy="41517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1B55" w:rsidRDefault="001C1B55">
      <w:pPr>
        <w:rPr>
          <w:rFonts w:ascii="Calibri" w:eastAsia="Calibri" w:hAnsi="Calibri" w:cs="Calibri"/>
          <w:sz w:val="24"/>
          <w:szCs w:val="24"/>
        </w:rPr>
      </w:pPr>
    </w:p>
    <w:p w:rsidR="001C1B55" w:rsidRDefault="00000000">
      <w:pPr>
        <w:widowControl w:val="0"/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Supp. fig. 7.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Total volume consumed during the operant session comparing both choice groups. </w:t>
      </w:r>
      <w:r>
        <w:rPr>
          <w:rFonts w:ascii="Calibri" w:eastAsia="Calibri" w:hAnsi="Calibri" w:cs="Calibri"/>
          <w:sz w:val="24"/>
          <w:szCs w:val="24"/>
        </w:rPr>
        <w:t>##p&lt;0.01 denotes significance for the main factor water restriction. *p&lt;0.05 denotes significance for the main factor operant schedule in a three way ANOVA: type of  restriction  x operant schedule x choice condition.</w:t>
      </w:r>
    </w:p>
    <w:sectPr w:rsidR="001C1B5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B55"/>
    <w:rsid w:val="001C1B55"/>
    <w:rsid w:val="0054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F8F7572-B239-6B4F-8A7E-A272740B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739</Words>
  <Characters>4068</Characters>
  <Application>Microsoft Office Word</Application>
  <DocSecurity>0</DocSecurity>
  <Lines>33</Lines>
  <Paragraphs>9</Paragraphs>
  <ScaleCrop>false</ScaleCrop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María de las Mercedes Correa Sanz</cp:lastModifiedBy>
  <cp:revision>2</cp:revision>
  <dcterms:created xsi:type="dcterms:W3CDTF">2025-08-27T19:26:00Z</dcterms:created>
  <dcterms:modified xsi:type="dcterms:W3CDTF">2025-08-27T19:26:00Z</dcterms:modified>
</cp:coreProperties>
</file>