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0AE4" w14:textId="77777777" w:rsidR="00016BCF" w:rsidRDefault="00EF28E4">
      <w:pPr>
        <w:jc w:val="center"/>
      </w:pPr>
      <w:r>
        <w:t>Appendix</w:t>
      </w:r>
    </w:p>
    <w:p w14:paraId="40D9A4A5" w14:textId="77777777" w:rsidR="00016BCF" w:rsidRDefault="00016BCF"/>
    <w:sdt>
      <w:sdtPr>
        <w:rPr>
          <w:rFonts w:asciiTheme="minorHAnsi" w:eastAsia="Times New Roman" w:hAnsiTheme="minorHAnsi" w:cstheme="minorHAnsi"/>
          <w:color w:val="auto"/>
          <w:sz w:val="20"/>
          <w:szCs w:val="20"/>
          <w:lang w:eastAsia="zh-CN"/>
        </w:rPr>
        <w:id w:val="1033329129"/>
        <w:docPartObj>
          <w:docPartGallery w:val="Table of Contents"/>
          <w:docPartUnique/>
        </w:docPartObj>
      </w:sdtPr>
      <w:sdtEndPr/>
      <w:sdtContent>
        <w:p w14:paraId="788E2348" w14:textId="77777777" w:rsidR="00016BCF" w:rsidRDefault="00016BCF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</w:p>
        <w:p w14:paraId="7FEC7D16" w14:textId="69690AA7" w:rsidR="00016BCF" w:rsidRDefault="00EF28E4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sz w:val="24"/>
              <w:szCs w:val="24"/>
              <w:lang w:val="en-GB"/>
            </w:rPr>
          </w:pPr>
          <w:r>
            <w:fldChar w:fldCharType="begin"/>
          </w:r>
          <w:r>
            <w:rPr>
              <w:rStyle w:val="IndexLink"/>
              <w:rFonts w:ascii="Times New Roman" w:hAnsi="Times New Roman" w:cs="Times New Roman"/>
              <w:webHidden/>
              <w:sz w:val="24"/>
              <w:szCs w:val="24"/>
            </w:rPr>
            <w:instrText>TOC \z \o "1-3" \u \h</w:instrText>
          </w:r>
          <w:r>
            <w:rPr>
              <w:rStyle w:val="IndexLink"/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3337862">
            <w:r>
              <w:rPr>
                <w:rStyle w:val="IndexLink"/>
                <w:rFonts w:ascii="Times New Roman" w:hAnsi="Times New Roman" w:cs="Times New Roman"/>
                <w:webHidden/>
                <w:sz w:val="24"/>
                <w:szCs w:val="24"/>
              </w:rPr>
              <w:t>Section 1. Test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>ing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 xml:space="preserve"> the assumption that obsolete meanings are not easily accessible to people living today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_Toc93337862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14:paraId="2E879F9E" w14:textId="77777777" w:rsidR="00016BCF" w:rsidRDefault="00EF28E4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sz w:val="24"/>
              <w:szCs w:val="24"/>
              <w:lang w:val="en-GB"/>
            </w:rPr>
          </w:pPr>
          <w:hyperlink w:anchor="_Toc93337863">
            <w:r>
              <w:rPr>
                <w:rStyle w:val="IndexLink"/>
                <w:rFonts w:ascii="Times New Roman" w:hAnsi="Times New Roman" w:cs="Times New Roman"/>
                <w:webHidden/>
                <w:sz w:val="24"/>
                <w:szCs w:val="24"/>
              </w:rPr>
              <w:t>Section 2. Justification of our choices o</w:t>
            </w:r>
            <w:r>
              <w:rPr>
                <w:rStyle w:val="IndexLink"/>
                <w:rFonts w:ascii="Times New Roman" w:hAnsi="Times New Roman" w:cs="Times New Roman"/>
                <w:webHidden/>
                <w:sz w:val="24"/>
                <w:szCs w:val="24"/>
              </w:rPr>
              <w:t>n embedding algorithms and corpora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_Toc93337863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24033629" w14:textId="7DCA8DAB" w:rsidR="00016BCF" w:rsidRDefault="00EF28E4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sz w:val="24"/>
              <w:szCs w:val="24"/>
              <w:lang w:val="en-GB"/>
            </w:rPr>
          </w:pPr>
          <w:hyperlink w:anchor="_Toc93337864">
            <w:r>
              <w:rPr>
                <w:rStyle w:val="IndexLink"/>
                <w:rFonts w:ascii="Times New Roman" w:hAnsi="Times New Roman" w:cs="Times New Roman"/>
                <w:webHidden/>
                <w:sz w:val="24"/>
                <w:szCs w:val="24"/>
              </w:rPr>
              <w:t xml:space="preserve">Section 3. Supplementary materials to 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>tudy 1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_Toc93337864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14:paraId="2A417A7E" w14:textId="5EA9D3A1" w:rsidR="00016BCF" w:rsidRDefault="00EF28E4">
          <w:pPr>
            <w:pStyle w:val="TOC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b w:val="0"/>
              <w:bCs w:val="0"/>
              <w:sz w:val="24"/>
              <w:szCs w:val="24"/>
              <w:lang w:val="en-GB"/>
            </w:rPr>
          </w:pPr>
          <w:hyperlink w:anchor="_Toc93337865">
            <w:r>
              <w:rPr>
                <w:rStyle w:val="IndexLink"/>
                <w:rFonts w:ascii="Times New Roman" w:hAnsi="Times New Roman" w:cs="Times New Roman"/>
                <w:webHidden/>
                <w:sz w:val="24"/>
                <w:szCs w:val="24"/>
              </w:rPr>
              <w:t xml:space="preserve">Section 4. Supplementary materials to 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>tudy 2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_Toc93337865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IndexLink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2D050512" w14:textId="77777777" w:rsidR="00016BCF" w:rsidRDefault="00016BCF"/>
    <w:p w14:paraId="34A06073" w14:textId="77777777" w:rsidR="00016BCF" w:rsidRDefault="00EF28E4">
      <w:r>
        <w:br w:type="page"/>
      </w:r>
    </w:p>
    <w:p w14:paraId="07A0FE9D" w14:textId="0DE21554" w:rsidR="00016BCF" w:rsidRDefault="00EF28E4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_Toc93337862"/>
      <w:r>
        <w:rPr>
          <w:rFonts w:ascii="Times New Roman" w:hAnsi="Times New Roman" w:cs="Times New Roman"/>
          <w:sz w:val="24"/>
          <w:szCs w:val="24"/>
        </w:rPr>
        <w:lastRenderedPageBreak/>
        <w:t xml:space="preserve">Section 1. </w:t>
      </w:r>
      <w:proofErr w:type="gramStart"/>
      <w:r>
        <w:rPr>
          <w:rFonts w:ascii="Times New Roman" w:hAnsi="Times New Roman" w:cs="Times New Roman"/>
          <w:sz w:val="24"/>
          <w:szCs w:val="24"/>
        </w:rPr>
        <w:t>Test</w:t>
      </w:r>
      <w:r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assumption that obsolete meanings are not easily accessible to people living today</w:t>
      </w:r>
      <w:bookmarkEnd w:id="0"/>
    </w:p>
    <w:p w14:paraId="4654708D" w14:textId="77777777" w:rsidR="00016BCF" w:rsidRDefault="00016BCF"/>
    <w:p w14:paraId="306EAECF" w14:textId="77777777" w:rsidR="00016BCF" w:rsidRDefault="00EF28E4">
      <w:r>
        <w:t>Table 1.1: Words that changed their meaning</w:t>
      </w:r>
      <w:r>
        <w:t>s</w:t>
      </w:r>
      <w:r>
        <w:t xml:space="preserve"> between 1800 and 2000. We consulted the Oxford English Dictionary and </w:t>
      </w:r>
      <w:hyperlink r:id="rId7">
        <w:r>
          <w:rPr>
            <w:rStyle w:val="Hyperlink"/>
          </w:rPr>
          <w:t>https</w:t>
        </w:r>
        <w:r>
          <w:rPr>
            <w:rStyle w:val="Hyperlink"/>
          </w:rPr>
          <w:t>://www.etymonline.com/</w:t>
        </w:r>
      </w:hyperlink>
      <w:r>
        <w:t xml:space="preserve"> for a rough estimation of the decade when the semantic shift started. </w:t>
      </w:r>
    </w:p>
    <w:p w14:paraId="21351005" w14:textId="77777777" w:rsidR="00016BCF" w:rsidRDefault="00EF28E4">
      <w:r>
        <w:rPr>
          <w:noProof/>
        </w:rPr>
        <w:drawing>
          <wp:inline distT="0" distB="0" distL="0" distR="0" wp14:anchorId="0A84F1D7" wp14:editId="293E74B0">
            <wp:extent cx="5943600" cy="1823720"/>
            <wp:effectExtent l="0" t="0" r="0" b="0"/>
            <wp:docPr id="1" name="Picture 1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45AF9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2112BD0E" w14:textId="77777777" w:rsidR="00016BCF" w:rsidRDefault="00EF28E4">
      <w:pPr>
        <w:jc w:val="center"/>
        <w:rPr>
          <w:rFonts w:eastAsiaTheme="majorEastAsia"/>
          <w:color w:val="1F3763" w:themeColor="accent1" w:themeShade="7F"/>
        </w:rPr>
      </w:pPr>
      <w:r>
        <w:rPr>
          <w:noProof/>
        </w:rPr>
        <w:drawing>
          <wp:inline distT="0" distB="0" distL="0" distR="0" wp14:anchorId="5C0F4486" wp14:editId="50C4B88C">
            <wp:extent cx="4708525" cy="2943860"/>
            <wp:effectExtent l="0" t="0" r="0" b="0"/>
            <wp:docPr id="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7735" w14:textId="77777777" w:rsidR="00016BCF" w:rsidRDefault="00EF28E4">
      <w:r>
        <w:t>Figure 1.1 Semantic stability of words selected in Appendix Table 1.1. The figure was produced from word embeddings trained by Li et al. (2019) on the Google</w:t>
      </w:r>
      <w:r>
        <w:t xml:space="preserve"> </w:t>
      </w:r>
      <w:proofErr w:type="spellStart"/>
      <w:r>
        <w:t>Ngram</w:t>
      </w:r>
      <w:proofErr w:type="spellEnd"/>
      <w:r>
        <w:t xml:space="preserve"> Corpus. The black line represents the average semantic similarity across all words in the Macroscope database (Li et al., 2019).</w:t>
      </w:r>
    </w:p>
    <w:p w14:paraId="72492423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7AFC4487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3ADDEBF3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6EB19B52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2EA09506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6181C0F3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49D405D7" w14:textId="77777777" w:rsidR="00016BCF" w:rsidRDefault="00EF28E4">
      <w:r>
        <w:lastRenderedPageBreak/>
        <w:t xml:space="preserve">Table 1.2: Free association responses to words in Table 1.1. </w:t>
      </w:r>
      <w:r>
        <w:rPr>
          <w:noProof/>
        </w:rPr>
        <w:drawing>
          <wp:inline distT="0" distB="0" distL="0" distR="0" wp14:anchorId="25E8B3F8" wp14:editId="6B4CF427">
            <wp:extent cx="5943600" cy="1497330"/>
            <wp:effectExtent l="0" t="0" r="0" b="0"/>
            <wp:docPr id="3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0E198" w14:textId="77777777" w:rsidR="00016BCF" w:rsidRDefault="00EF28E4">
      <w:pPr>
        <w:rPr>
          <w:rFonts w:eastAsiaTheme="majorEastAsia"/>
        </w:rPr>
      </w:pPr>
      <w:r>
        <w:rPr>
          <w:rFonts w:eastAsiaTheme="majorEastAsia"/>
        </w:rPr>
        <w:t xml:space="preserve">Note: </w:t>
      </w:r>
      <w:r>
        <w:t xml:space="preserve">In the free association task (De </w:t>
      </w:r>
      <w:proofErr w:type="spellStart"/>
      <w:r>
        <w:t>Deyne</w:t>
      </w:r>
      <w:proofErr w:type="spellEnd"/>
      <w:r>
        <w:t xml:space="preserve"> et al.</w:t>
      </w:r>
      <w:r>
        <w:t>, 2019), p</w:t>
      </w:r>
      <w:r>
        <w:rPr>
          <w:rFonts w:eastAsiaTheme="majorEastAsia"/>
        </w:rPr>
        <w:t xml:space="preserve">articipants were required to generate three words that first came to their mind when they were presented with the cue word. Only the first responses were presented.  </w:t>
      </w:r>
    </w:p>
    <w:p w14:paraId="650B71E9" w14:textId="77777777" w:rsidR="00016BCF" w:rsidRDefault="00016BCF">
      <w:pPr>
        <w:rPr>
          <w:rFonts w:eastAsiaTheme="majorEastAsia"/>
          <w:color w:val="1F3763" w:themeColor="accent1" w:themeShade="7F"/>
        </w:rPr>
      </w:pPr>
    </w:p>
    <w:p w14:paraId="031DF4DB" w14:textId="77777777" w:rsidR="00016BCF" w:rsidRDefault="00EF28E4">
      <w:pPr>
        <w:rPr>
          <w:rFonts w:eastAsiaTheme="majorEastAsia"/>
          <w:color w:val="1F3763" w:themeColor="accent1" w:themeShade="7F"/>
        </w:rPr>
      </w:pPr>
      <w:r>
        <w:br w:type="page"/>
      </w:r>
    </w:p>
    <w:p w14:paraId="2F4716AE" w14:textId="77777777" w:rsidR="00016BCF" w:rsidRDefault="00EF28E4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1" w:name="_Toc93337863"/>
      <w:r>
        <w:rPr>
          <w:rFonts w:ascii="Times New Roman" w:hAnsi="Times New Roman" w:cs="Times New Roman"/>
          <w:sz w:val="24"/>
          <w:szCs w:val="24"/>
        </w:rPr>
        <w:lastRenderedPageBreak/>
        <w:t>Section 2. Justification of our choices on embedding algorithms and corpora</w:t>
      </w:r>
      <w:bookmarkEnd w:id="1"/>
    </w:p>
    <w:p w14:paraId="553DCFA1" w14:textId="77777777" w:rsidR="00016BCF" w:rsidRDefault="00016BCF"/>
    <w:p w14:paraId="3F5329BB" w14:textId="77777777" w:rsidR="00016BCF" w:rsidRDefault="00EF28E4">
      <w:r>
        <w:t>Table 2.1: Performance of different methods on the detection task (retrieved from Hamilton et al., 2016).</w:t>
      </w:r>
    </w:p>
    <w:p w14:paraId="7474C764" w14:textId="77777777" w:rsidR="00016BCF" w:rsidRDefault="00EF28E4">
      <w:pPr>
        <w:jc w:val="center"/>
      </w:pPr>
      <w:r>
        <w:rPr>
          <w:noProof/>
        </w:rPr>
        <w:drawing>
          <wp:inline distT="0" distB="0" distL="0" distR="0" wp14:anchorId="023F6BD1" wp14:editId="5617D6EA">
            <wp:extent cx="3376295" cy="1391920"/>
            <wp:effectExtent l="0" t="0" r="0" b="0"/>
            <wp:docPr id="4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24D13" w14:textId="77777777" w:rsidR="00016BCF" w:rsidRDefault="00EF28E4">
      <w:pPr>
        <w:jc w:val="both"/>
      </w:pPr>
      <w:r>
        <w:t>Note: Hamilton et al. (2016) used a set of independently attested semantic shifts as an evaluation set. They evaluated the three methods on both Go</w:t>
      </w:r>
      <w:r>
        <w:t xml:space="preserve">ogle </w:t>
      </w:r>
      <w:proofErr w:type="spellStart"/>
      <w:r>
        <w:t>Ngram</w:t>
      </w:r>
      <w:proofErr w:type="spellEnd"/>
      <w:r>
        <w:t xml:space="preserve"> Corpus and COHA. The table above report</w:t>
      </w:r>
      <w:r>
        <w:t>s</w:t>
      </w:r>
      <w:r>
        <w:t xml:space="preserve"> </w:t>
      </w:r>
      <w:r>
        <w:t xml:space="preserve">the </w:t>
      </w:r>
      <w:r>
        <w:t xml:space="preserve">proportion of </w:t>
      </w:r>
      <w:r>
        <w:t xml:space="preserve">the </w:t>
      </w:r>
      <w:r>
        <w:t xml:space="preserve">correct sign of semantic shifts (e.g., semantic similarity between </w:t>
      </w:r>
      <w:r>
        <w:rPr>
          <w:i/>
        </w:rPr>
        <w:t>gay</w:t>
      </w:r>
      <w:r>
        <w:t xml:space="preserve"> and </w:t>
      </w:r>
      <w:r>
        <w:rPr>
          <w:i/>
        </w:rPr>
        <w:t xml:space="preserve">homosexual </w:t>
      </w:r>
      <w:r>
        <w:t>becoming larger instead of smaller), and whether these shifts are statistically significant at t</w:t>
      </w:r>
      <w:r>
        <w:t xml:space="preserve">he </w:t>
      </w:r>
      <w:r>
        <w:rPr>
          <w:i/>
        </w:rPr>
        <w:t>p &lt; .05</w:t>
      </w:r>
      <w:r>
        <w:t xml:space="preserve"> level.</w:t>
      </w:r>
    </w:p>
    <w:p w14:paraId="3C23B495" w14:textId="77777777" w:rsidR="00016BCF" w:rsidRDefault="00016BCF"/>
    <w:p w14:paraId="40D39A6F" w14:textId="77777777" w:rsidR="00016BCF" w:rsidRDefault="00EF28E4">
      <w:r>
        <w:t xml:space="preserve">Table 2.2: Correlation table of semantic stability quantified using various algorithms (SVD and word2vec) and corpora (Google </w:t>
      </w:r>
      <w:proofErr w:type="spellStart"/>
      <w:r>
        <w:t>Ngram</w:t>
      </w:r>
      <w:proofErr w:type="spellEnd"/>
      <w:r>
        <w:t xml:space="preserve"> Corpus and COHA). </w:t>
      </w:r>
    </w:p>
    <w:p w14:paraId="10D87A28" w14:textId="77777777" w:rsidR="00016BCF" w:rsidRDefault="00EF28E4">
      <w:pPr>
        <w:jc w:val="center"/>
        <w:rPr>
          <w:rFonts w:eastAsiaTheme="majorEastAsia"/>
          <w:color w:val="1F3763" w:themeColor="accent1" w:themeShade="7F"/>
        </w:rPr>
      </w:pPr>
      <w:r>
        <w:rPr>
          <w:noProof/>
        </w:rPr>
        <w:drawing>
          <wp:inline distT="0" distB="0" distL="0" distR="0" wp14:anchorId="6B9CAC5E" wp14:editId="748D8F6D">
            <wp:extent cx="3724275" cy="1418590"/>
            <wp:effectExtent l="0" t="0" r="0" b="0"/>
            <wp:docPr id="5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FE3C" w14:textId="77777777" w:rsidR="00016BCF" w:rsidRDefault="00016BCF"/>
    <w:p w14:paraId="48703C5B" w14:textId="77777777" w:rsidR="00016BCF" w:rsidRDefault="00EF28E4">
      <w:r>
        <w:t xml:space="preserve">Table 2.3: Correlation between change of frequency between 1850 and 2000 with semantic stability inferred using different corpora and algorithms. </w:t>
      </w:r>
    </w:p>
    <w:p w14:paraId="14C852DE" w14:textId="77777777" w:rsidR="00016BCF" w:rsidRDefault="00EF28E4">
      <w:pPr>
        <w:jc w:val="center"/>
      </w:pPr>
      <w:r>
        <w:rPr>
          <w:noProof/>
        </w:rPr>
        <w:drawing>
          <wp:inline distT="0" distB="0" distL="0" distR="0" wp14:anchorId="75C43D68" wp14:editId="0474C5E2">
            <wp:extent cx="3666490" cy="1357630"/>
            <wp:effectExtent l="0" t="0" r="0" b="0"/>
            <wp:docPr id="6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FC006" w14:textId="77777777" w:rsidR="00016BCF" w:rsidRDefault="00016BCF">
      <w:pPr>
        <w:jc w:val="center"/>
        <w:rPr>
          <w:rFonts w:eastAsiaTheme="majorEastAsia"/>
          <w:color w:val="1F3763" w:themeColor="accent1" w:themeShade="7F"/>
        </w:rPr>
      </w:pPr>
    </w:p>
    <w:p w14:paraId="31169AEB" w14:textId="77777777" w:rsidR="00016BCF" w:rsidRDefault="00016BCF">
      <w:pPr>
        <w:jc w:val="center"/>
        <w:rPr>
          <w:rFonts w:eastAsiaTheme="majorEastAsia"/>
          <w:color w:val="1F3763" w:themeColor="accent1" w:themeShade="7F"/>
        </w:rPr>
      </w:pPr>
    </w:p>
    <w:p w14:paraId="4B42030F" w14:textId="77777777" w:rsidR="00016BCF" w:rsidRDefault="00016BCF">
      <w:pPr>
        <w:jc w:val="center"/>
        <w:rPr>
          <w:rFonts w:eastAsiaTheme="majorEastAsia"/>
          <w:color w:val="1F3763" w:themeColor="accent1" w:themeShade="7F"/>
        </w:rPr>
      </w:pPr>
    </w:p>
    <w:p w14:paraId="3E7C408C" w14:textId="77777777" w:rsidR="00016BCF" w:rsidRDefault="00016BCF">
      <w:pPr>
        <w:jc w:val="center"/>
        <w:rPr>
          <w:rFonts w:eastAsiaTheme="majorEastAsia"/>
          <w:color w:val="1F3763" w:themeColor="accent1" w:themeShade="7F"/>
        </w:rPr>
      </w:pPr>
    </w:p>
    <w:p w14:paraId="3FC51C7E" w14:textId="77777777" w:rsidR="00016BCF" w:rsidRDefault="00016BCF">
      <w:pPr>
        <w:jc w:val="center"/>
        <w:rPr>
          <w:rFonts w:eastAsiaTheme="majorEastAsia"/>
          <w:color w:val="1F3763" w:themeColor="accent1" w:themeShade="7F"/>
        </w:rPr>
      </w:pPr>
    </w:p>
    <w:p w14:paraId="07E2DB41" w14:textId="77777777" w:rsidR="00016BCF" w:rsidRDefault="00EF28E4">
      <w:pPr>
        <w:rPr>
          <w:color w:val="000000" w:themeColor="text1"/>
        </w:rPr>
      </w:pPr>
      <w:r>
        <w:br w:type="page"/>
      </w:r>
    </w:p>
    <w:p w14:paraId="2501F90C" w14:textId="487C96F6" w:rsidR="00016BCF" w:rsidRDefault="00EF28E4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2" w:name="_Toc93337864"/>
      <w:r>
        <w:rPr>
          <w:rFonts w:ascii="Times New Roman" w:hAnsi="Times New Roman" w:cs="Times New Roman"/>
          <w:sz w:val="24"/>
          <w:szCs w:val="24"/>
        </w:rPr>
        <w:lastRenderedPageBreak/>
        <w:t xml:space="preserve">Section 3. Supplementary materials to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tudy 1</w:t>
      </w:r>
      <w:bookmarkEnd w:id="2"/>
    </w:p>
    <w:p w14:paraId="57BC102F" w14:textId="77777777" w:rsidR="00016BCF" w:rsidRDefault="00016BCF"/>
    <w:p w14:paraId="64C5B835" w14:textId="090EF82C" w:rsidR="00016BCF" w:rsidRDefault="00EF28E4">
      <w:r>
        <w:t>Figure 3.1: Sensitivity analysis on predicting accur</w:t>
      </w:r>
      <w:r>
        <w:t xml:space="preserve">acy of semantic decision task and lexical recognition task in </w:t>
      </w:r>
      <w:r>
        <w:t>S</w:t>
      </w:r>
      <w:r>
        <w:t xml:space="preserve">tudy 1. </w:t>
      </w:r>
    </w:p>
    <w:p w14:paraId="1038C0FE" w14:textId="77777777" w:rsidR="00016BCF" w:rsidRDefault="00016BCF">
      <w:pPr>
        <w:spacing w:line="360" w:lineRule="auto"/>
        <w:jc w:val="both"/>
      </w:pPr>
    </w:p>
    <w:p w14:paraId="6C508DCA" w14:textId="77777777" w:rsidR="00016BCF" w:rsidRDefault="00EF28E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ED80F66" wp14:editId="11D37A8C">
            <wp:extent cx="2677160" cy="2286000"/>
            <wp:effectExtent l="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481" r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111310" wp14:editId="1F155496">
            <wp:extent cx="2736215" cy="2286000"/>
            <wp:effectExtent l="0" t="0" r="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5986" r="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C5D17" w14:textId="77777777" w:rsidR="00016BCF" w:rsidRDefault="00EF28E4">
      <w:r>
        <w:t>Figure 3.2. Scatter plot of semantic stability between 1800 to 2000 with age of acquisition, response time in semantic decision task, response time in lexical decision task for ea</w:t>
      </w:r>
      <w:r>
        <w:t xml:space="preserve">ch word. Linear regression lines are plotted with 95% confidence interval. </w:t>
      </w:r>
    </w:p>
    <w:p w14:paraId="176C2BFA" w14:textId="77777777" w:rsidR="00016BCF" w:rsidRDefault="00EF28E4">
      <w:r>
        <w:rPr>
          <w:noProof/>
        </w:rPr>
        <w:drawing>
          <wp:inline distT="0" distB="0" distL="0" distR="0" wp14:anchorId="105AB711" wp14:editId="032DBFFA">
            <wp:extent cx="5942965" cy="4215765"/>
            <wp:effectExtent l="0" t="0" r="0" b="0"/>
            <wp:docPr id="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4253" b="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C986" w14:textId="77777777" w:rsidR="00016BCF" w:rsidRDefault="00EF28E4">
      <w:r>
        <w:lastRenderedPageBreak/>
        <w:t>Figure 3.3. Marginal effects of age of acquisition, response time in semantic decision task, and response time in lexical decision task on semantic stability of words between 180</w:t>
      </w:r>
      <w:r>
        <w:t xml:space="preserve">0 and 2000. </w:t>
      </w:r>
    </w:p>
    <w:p w14:paraId="4342D9E5" w14:textId="77777777" w:rsidR="00016BCF" w:rsidRDefault="00EF28E4">
      <w:r>
        <w:rPr>
          <w:noProof/>
        </w:rPr>
        <w:drawing>
          <wp:inline distT="0" distB="0" distL="0" distR="0" wp14:anchorId="0D2A8129" wp14:editId="32A9C33C">
            <wp:extent cx="5942965" cy="4148455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4657" b="8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DF337" w14:textId="77777777" w:rsidR="00016BCF" w:rsidRDefault="00EF28E4">
      <w:r>
        <w:br w:type="page"/>
      </w:r>
    </w:p>
    <w:p w14:paraId="0A587AB2" w14:textId="77777777" w:rsidR="00016BCF" w:rsidRDefault="00016BCF"/>
    <w:p w14:paraId="7F67BFEC" w14:textId="77777777" w:rsidR="00016BCF" w:rsidRDefault="00EF28E4">
      <w:r>
        <w:rPr>
          <w:noProof/>
        </w:rPr>
        <w:drawing>
          <wp:inline distT="0" distB="0" distL="0" distR="0" wp14:anchorId="35B3AE41" wp14:editId="4930B98F">
            <wp:extent cx="5943600" cy="5943600"/>
            <wp:effectExtent l="0" t="0" r="0" b="0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AC8F4" w14:textId="1E535441" w:rsidR="00016BCF" w:rsidRDefault="00EF28E4">
      <w:r>
        <w:t>Figure 3.4. Correlation</w:t>
      </w:r>
      <w:r>
        <w:t xml:space="preserve"> table of variables in the regression model (main text, Table 2, Google </w:t>
      </w:r>
      <w:proofErr w:type="spellStart"/>
      <w:r>
        <w:t>Ngram</w:t>
      </w:r>
      <w:proofErr w:type="spellEnd"/>
      <w:r>
        <w:t xml:space="preserve"> Corpus). Correlations with p-value less than 0.05 are not displayed. </w:t>
      </w:r>
    </w:p>
    <w:p w14:paraId="4C3C1B2C" w14:textId="77777777" w:rsidR="00016BCF" w:rsidRDefault="00EF28E4">
      <w:r>
        <w:br w:type="page"/>
      </w:r>
    </w:p>
    <w:p w14:paraId="38EB3B5B" w14:textId="77777777" w:rsidR="00016BCF" w:rsidRDefault="00EF28E4">
      <w:r>
        <w:rPr>
          <w:noProof/>
        </w:rPr>
        <w:lastRenderedPageBreak/>
        <w:drawing>
          <wp:inline distT="0" distB="0" distL="0" distR="0" wp14:anchorId="6D4B7F1C" wp14:editId="04583F0D">
            <wp:extent cx="5943600" cy="5943600"/>
            <wp:effectExtent l="0" t="0" r="0" b="0"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0D9C4" w14:textId="7DD3F1CA" w:rsidR="00016BCF" w:rsidRDefault="00EF28E4">
      <w:r>
        <w:t>Figure 3.5. Correlation</w:t>
      </w:r>
      <w:r>
        <w:t xml:space="preserve"> table of variables in the regression model (main text, Table 2, COHA). Correla</w:t>
      </w:r>
      <w:r>
        <w:t xml:space="preserve">tions with p-value less than 0.05 are not displayed. </w:t>
      </w:r>
    </w:p>
    <w:p w14:paraId="3FBF0786" w14:textId="77777777" w:rsidR="00016BCF" w:rsidRDefault="00EF28E4">
      <w:r>
        <w:br w:type="page"/>
      </w:r>
    </w:p>
    <w:p w14:paraId="1E9078EC" w14:textId="46EFCAB8" w:rsidR="00016BCF" w:rsidRDefault="00EF28E4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3" w:name="_Toc93337865"/>
      <w:r>
        <w:rPr>
          <w:rFonts w:ascii="Times New Roman" w:hAnsi="Times New Roman" w:cs="Times New Roman"/>
          <w:sz w:val="24"/>
          <w:szCs w:val="24"/>
        </w:rPr>
        <w:lastRenderedPageBreak/>
        <w:t xml:space="preserve">Section 4. Supplementary materials to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tudy 2</w:t>
      </w:r>
      <w:bookmarkEnd w:id="3"/>
    </w:p>
    <w:p w14:paraId="277BB606" w14:textId="77777777" w:rsidR="00016BCF" w:rsidRDefault="00016BCF"/>
    <w:p w14:paraId="5002D82C" w14:textId="77777777" w:rsidR="00016BCF" w:rsidRDefault="00EF28E4">
      <w:r>
        <w:t xml:space="preserve">Table 4.1. Results of </w:t>
      </w:r>
      <w:r>
        <w:rPr>
          <w:i/>
        </w:rPr>
        <w:t>t</w:t>
      </w:r>
      <w:r>
        <w:t>-tests (</w:t>
      </w:r>
      <w:r>
        <w:rPr>
          <w:i/>
        </w:rPr>
        <w:t>p</w:t>
      </w:r>
      <w:r>
        <w:t xml:space="preserve">-values shown) comparing linguistic features between concrete words and abstract words and between </w:t>
      </w:r>
      <w:r>
        <w:t>semantically stable words and unstable words in Study 2.</w:t>
      </w:r>
    </w:p>
    <w:p w14:paraId="182C0194" w14:textId="77777777" w:rsidR="00016BCF" w:rsidRDefault="00016BCF">
      <w:pPr>
        <w:spacing w:line="360" w:lineRule="auto"/>
        <w:jc w:val="both"/>
        <w:rPr>
          <w:color w:val="000000" w:themeColor="text1"/>
        </w:rPr>
      </w:pPr>
    </w:p>
    <w:tbl>
      <w:tblPr>
        <w:tblStyle w:val="TableGrid"/>
        <w:tblW w:w="9359" w:type="dxa"/>
        <w:tblLook w:val="04A0" w:firstRow="1" w:lastRow="0" w:firstColumn="1" w:lastColumn="0" w:noHBand="0" w:noVBand="1"/>
      </w:tblPr>
      <w:tblGrid>
        <w:gridCol w:w="1469"/>
        <w:gridCol w:w="1110"/>
        <w:gridCol w:w="1496"/>
        <w:gridCol w:w="1176"/>
        <w:gridCol w:w="1003"/>
        <w:gridCol w:w="740"/>
        <w:gridCol w:w="1354"/>
        <w:gridCol w:w="1011"/>
      </w:tblGrid>
      <w:tr w:rsidR="00016BCF" w14:paraId="52C347EE" w14:textId="77777777">
        <w:tc>
          <w:tcPr>
            <w:tcW w:w="1468" w:type="dxa"/>
            <w:tcBorders>
              <w:left w:val="nil"/>
              <w:right w:val="nil"/>
            </w:tcBorders>
          </w:tcPr>
          <w:p w14:paraId="6B454C53" w14:textId="77777777" w:rsidR="00016BCF" w:rsidRDefault="00016BCF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110" w:type="dxa"/>
            <w:tcBorders>
              <w:left w:val="nil"/>
              <w:right w:val="nil"/>
            </w:tcBorders>
          </w:tcPr>
          <w:p w14:paraId="5C8E09E1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Semantic stability </w:t>
            </w:r>
          </w:p>
        </w:tc>
        <w:tc>
          <w:tcPr>
            <w:tcW w:w="1496" w:type="dxa"/>
            <w:tcBorders>
              <w:left w:val="nil"/>
              <w:right w:val="nil"/>
            </w:tcBorders>
          </w:tcPr>
          <w:p w14:paraId="501DF526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Concreteness</w:t>
            </w:r>
          </w:p>
        </w:tc>
        <w:tc>
          <w:tcPr>
            <w:tcW w:w="1176" w:type="dxa"/>
            <w:tcBorders>
              <w:left w:val="nil"/>
              <w:right w:val="nil"/>
            </w:tcBorders>
          </w:tcPr>
          <w:p w14:paraId="285288AD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Log frequency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14:paraId="01520E79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Valence</w:t>
            </w:r>
          </w:p>
        </w:tc>
        <w:tc>
          <w:tcPr>
            <w:tcW w:w="740" w:type="dxa"/>
            <w:tcBorders>
              <w:left w:val="nil"/>
              <w:right w:val="nil"/>
            </w:tcBorders>
          </w:tcPr>
          <w:p w14:paraId="4401DF38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AoA</w:t>
            </w:r>
            <w:proofErr w:type="spellEnd"/>
          </w:p>
        </w:tc>
        <w:tc>
          <w:tcPr>
            <w:tcW w:w="1354" w:type="dxa"/>
            <w:tcBorders>
              <w:left w:val="nil"/>
              <w:right w:val="nil"/>
            </w:tcBorders>
          </w:tcPr>
          <w:p w14:paraId="16DD4815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Arousal</w:t>
            </w: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4222F950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Length</w:t>
            </w:r>
          </w:p>
        </w:tc>
      </w:tr>
      <w:tr w:rsidR="00016BCF" w14:paraId="4AF11BA1" w14:textId="77777777">
        <w:tc>
          <w:tcPr>
            <w:tcW w:w="146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AB5572" w14:textId="77777777" w:rsidR="00016BCF" w:rsidRDefault="00EF28E4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Concrete group vs </w:t>
            </w:r>
          </w:p>
          <w:p w14:paraId="4FF9C40A" w14:textId="77777777" w:rsidR="00016BCF" w:rsidRDefault="00EF28E4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Abstract group 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E2945E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</w:t>
            </w:r>
          </w:p>
        </w:tc>
        <w:tc>
          <w:tcPr>
            <w:tcW w:w="1496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62A0BA" w14:textId="77777777" w:rsidR="00016BCF" w:rsidRDefault="00EF28E4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&lt;0.001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BD03D2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0.48</w:t>
            </w: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4859B1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0.95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A5C34D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0.47</w:t>
            </w: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423F50" w14:textId="77777777" w:rsidR="00016BCF" w:rsidRDefault="00EF28E4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0.01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83877A" w14:textId="77777777" w:rsidR="00016BCF" w:rsidRDefault="00EF28E4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&lt;0.001</w:t>
            </w:r>
          </w:p>
        </w:tc>
      </w:tr>
      <w:tr w:rsidR="00016BCF" w14:paraId="4D805652" w14:textId="77777777">
        <w:tc>
          <w:tcPr>
            <w:tcW w:w="1468" w:type="dxa"/>
            <w:tcBorders>
              <w:top w:val="nil"/>
              <w:left w:val="nil"/>
              <w:right w:val="nil"/>
            </w:tcBorders>
          </w:tcPr>
          <w:p w14:paraId="1EBDC4D5" w14:textId="77777777" w:rsidR="00016BCF" w:rsidRDefault="00EF28E4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Semantically stable group</w:t>
            </w:r>
          </w:p>
          <w:p w14:paraId="7134F4F2" w14:textId="77777777" w:rsidR="00016BCF" w:rsidRDefault="00EF28E4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vs instable </w:t>
            </w:r>
            <w:r>
              <w:rPr>
                <w:color w:val="000000" w:themeColor="text1"/>
              </w:rPr>
              <w:t>group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</w:tcPr>
          <w:p w14:paraId="17A5D264" w14:textId="77777777" w:rsidR="00016BCF" w:rsidRDefault="00EF28E4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&lt;0.001</w:t>
            </w: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</w:tcPr>
          <w:p w14:paraId="4F84FE26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0.93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</w:tcPr>
          <w:p w14:paraId="3C16DE02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0.13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</w:tcPr>
          <w:p w14:paraId="544FC346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0.16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</w:tcPr>
          <w:p w14:paraId="13033863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0.49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</w:tcPr>
          <w:p w14:paraId="7D96ED47" w14:textId="77777777" w:rsidR="00016BCF" w:rsidRDefault="00EF28E4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0.001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</w:tcPr>
          <w:p w14:paraId="2219A94B" w14:textId="77777777" w:rsidR="00016BCF" w:rsidRDefault="00EF28E4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0.57</w:t>
            </w:r>
          </w:p>
        </w:tc>
      </w:tr>
    </w:tbl>
    <w:p w14:paraId="4F7C6AD8" w14:textId="77777777" w:rsidR="00016BCF" w:rsidRDefault="00016BCF">
      <w:pPr>
        <w:spacing w:line="360" w:lineRule="auto"/>
        <w:jc w:val="both"/>
        <w:rPr>
          <w:color w:val="000000" w:themeColor="text1"/>
        </w:rPr>
      </w:pPr>
    </w:p>
    <w:p w14:paraId="731BBF40" w14:textId="77777777" w:rsidR="00016BCF" w:rsidRDefault="00016BCF">
      <w:pPr>
        <w:spacing w:line="360" w:lineRule="auto"/>
        <w:jc w:val="both"/>
        <w:rPr>
          <w:b/>
          <w:color w:val="000000" w:themeColor="text1"/>
        </w:rPr>
      </w:pPr>
    </w:p>
    <w:sectPr w:rsidR="00016BCF">
      <w:footerReference w:type="default" r:id="rId20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2E40" w14:textId="77777777" w:rsidR="00EF28E4" w:rsidRDefault="00EF28E4">
      <w:r>
        <w:separator/>
      </w:r>
    </w:p>
  </w:endnote>
  <w:endnote w:type="continuationSeparator" w:id="0">
    <w:p w14:paraId="676AC533" w14:textId="77777777" w:rsidR="00EF28E4" w:rsidRDefault="00EF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006997"/>
      <w:docPartObj>
        <w:docPartGallery w:val="Page Numbers (Bottom of Page)"/>
        <w:docPartUnique/>
      </w:docPartObj>
    </w:sdtPr>
    <w:sdtEndPr/>
    <w:sdtContent>
      <w:p w14:paraId="1F1C6F42" w14:textId="77777777" w:rsidR="00016BCF" w:rsidRDefault="00EF28E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>PAGE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10</w:t>
        </w:r>
        <w:r>
          <w:rPr>
            <w:rStyle w:val="PageNumber"/>
          </w:rPr>
          <w:fldChar w:fldCharType="end"/>
        </w:r>
      </w:p>
    </w:sdtContent>
  </w:sdt>
  <w:p w14:paraId="20E4F76B" w14:textId="77777777" w:rsidR="00016BCF" w:rsidRDefault="00016B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3334" w14:textId="77777777" w:rsidR="00EF28E4" w:rsidRDefault="00EF28E4">
      <w:r>
        <w:separator/>
      </w:r>
    </w:p>
  </w:footnote>
  <w:footnote w:type="continuationSeparator" w:id="0">
    <w:p w14:paraId="4719769B" w14:textId="77777777" w:rsidR="00EF28E4" w:rsidRDefault="00EF2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trackRevisio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CF"/>
    <w:rsid w:val="00016BCF"/>
    <w:rsid w:val="003E2706"/>
    <w:rsid w:val="00EF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BDEE3C"/>
  <w15:docId w15:val="{F5114A84-83F6-5341-9BD9-D4327E01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B3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B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2B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72B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72B31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Hyperlink">
    <w:name w:val="Hyperlink"/>
    <w:basedOn w:val="DefaultParagraphFont"/>
    <w:uiPriority w:val="99"/>
    <w:unhideWhenUsed/>
    <w:rsid w:val="00272B3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72B31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qFormat/>
    <w:rsid w:val="00272B31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04D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404D9B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72B31"/>
    <w:pPr>
      <w:tabs>
        <w:tab w:val="center" w:pos="4680"/>
        <w:tab w:val="right" w:pos="9360"/>
      </w:tabs>
    </w:pPr>
  </w:style>
  <w:style w:type="paragraph" w:styleId="TOCHeading">
    <w:name w:val="TOC Heading"/>
    <w:basedOn w:val="Heading1"/>
    <w:next w:val="Normal"/>
    <w:uiPriority w:val="39"/>
    <w:unhideWhenUsed/>
    <w:qFormat/>
    <w:rsid w:val="003A39A0"/>
    <w:pPr>
      <w:spacing w:before="480" w:line="276" w:lineRule="auto"/>
    </w:pPr>
    <w:rPr>
      <w:b/>
      <w:bCs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A39A0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A39A0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3A39A0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39A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A39A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A39A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A39A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39A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A39A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3A39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04D9B"/>
    <w:rPr>
      <w:sz w:val="20"/>
      <w:szCs w:val="20"/>
    </w:rPr>
  </w:style>
  <w:style w:type="table" w:styleId="TableGrid">
    <w:name w:val="Table Grid"/>
    <w:basedOn w:val="TableNormal"/>
    <w:uiPriority w:val="39"/>
    <w:rsid w:val="00272B3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2706"/>
    <w:pPr>
      <w:suppressAutoHyphens w:val="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etymonline.com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912B77-BF85-E547-B96D-AEFFB501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dc:description/>
  <cp:lastModifiedBy>LiYing</cp:lastModifiedBy>
  <cp:revision>11</cp:revision>
  <dcterms:created xsi:type="dcterms:W3CDTF">2022-01-12T17:17:00Z</dcterms:created>
  <dcterms:modified xsi:type="dcterms:W3CDTF">2022-01-19T08:37:00Z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