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E23C" w14:textId="2372D012" w:rsidR="00E108F0" w:rsidRPr="00BA42E7" w:rsidRDefault="00E108F0" w:rsidP="00E108F0">
      <w:pPr>
        <w:spacing w:line="480" w:lineRule="auto"/>
        <w:ind w:left="567" w:hanging="567"/>
        <w:jc w:val="center"/>
        <w:rPr>
          <w:b/>
          <w:bCs/>
          <w:lang w:val="en-US"/>
        </w:rPr>
      </w:pPr>
      <w:r w:rsidRPr="00BA42E7">
        <w:rPr>
          <w:b/>
          <w:bCs/>
          <w:lang w:val="en-US"/>
        </w:rPr>
        <w:t xml:space="preserve">Supplementary </w:t>
      </w:r>
      <w:r w:rsidR="00C7424A" w:rsidRPr="00BA42E7">
        <w:rPr>
          <w:b/>
          <w:bCs/>
          <w:lang w:val="en-US"/>
        </w:rPr>
        <w:t>M</w:t>
      </w:r>
      <w:r w:rsidRPr="00BA42E7">
        <w:rPr>
          <w:b/>
          <w:bCs/>
          <w:lang w:val="en-US"/>
        </w:rPr>
        <w:t>aterials</w:t>
      </w:r>
      <w:r w:rsidR="00C7424A" w:rsidRPr="00BA42E7">
        <w:rPr>
          <w:b/>
          <w:bCs/>
          <w:lang w:val="en-US"/>
        </w:rPr>
        <w:t xml:space="preserve"> 1</w:t>
      </w:r>
    </w:p>
    <w:p w14:paraId="40CFCCEC" w14:textId="77777777" w:rsidR="00E108F0" w:rsidRPr="00BA42E7" w:rsidRDefault="00E108F0" w:rsidP="00E108F0">
      <w:pPr>
        <w:spacing w:line="480" w:lineRule="auto"/>
        <w:ind w:left="567" w:hanging="567"/>
        <w:rPr>
          <w:lang w:val="en-US"/>
        </w:rPr>
      </w:pPr>
    </w:p>
    <w:p w14:paraId="71D0A9F1" w14:textId="2385879C" w:rsidR="002A3C59" w:rsidRDefault="00E108F0" w:rsidP="00E108F0">
      <w:pPr>
        <w:spacing w:line="480" w:lineRule="auto"/>
        <w:rPr>
          <w:b/>
          <w:bCs/>
          <w:lang w:val="en-US"/>
        </w:rPr>
      </w:pPr>
      <w:r w:rsidRPr="00BA42E7">
        <w:rPr>
          <w:b/>
          <w:bCs/>
          <w:lang w:val="en-US"/>
        </w:rPr>
        <w:t xml:space="preserve">Supplementary Table 1 </w:t>
      </w:r>
    </w:p>
    <w:p w14:paraId="7EF54B41" w14:textId="13EC7852" w:rsidR="00E108F0" w:rsidRPr="002A3C59" w:rsidRDefault="00E108F0" w:rsidP="00E108F0">
      <w:pPr>
        <w:spacing w:line="480" w:lineRule="auto"/>
        <w:rPr>
          <w:i/>
          <w:iCs/>
          <w:lang w:val="en-US"/>
        </w:rPr>
      </w:pPr>
      <w:r w:rsidRPr="002A3C59">
        <w:rPr>
          <w:i/>
          <w:iCs/>
          <w:lang w:val="en-US"/>
        </w:rPr>
        <w:t>Mean RTs for condition for each quantile in Experiment</w:t>
      </w:r>
      <w:r w:rsidR="00DF2016" w:rsidRPr="002A3C59">
        <w:rPr>
          <w:i/>
          <w:iCs/>
          <w:lang w:val="en-US"/>
        </w:rPr>
        <w:t>s</w:t>
      </w:r>
      <w:r w:rsidRPr="002A3C59">
        <w:rPr>
          <w:i/>
          <w:iCs/>
          <w:lang w:val="en-US"/>
        </w:rPr>
        <w:t xml:space="preserve"> 1A (single</w:t>
      </w:r>
      <w:r w:rsidR="00DF2016" w:rsidRPr="002A3C59">
        <w:rPr>
          <w:i/>
          <w:iCs/>
          <w:lang w:val="en-US"/>
        </w:rPr>
        <w:t>-</w:t>
      </w:r>
      <w:r w:rsidRPr="002A3C59">
        <w:rPr>
          <w:i/>
          <w:iCs/>
          <w:lang w:val="en-US"/>
        </w:rPr>
        <w:t>task procedure) and 1B (dual</w:t>
      </w:r>
      <w:r w:rsidR="00DF2016" w:rsidRPr="002A3C59">
        <w:rPr>
          <w:i/>
          <w:iCs/>
          <w:lang w:val="en-US"/>
        </w:rPr>
        <w:t>-</w:t>
      </w:r>
      <w:r w:rsidRPr="002A3C59">
        <w:rPr>
          <w:i/>
          <w:iCs/>
          <w:lang w:val="en-US"/>
        </w:rPr>
        <w:t>task procedure).</w:t>
      </w:r>
    </w:p>
    <w:p w14:paraId="5135B5DD" w14:textId="77777777" w:rsidR="00EB5068" w:rsidRPr="00BA42E7" w:rsidRDefault="00EB5068" w:rsidP="00E108F0">
      <w:pPr>
        <w:spacing w:line="480" w:lineRule="auto"/>
        <w:rPr>
          <w:lang w:val="en-US"/>
        </w:rPr>
      </w:pPr>
    </w:p>
    <w:tbl>
      <w:tblPr>
        <w:tblStyle w:val="Grigliatabell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418"/>
        <w:gridCol w:w="1355"/>
        <w:gridCol w:w="1501"/>
        <w:gridCol w:w="1501"/>
        <w:gridCol w:w="1501"/>
        <w:gridCol w:w="1502"/>
      </w:tblGrid>
      <w:tr w:rsidR="00BA42E7" w:rsidRPr="00BA42E7" w14:paraId="0DA6B6A5" w14:textId="77777777" w:rsidTr="0066228B"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354EE6E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Condition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0C4BC882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7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57CED6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Quantiles</w:t>
            </w:r>
          </w:p>
        </w:tc>
      </w:tr>
      <w:tr w:rsidR="00BA42E7" w:rsidRPr="00BA42E7" w14:paraId="2A122CA6" w14:textId="77777777" w:rsidTr="0066228B"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FB995AF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1DB027D4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14:paraId="09F4ADE9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0AC07879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14DA6F9C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1AF86940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46EA6ADB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</w:t>
            </w:r>
          </w:p>
        </w:tc>
      </w:tr>
      <w:tr w:rsidR="00BA42E7" w:rsidRPr="00BA42E7" w14:paraId="76E6FF47" w14:textId="77777777" w:rsidTr="0066228B">
        <w:tc>
          <w:tcPr>
            <w:tcW w:w="1283" w:type="dxa"/>
            <w:tcBorders>
              <w:top w:val="single" w:sz="4" w:space="0" w:color="auto"/>
            </w:tcBorders>
          </w:tcPr>
          <w:p w14:paraId="1647B506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57F85D0D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7360" w:type="dxa"/>
            <w:gridSpan w:val="5"/>
            <w:tcBorders>
              <w:top w:val="single" w:sz="4" w:space="0" w:color="auto"/>
            </w:tcBorders>
          </w:tcPr>
          <w:p w14:paraId="6E16AC90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Single Task</w:t>
            </w:r>
          </w:p>
        </w:tc>
      </w:tr>
      <w:tr w:rsidR="00BA42E7" w:rsidRPr="00BA42E7" w14:paraId="4B29CF38" w14:textId="77777777" w:rsidTr="0066228B">
        <w:tc>
          <w:tcPr>
            <w:tcW w:w="1283" w:type="dxa"/>
          </w:tcPr>
          <w:p w14:paraId="16DC4773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Semantic</w:t>
            </w:r>
          </w:p>
        </w:tc>
        <w:tc>
          <w:tcPr>
            <w:tcW w:w="418" w:type="dxa"/>
          </w:tcPr>
          <w:p w14:paraId="1BADB59C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721CE94D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474</w:t>
            </w:r>
          </w:p>
        </w:tc>
        <w:tc>
          <w:tcPr>
            <w:tcW w:w="1501" w:type="dxa"/>
          </w:tcPr>
          <w:p w14:paraId="5A2F21B0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574</w:t>
            </w:r>
          </w:p>
        </w:tc>
        <w:tc>
          <w:tcPr>
            <w:tcW w:w="1501" w:type="dxa"/>
          </w:tcPr>
          <w:p w14:paraId="5D2C3A5F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654</w:t>
            </w:r>
          </w:p>
        </w:tc>
        <w:tc>
          <w:tcPr>
            <w:tcW w:w="1501" w:type="dxa"/>
          </w:tcPr>
          <w:p w14:paraId="04C83BC3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765</w:t>
            </w:r>
          </w:p>
        </w:tc>
        <w:tc>
          <w:tcPr>
            <w:tcW w:w="1502" w:type="dxa"/>
          </w:tcPr>
          <w:p w14:paraId="10A954E0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1056</w:t>
            </w:r>
          </w:p>
        </w:tc>
      </w:tr>
      <w:tr w:rsidR="00BA42E7" w:rsidRPr="00BA42E7" w14:paraId="4C0D29B6" w14:textId="77777777" w:rsidTr="0066228B">
        <w:tc>
          <w:tcPr>
            <w:tcW w:w="1283" w:type="dxa"/>
          </w:tcPr>
          <w:p w14:paraId="1DFF79E0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Control</w:t>
            </w:r>
          </w:p>
        </w:tc>
        <w:tc>
          <w:tcPr>
            <w:tcW w:w="418" w:type="dxa"/>
          </w:tcPr>
          <w:p w14:paraId="6CF35ABE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4EED1918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473</w:t>
            </w:r>
          </w:p>
        </w:tc>
        <w:tc>
          <w:tcPr>
            <w:tcW w:w="1501" w:type="dxa"/>
          </w:tcPr>
          <w:p w14:paraId="78E8811C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569</w:t>
            </w:r>
          </w:p>
        </w:tc>
        <w:tc>
          <w:tcPr>
            <w:tcW w:w="1501" w:type="dxa"/>
          </w:tcPr>
          <w:p w14:paraId="0AAE15BF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649</w:t>
            </w:r>
          </w:p>
        </w:tc>
        <w:tc>
          <w:tcPr>
            <w:tcW w:w="1501" w:type="dxa"/>
          </w:tcPr>
          <w:p w14:paraId="5384FC8E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757</w:t>
            </w:r>
          </w:p>
        </w:tc>
        <w:tc>
          <w:tcPr>
            <w:tcW w:w="1502" w:type="dxa"/>
          </w:tcPr>
          <w:p w14:paraId="2FD9A7F5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1049</w:t>
            </w:r>
          </w:p>
        </w:tc>
      </w:tr>
      <w:tr w:rsidR="00BA42E7" w:rsidRPr="00BA42E7" w14:paraId="59F6D506" w14:textId="77777777" w:rsidTr="0066228B">
        <w:tc>
          <w:tcPr>
            <w:tcW w:w="1283" w:type="dxa"/>
          </w:tcPr>
          <w:p w14:paraId="3005FE70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Difference</w:t>
            </w:r>
          </w:p>
        </w:tc>
        <w:tc>
          <w:tcPr>
            <w:tcW w:w="418" w:type="dxa"/>
          </w:tcPr>
          <w:p w14:paraId="70FEE7ED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7E1455BF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</w:t>
            </w:r>
          </w:p>
        </w:tc>
        <w:tc>
          <w:tcPr>
            <w:tcW w:w="1501" w:type="dxa"/>
          </w:tcPr>
          <w:p w14:paraId="6D2A7AE4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</w:t>
            </w:r>
          </w:p>
        </w:tc>
        <w:tc>
          <w:tcPr>
            <w:tcW w:w="1501" w:type="dxa"/>
          </w:tcPr>
          <w:p w14:paraId="11B97C6F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</w:t>
            </w:r>
          </w:p>
        </w:tc>
        <w:tc>
          <w:tcPr>
            <w:tcW w:w="1501" w:type="dxa"/>
          </w:tcPr>
          <w:p w14:paraId="13E76EB1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8</w:t>
            </w:r>
          </w:p>
        </w:tc>
        <w:tc>
          <w:tcPr>
            <w:tcW w:w="1502" w:type="dxa"/>
          </w:tcPr>
          <w:p w14:paraId="308E30E7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7</w:t>
            </w:r>
          </w:p>
        </w:tc>
      </w:tr>
      <w:tr w:rsidR="00BA42E7" w:rsidRPr="00BA42E7" w14:paraId="7A571FB3" w14:textId="77777777" w:rsidTr="0066228B">
        <w:tc>
          <w:tcPr>
            <w:tcW w:w="1283" w:type="dxa"/>
          </w:tcPr>
          <w:p w14:paraId="6D572F7A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418" w:type="dxa"/>
          </w:tcPr>
          <w:p w14:paraId="44C55587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7360" w:type="dxa"/>
            <w:gridSpan w:val="5"/>
          </w:tcPr>
          <w:p w14:paraId="616EFFC5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Dual Task</w:t>
            </w:r>
          </w:p>
        </w:tc>
      </w:tr>
      <w:tr w:rsidR="00BA42E7" w:rsidRPr="00BA42E7" w14:paraId="305105EB" w14:textId="77777777" w:rsidTr="0066228B">
        <w:tc>
          <w:tcPr>
            <w:tcW w:w="1283" w:type="dxa"/>
          </w:tcPr>
          <w:p w14:paraId="7B680EE2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Semantic</w:t>
            </w:r>
          </w:p>
        </w:tc>
        <w:tc>
          <w:tcPr>
            <w:tcW w:w="418" w:type="dxa"/>
          </w:tcPr>
          <w:p w14:paraId="620FF3DA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190AE6DD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577</w:t>
            </w:r>
          </w:p>
        </w:tc>
        <w:tc>
          <w:tcPr>
            <w:tcW w:w="1501" w:type="dxa"/>
          </w:tcPr>
          <w:p w14:paraId="524758A4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694</w:t>
            </w:r>
          </w:p>
        </w:tc>
        <w:tc>
          <w:tcPr>
            <w:tcW w:w="1501" w:type="dxa"/>
          </w:tcPr>
          <w:p w14:paraId="162079CD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801</w:t>
            </w:r>
          </w:p>
        </w:tc>
        <w:tc>
          <w:tcPr>
            <w:tcW w:w="1501" w:type="dxa"/>
          </w:tcPr>
          <w:p w14:paraId="76ED685D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947</w:t>
            </w:r>
          </w:p>
        </w:tc>
        <w:tc>
          <w:tcPr>
            <w:tcW w:w="1502" w:type="dxa"/>
          </w:tcPr>
          <w:p w14:paraId="0CC9AF26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1300</w:t>
            </w:r>
          </w:p>
        </w:tc>
      </w:tr>
      <w:tr w:rsidR="00BA42E7" w:rsidRPr="00BA42E7" w14:paraId="7D8708E8" w14:textId="77777777" w:rsidTr="0066228B">
        <w:tc>
          <w:tcPr>
            <w:tcW w:w="1283" w:type="dxa"/>
          </w:tcPr>
          <w:p w14:paraId="2F5CDC4B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Control</w:t>
            </w:r>
          </w:p>
        </w:tc>
        <w:tc>
          <w:tcPr>
            <w:tcW w:w="418" w:type="dxa"/>
          </w:tcPr>
          <w:p w14:paraId="187BED82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655359E8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574</w:t>
            </w:r>
          </w:p>
        </w:tc>
        <w:tc>
          <w:tcPr>
            <w:tcW w:w="1501" w:type="dxa"/>
          </w:tcPr>
          <w:p w14:paraId="49AD16A3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691</w:t>
            </w:r>
          </w:p>
        </w:tc>
        <w:tc>
          <w:tcPr>
            <w:tcW w:w="1501" w:type="dxa"/>
          </w:tcPr>
          <w:p w14:paraId="104A40A3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800</w:t>
            </w:r>
          </w:p>
        </w:tc>
        <w:tc>
          <w:tcPr>
            <w:tcW w:w="1501" w:type="dxa"/>
          </w:tcPr>
          <w:p w14:paraId="0B9E6364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954</w:t>
            </w:r>
          </w:p>
        </w:tc>
        <w:tc>
          <w:tcPr>
            <w:tcW w:w="1502" w:type="dxa"/>
          </w:tcPr>
          <w:p w14:paraId="5657B351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1312</w:t>
            </w:r>
          </w:p>
        </w:tc>
      </w:tr>
      <w:tr w:rsidR="00E108F0" w:rsidRPr="00BA42E7" w14:paraId="69B45A86" w14:textId="77777777" w:rsidTr="0066228B">
        <w:tc>
          <w:tcPr>
            <w:tcW w:w="1283" w:type="dxa"/>
            <w:tcBorders>
              <w:bottom w:val="single" w:sz="4" w:space="0" w:color="auto"/>
            </w:tcBorders>
          </w:tcPr>
          <w:p w14:paraId="406DAE5B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Difference</w:t>
            </w: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4AC6BF7C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45ACDD80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3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13BA4F18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3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6D790C28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57D43C76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-7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0420644C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-12</w:t>
            </w:r>
          </w:p>
        </w:tc>
      </w:tr>
    </w:tbl>
    <w:p w14:paraId="4701B93F" w14:textId="77777777" w:rsidR="00E108F0" w:rsidRPr="00BA42E7" w:rsidRDefault="00E108F0" w:rsidP="00E108F0">
      <w:pPr>
        <w:spacing w:line="480" w:lineRule="auto"/>
        <w:ind w:left="567" w:hanging="567"/>
        <w:rPr>
          <w:b/>
          <w:bCs/>
          <w:lang w:val="en-US"/>
        </w:rPr>
      </w:pPr>
    </w:p>
    <w:p w14:paraId="282C7550" w14:textId="77777777" w:rsidR="00E108F0" w:rsidRPr="00BA42E7" w:rsidRDefault="00E108F0" w:rsidP="00E108F0">
      <w:pPr>
        <w:spacing w:line="480" w:lineRule="auto"/>
        <w:ind w:left="567" w:hanging="567"/>
        <w:rPr>
          <w:lang w:val="en-US"/>
        </w:rPr>
      </w:pPr>
    </w:p>
    <w:p w14:paraId="4C9D4638" w14:textId="77777777" w:rsidR="00E108F0" w:rsidRPr="00BA42E7" w:rsidRDefault="00E108F0" w:rsidP="00E108F0">
      <w:r w:rsidRPr="00BA42E7">
        <w:br w:type="page"/>
      </w:r>
    </w:p>
    <w:p w14:paraId="04657DF2" w14:textId="1779F303" w:rsidR="002A3C59" w:rsidRDefault="00E108F0" w:rsidP="00E108F0">
      <w:pPr>
        <w:spacing w:line="480" w:lineRule="auto"/>
        <w:rPr>
          <w:b/>
          <w:bCs/>
          <w:lang w:val="en-US"/>
        </w:rPr>
      </w:pPr>
      <w:r w:rsidRPr="00BA42E7">
        <w:rPr>
          <w:b/>
          <w:bCs/>
          <w:lang w:val="en-US"/>
        </w:rPr>
        <w:lastRenderedPageBreak/>
        <w:t>Supplementary Table 2</w:t>
      </w:r>
    </w:p>
    <w:p w14:paraId="489BA91C" w14:textId="449D5C7E" w:rsidR="00E108F0" w:rsidRDefault="00E108F0" w:rsidP="00E108F0">
      <w:pPr>
        <w:spacing w:line="480" w:lineRule="auto"/>
        <w:rPr>
          <w:i/>
          <w:iCs/>
          <w:lang w:val="en-US"/>
        </w:rPr>
      </w:pPr>
      <w:r w:rsidRPr="002A3C59">
        <w:rPr>
          <w:i/>
          <w:iCs/>
          <w:lang w:val="en-US"/>
        </w:rPr>
        <w:t>Mean RTs for condition for each quantile in Experiment</w:t>
      </w:r>
      <w:r w:rsidR="00DF2016" w:rsidRPr="002A3C59">
        <w:rPr>
          <w:i/>
          <w:iCs/>
          <w:lang w:val="en-US"/>
        </w:rPr>
        <w:t>s</w:t>
      </w:r>
      <w:r w:rsidRPr="002A3C59">
        <w:rPr>
          <w:i/>
          <w:iCs/>
          <w:lang w:val="en-US"/>
        </w:rPr>
        <w:t xml:space="preserve"> 2A (single</w:t>
      </w:r>
      <w:r w:rsidR="00DF2016" w:rsidRPr="002A3C59">
        <w:rPr>
          <w:i/>
          <w:iCs/>
          <w:lang w:val="en-US"/>
        </w:rPr>
        <w:t>-</w:t>
      </w:r>
      <w:r w:rsidRPr="002A3C59">
        <w:rPr>
          <w:i/>
          <w:iCs/>
          <w:lang w:val="en-US"/>
        </w:rPr>
        <w:t>task procedure) and 2B (dual</w:t>
      </w:r>
      <w:r w:rsidR="00DF2016" w:rsidRPr="002A3C59">
        <w:rPr>
          <w:i/>
          <w:iCs/>
          <w:lang w:val="en-US"/>
        </w:rPr>
        <w:t>-</w:t>
      </w:r>
      <w:r w:rsidRPr="002A3C59">
        <w:rPr>
          <w:i/>
          <w:iCs/>
          <w:lang w:val="en-US"/>
        </w:rPr>
        <w:t>task procedure).</w:t>
      </w:r>
    </w:p>
    <w:p w14:paraId="63F234B9" w14:textId="77777777" w:rsidR="002A3C59" w:rsidRPr="002A3C59" w:rsidRDefault="002A3C59" w:rsidP="00E108F0">
      <w:pPr>
        <w:spacing w:line="480" w:lineRule="auto"/>
        <w:rPr>
          <w:i/>
          <w:iCs/>
          <w:lang w:val="en-US"/>
        </w:rPr>
      </w:pPr>
    </w:p>
    <w:tbl>
      <w:tblPr>
        <w:tblStyle w:val="Grigliatabell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418"/>
        <w:gridCol w:w="1355"/>
        <w:gridCol w:w="1501"/>
        <w:gridCol w:w="1501"/>
        <w:gridCol w:w="1501"/>
        <w:gridCol w:w="1502"/>
      </w:tblGrid>
      <w:tr w:rsidR="00BA42E7" w:rsidRPr="00BA42E7" w14:paraId="7F504C03" w14:textId="77777777" w:rsidTr="0066228B"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16B37E0D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Condition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7EF77B41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7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407834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Quantiles</w:t>
            </w:r>
          </w:p>
        </w:tc>
      </w:tr>
      <w:tr w:rsidR="00BA42E7" w:rsidRPr="00BA42E7" w14:paraId="24ED49DE" w14:textId="77777777" w:rsidTr="0066228B"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681094C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5F4E8C56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14:paraId="636AB660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0FE379BD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24C1FA9D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40B8204B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72BBAD1E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</w:t>
            </w:r>
          </w:p>
        </w:tc>
      </w:tr>
      <w:tr w:rsidR="00BA42E7" w:rsidRPr="00BA42E7" w14:paraId="5CB82A17" w14:textId="77777777" w:rsidTr="0066228B">
        <w:tc>
          <w:tcPr>
            <w:tcW w:w="1283" w:type="dxa"/>
            <w:tcBorders>
              <w:top w:val="single" w:sz="4" w:space="0" w:color="auto"/>
            </w:tcBorders>
          </w:tcPr>
          <w:p w14:paraId="3E3787C4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736033EE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7360" w:type="dxa"/>
            <w:gridSpan w:val="5"/>
            <w:tcBorders>
              <w:top w:val="single" w:sz="4" w:space="0" w:color="auto"/>
            </w:tcBorders>
          </w:tcPr>
          <w:p w14:paraId="4CB52779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Single Task</w:t>
            </w:r>
          </w:p>
        </w:tc>
      </w:tr>
      <w:tr w:rsidR="00BA42E7" w:rsidRPr="00BA42E7" w14:paraId="5C079D9B" w14:textId="77777777" w:rsidTr="0066228B">
        <w:tc>
          <w:tcPr>
            <w:tcW w:w="1283" w:type="dxa"/>
          </w:tcPr>
          <w:p w14:paraId="2033AC18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Semantic</w:t>
            </w:r>
          </w:p>
        </w:tc>
        <w:tc>
          <w:tcPr>
            <w:tcW w:w="418" w:type="dxa"/>
          </w:tcPr>
          <w:p w14:paraId="795DD23B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1F572682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461</w:t>
            </w:r>
          </w:p>
        </w:tc>
        <w:tc>
          <w:tcPr>
            <w:tcW w:w="1501" w:type="dxa"/>
          </w:tcPr>
          <w:p w14:paraId="6D6D137A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556</w:t>
            </w:r>
          </w:p>
        </w:tc>
        <w:tc>
          <w:tcPr>
            <w:tcW w:w="1501" w:type="dxa"/>
          </w:tcPr>
          <w:p w14:paraId="0C912FC0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628</w:t>
            </w:r>
          </w:p>
        </w:tc>
        <w:tc>
          <w:tcPr>
            <w:tcW w:w="1501" w:type="dxa"/>
          </w:tcPr>
          <w:p w14:paraId="38E1991D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723</w:t>
            </w:r>
          </w:p>
        </w:tc>
        <w:tc>
          <w:tcPr>
            <w:tcW w:w="1502" w:type="dxa"/>
          </w:tcPr>
          <w:p w14:paraId="41BBC880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944</w:t>
            </w:r>
          </w:p>
        </w:tc>
      </w:tr>
      <w:tr w:rsidR="00BA42E7" w:rsidRPr="00BA42E7" w14:paraId="5833898D" w14:textId="77777777" w:rsidTr="0066228B">
        <w:tc>
          <w:tcPr>
            <w:tcW w:w="1283" w:type="dxa"/>
          </w:tcPr>
          <w:p w14:paraId="2B362B9C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Control</w:t>
            </w:r>
          </w:p>
        </w:tc>
        <w:tc>
          <w:tcPr>
            <w:tcW w:w="418" w:type="dxa"/>
          </w:tcPr>
          <w:p w14:paraId="5833D384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5746529B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460</w:t>
            </w:r>
          </w:p>
        </w:tc>
        <w:tc>
          <w:tcPr>
            <w:tcW w:w="1501" w:type="dxa"/>
          </w:tcPr>
          <w:p w14:paraId="3FDBF47A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552</w:t>
            </w:r>
          </w:p>
        </w:tc>
        <w:tc>
          <w:tcPr>
            <w:tcW w:w="1501" w:type="dxa"/>
          </w:tcPr>
          <w:p w14:paraId="743EC2EF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620</w:t>
            </w:r>
          </w:p>
        </w:tc>
        <w:tc>
          <w:tcPr>
            <w:tcW w:w="1501" w:type="dxa"/>
          </w:tcPr>
          <w:p w14:paraId="26C94A21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707</w:t>
            </w:r>
          </w:p>
        </w:tc>
        <w:tc>
          <w:tcPr>
            <w:tcW w:w="1502" w:type="dxa"/>
          </w:tcPr>
          <w:p w14:paraId="132D9ED8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927</w:t>
            </w:r>
          </w:p>
        </w:tc>
      </w:tr>
      <w:tr w:rsidR="00BA42E7" w:rsidRPr="00BA42E7" w14:paraId="4B44DE9C" w14:textId="77777777" w:rsidTr="0066228B">
        <w:tc>
          <w:tcPr>
            <w:tcW w:w="1283" w:type="dxa"/>
          </w:tcPr>
          <w:p w14:paraId="4C30D232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Difference</w:t>
            </w:r>
          </w:p>
        </w:tc>
        <w:tc>
          <w:tcPr>
            <w:tcW w:w="418" w:type="dxa"/>
          </w:tcPr>
          <w:p w14:paraId="07FC9831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006742FB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</w:t>
            </w:r>
          </w:p>
        </w:tc>
        <w:tc>
          <w:tcPr>
            <w:tcW w:w="1501" w:type="dxa"/>
          </w:tcPr>
          <w:p w14:paraId="14814CFC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</w:t>
            </w:r>
          </w:p>
        </w:tc>
        <w:tc>
          <w:tcPr>
            <w:tcW w:w="1501" w:type="dxa"/>
          </w:tcPr>
          <w:p w14:paraId="3F73230F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8</w:t>
            </w:r>
          </w:p>
        </w:tc>
        <w:tc>
          <w:tcPr>
            <w:tcW w:w="1501" w:type="dxa"/>
          </w:tcPr>
          <w:p w14:paraId="3F14D18B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16</w:t>
            </w:r>
          </w:p>
        </w:tc>
        <w:tc>
          <w:tcPr>
            <w:tcW w:w="1502" w:type="dxa"/>
          </w:tcPr>
          <w:p w14:paraId="1CB79E69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17</w:t>
            </w:r>
          </w:p>
        </w:tc>
      </w:tr>
      <w:tr w:rsidR="00BA42E7" w:rsidRPr="00BA42E7" w14:paraId="4C3EA2C9" w14:textId="77777777" w:rsidTr="0066228B">
        <w:tc>
          <w:tcPr>
            <w:tcW w:w="1283" w:type="dxa"/>
          </w:tcPr>
          <w:p w14:paraId="2C1CF6EA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418" w:type="dxa"/>
          </w:tcPr>
          <w:p w14:paraId="6E394C97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7360" w:type="dxa"/>
            <w:gridSpan w:val="5"/>
          </w:tcPr>
          <w:p w14:paraId="273C380A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Dual Task</w:t>
            </w:r>
          </w:p>
        </w:tc>
      </w:tr>
      <w:tr w:rsidR="00BA42E7" w:rsidRPr="00BA42E7" w14:paraId="7A278925" w14:textId="77777777" w:rsidTr="0066228B">
        <w:tc>
          <w:tcPr>
            <w:tcW w:w="1283" w:type="dxa"/>
          </w:tcPr>
          <w:p w14:paraId="19F7D9FB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Semantic</w:t>
            </w:r>
          </w:p>
        </w:tc>
        <w:tc>
          <w:tcPr>
            <w:tcW w:w="418" w:type="dxa"/>
          </w:tcPr>
          <w:p w14:paraId="5472274F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3A5AD339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556</w:t>
            </w:r>
          </w:p>
        </w:tc>
        <w:tc>
          <w:tcPr>
            <w:tcW w:w="1501" w:type="dxa"/>
          </w:tcPr>
          <w:p w14:paraId="4965FD29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658</w:t>
            </w:r>
          </w:p>
        </w:tc>
        <w:tc>
          <w:tcPr>
            <w:tcW w:w="1501" w:type="dxa"/>
          </w:tcPr>
          <w:p w14:paraId="68ADE45C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743</w:t>
            </w:r>
          </w:p>
        </w:tc>
        <w:tc>
          <w:tcPr>
            <w:tcW w:w="1501" w:type="dxa"/>
          </w:tcPr>
          <w:p w14:paraId="721E8EC9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854</w:t>
            </w:r>
          </w:p>
        </w:tc>
        <w:tc>
          <w:tcPr>
            <w:tcW w:w="1502" w:type="dxa"/>
          </w:tcPr>
          <w:p w14:paraId="1958AE68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1081</w:t>
            </w:r>
          </w:p>
        </w:tc>
      </w:tr>
      <w:tr w:rsidR="00BA42E7" w:rsidRPr="00BA42E7" w14:paraId="4F7FA1A3" w14:textId="77777777" w:rsidTr="0066228B">
        <w:tc>
          <w:tcPr>
            <w:tcW w:w="1283" w:type="dxa"/>
          </w:tcPr>
          <w:p w14:paraId="59C54793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Control</w:t>
            </w:r>
          </w:p>
        </w:tc>
        <w:tc>
          <w:tcPr>
            <w:tcW w:w="418" w:type="dxa"/>
          </w:tcPr>
          <w:p w14:paraId="0057CB6A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43236265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552</w:t>
            </w:r>
          </w:p>
        </w:tc>
        <w:tc>
          <w:tcPr>
            <w:tcW w:w="1501" w:type="dxa"/>
          </w:tcPr>
          <w:p w14:paraId="3F82A212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653</w:t>
            </w:r>
          </w:p>
        </w:tc>
        <w:tc>
          <w:tcPr>
            <w:tcW w:w="1501" w:type="dxa"/>
          </w:tcPr>
          <w:p w14:paraId="11906B8D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738</w:t>
            </w:r>
          </w:p>
        </w:tc>
        <w:tc>
          <w:tcPr>
            <w:tcW w:w="1501" w:type="dxa"/>
          </w:tcPr>
          <w:p w14:paraId="6C7ABFFC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852</w:t>
            </w:r>
          </w:p>
        </w:tc>
        <w:tc>
          <w:tcPr>
            <w:tcW w:w="1502" w:type="dxa"/>
          </w:tcPr>
          <w:p w14:paraId="3C24167E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1082</w:t>
            </w:r>
          </w:p>
        </w:tc>
      </w:tr>
      <w:tr w:rsidR="00E108F0" w:rsidRPr="00BA42E7" w14:paraId="10D6FBC4" w14:textId="77777777" w:rsidTr="0066228B">
        <w:tc>
          <w:tcPr>
            <w:tcW w:w="1283" w:type="dxa"/>
            <w:tcBorders>
              <w:bottom w:val="single" w:sz="4" w:space="0" w:color="auto"/>
            </w:tcBorders>
          </w:tcPr>
          <w:p w14:paraId="6E68B717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Difference</w:t>
            </w: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4244D522" w14:textId="77777777" w:rsidR="00E108F0" w:rsidRPr="00BA42E7" w:rsidRDefault="00E108F0" w:rsidP="00B9118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65B142DB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5C5EACAA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3712DF2F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6A08D75A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2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703A8A42" w14:textId="77777777" w:rsidR="00E108F0" w:rsidRPr="00BA42E7" w:rsidRDefault="00E108F0" w:rsidP="00B9118B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-1</w:t>
            </w:r>
          </w:p>
        </w:tc>
      </w:tr>
    </w:tbl>
    <w:p w14:paraId="2285565C" w14:textId="77777777" w:rsidR="00E108F0" w:rsidRPr="00BA42E7" w:rsidRDefault="00E108F0" w:rsidP="00E108F0">
      <w:pPr>
        <w:spacing w:line="480" w:lineRule="auto"/>
        <w:rPr>
          <w:lang w:val="en-US"/>
        </w:rPr>
      </w:pPr>
    </w:p>
    <w:p w14:paraId="704EDE30" w14:textId="77777777" w:rsidR="00E108F0" w:rsidRPr="00BA42E7" w:rsidRDefault="00E108F0" w:rsidP="00E108F0">
      <w:pPr>
        <w:spacing w:line="480" w:lineRule="auto"/>
      </w:pPr>
    </w:p>
    <w:p w14:paraId="087D7CD2" w14:textId="5870C4B8" w:rsidR="001A5750" w:rsidRPr="00BA42E7" w:rsidRDefault="001A5750">
      <w:pPr>
        <w:spacing w:after="160" w:line="259" w:lineRule="auto"/>
      </w:pPr>
      <w:r w:rsidRPr="00BA42E7">
        <w:br w:type="page"/>
      </w:r>
    </w:p>
    <w:p w14:paraId="43B6CD81" w14:textId="57966354" w:rsidR="00C7424A" w:rsidRPr="00BA42E7" w:rsidRDefault="00C53577" w:rsidP="00CB3DAB">
      <w:pPr>
        <w:spacing w:line="480" w:lineRule="auto"/>
        <w:jc w:val="center"/>
        <w:rPr>
          <w:b/>
          <w:bCs/>
          <w:lang w:val="en-US"/>
        </w:rPr>
      </w:pPr>
      <w:r w:rsidRPr="00BA42E7">
        <w:rPr>
          <w:b/>
          <w:bCs/>
          <w:lang w:val="en-US"/>
        </w:rPr>
        <w:lastRenderedPageBreak/>
        <w:t>Supplementary</w:t>
      </w:r>
      <w:r w:rsidR="00C7424A" w:rsidRPr="00BA42E7">
        <w:rPr>
          <w:b/>
          <w:bCs/>
          <w:lang w:val="en-US"/>
        </w:rPr>
        <w:t xml:space="preserve"> Materials 2</w:t>
      </w:r>
    </w:p>
    <w:p w14:paraId="290A0A73" w14:textId="77777777" w:rsidR="002A3C59" w:rsidRDefault="002A3C59" w:rsidP="00CB3DAB">
      <w:pPr>
        <w:spacing w:line="480" w:lineRule="auto"/>
        <w:rPr>
          <w:b/>
          <w:bCs/>
          <w:lang w:val="en-US"/>
        </w:rPr>
      </w:pPr>
    </w:p>
    <w:p w14:paraId="2001F340" w14:textId="3C6C7D27" w:rsidR="001A5750" w:rsidRPr="00BA42E7" w:rsidRDefault="001A5750" w:rsidP="00CB3DAB">
      <w:pPr>
        <w:spacing w:line="480" w:lineRule="auto"/>
        <w:rPr>
          <w:b/>
          <w:bCs/>
          <w:lang w:val="en-US"/>
        </w:rPr>
      </w:pPr>
      <w:r w:rsidRPr="00BA42E7">
        <w:rPr>
          <w:b/>
          <w:bCs/>
          <w:lang w:val="en-US"/>
        </w:rPr>
        <w:t>Delta-plot analyses of Kinoshita et al.’s (2018) data</w:t>
      </w:r>
    </w:p>
    <w:p w14:paraId="0C32A99C" w14:textId="10D79137" w:rsidR="003B1392" w:rsidRPr="00BA42E7" w:rsidRDefault="00A169ED" w:rsidP="00CB3DAB">
      <w:pPr>
        <w:spacing w:line="480" w:lineRule="auto"/>
        <w:rPr>
          <w:b/>
          <w:bCs/>
          <w:lang w:val="en-US"/>
        </w:rPr>
      </w:pPr>
      <w:r w:rsidRPr="00BA42E7">
        <w:rPr>
          <w:lang w:val="en-US"/>
        </w:rPr>
        <w:t>Before reporting our delta-plot analyses, we briefly summarize Kinoshita et al</w:t>
      </w:r>
      <w:r w:rsidR="00DF2016">
        <w:rPr>
          <w:lang w:val="en-US"/>
        </w:rPr>
        <w:t>.</w:t>
      </w:r>
      <w:r w:rsidRPr="00BA42E7">
        <w:rPr>
          <w:lang w:val="en-US"/>
        </w:rPr>
        <w:t>’s experiments. For all the details the reader may directly refer to the original article.</w:t>
      </w:r>
    </w:p>
    <w:p w14:paraId="6D33E8BD" w14:textId="2F4BDB8E" w:rsidR="008D12A4" w:rsidRPr="00BA42E7" w:rsidRDefault="008D12A4" w:rsidP="00CB3DAB">
      <w:pPr>
        <w:spacing w:line="480" w:lineRule="auto"/>
        <w:rPr>
          <w:b/>
          <w:bCs/>
          <w:lang w:val="en-US"/>
        </w:rPr>
      </w:pPr>
      <w:r w:rsidRPr="00BA42E7">
        <w:rPr>
          <w:b/>
          <w:bCs/>
          <w:lang w:val="en-US"/>
        </w:rPr>
        <w:t>Experiment 2</w:t>
      </w:r>
    </w:p>
    <w:p w14:paraId="0CF7BB62" w14:textId="117FF2CB" w:rsidR="00D678A4" w:rsidRPr="00BA42E7" w:rsidRDefault="008D12A4" w:rsidP="00CB3DAB">
      <w:pPr>
        <w:spacing w:line="480" w:lineRule="auto"/>
        <w:rPr>
          <w:lang w:val="en-US"/>
        </w:rPr>
      </w:pPr>
      <w:r w:rsidRPr="00BA42E7">
        <w:rPr>
          <w:lang w:val="en-US"/>
        </w:rPr>
        <w:t xml:space="preserve">Three experimental conditions were used: color associated words – i.e., words associated with one of the response colors (e.g., </w:t>
      </w:r>
      <w:r w:rsidR="00281B2A" w:rsidRPr="00BA42E7">
        <w:rPr>
          <w:i/>
          <w:iCs/>
          <w:lang w:val="en-US"/>
        </w:rPr>
        <w:t>lemon</w:t>
      </w:r>
      <w:r w:rsidRPr="00BA42E7">
        <w:rPr>
          <w:lang w:val="en-US"/>
        </w:rPr>
        <w:t>)</w:t>
      </w:r>
      <w:r w:rsidR="00C955B4" w:rsidRPr="00BA42E7">
        <w:rPr>
          <w:lang w:val="en-US"/>
        </w:rPr>
        <w:t xml:space="preserve"> </w:t>
      </w:r>
      <w:r w:rsidR="002A3C59" w:rsidRPr="00BA42E7">
        <w:rPr>
          <w:lang w:val="en-US"/>
        </w:rPr>
        <w:t>–, control</w:t>
      </w:r>
      <w:r w:rsidRPr="00BA42E7">
        <w:rPr>
          <w:lang w:val="en-US"/>
        </w:rPr>
        <w:t xml:space="preserve"> words</w:t>
      </w:r>
      <w:r w:rsidR="00C955B4" w:rsidRPr="00BA42E7">
        <w:rPr>
          <w:lang w:val="en-US"/>
        </w:rPr>
        <w:t xml:space="preserve"> – i.e., words not associated with any color</w:t>
      </w:r>
      <w:r w:rsidRPr="00BA42E7">
        <w:rPr>
          <w:lang w:val="en-US"/>
        </w:rPr>
        <w:t xml:space="preserve"> (</w:t>
      </w:r>
      <w:r w:rsidR="00C955B4" w:rsidRPr="00BA42E7">
        <w:rPr>
          <w:lang w:val="en-US"/>
        </w:rPr>
        <w:t xml:space="preserve">e.g., </w:t>
      </w:r>
      <w:r w:rsidR="00281B2A" w:rsidRPr="00BA42E7">
        <w:rPr>
          <w:i/>
          <w:iCs/>
          <w:lang w:val="en-US"/>
        </w:rPr>
        <w:t>mercy</w:t>
      </w:r>
      <w:r w:rsidRPr="00BA42E7">
        <w:rPr>
          <w:lang w:val="en-US"/>
        </w:rPr>
        <w:t>)</w:t>
      </w:r>
      <w:r w:rsidR="00C955B4" w:rsidRPr="00BA42E7">
        <w:rPr>
          <w:lang w:val="en-US"/>
        </w:rPr>
        <w:t xml:space="preserve"> –, and neutral strings – i.e., strings of #. Stimuli were presented in </w:t>
      </w:r>
      <w:r w:rsidR="0044139B" w:rsidRPr="00BA42E7">
        <w:rPr>
          <w:lang w:val="en-US"/>
        </w:rPr>
        <w:t>four colors: Red, yellow, green, and blue</w:t>
      </w:r>
      <w:r w:rsidR="0003485A" w:rsidRPr="00BA42E7">
        <w:rPr>
          <w:lang w:val="en-US"/>
        </w:rPr>
        <w:t>, and participants were asked to categorize the color in which the stimuli were presented</w:t>
      </w:r>
      <w:r w:rsidR="00281B2A" w:rsidRPr="00BA42E7">
        <w:rPr>
          <w:lang w:val="en-US"/>
        </w:rPr>
        <w:t xml:space="preserve"> manually, i.e., by button press</w:t>
      </w:r>
      <w:r w:rsidR="0003485A" w:rsidRPr="00BA42E7">
        <w:rPr>
          <w:lang w:val="en-US"/>
        </w:rPr>
        <w:t>.</w:t>
      </w:r>
      <w:r w:rsidR="00D678A4" w:rsidRPr="00BA42E7">
        <w:rPr>
          <w:lang w:val="en-US"/>
        </w:rPr>
        <w:t xml:space="preserve"> </w:t>
      </w:r>
    </w:p>
    <w:p w14:paraId="6917C215" w14:textId="77777777" w:rsidR="002A3C59" w:rsidRDefault="00D678A4" w:rsidP="00F76184">
      <w:pPr>
        <w:spacing w:line="480" w:lineRule="auto"/>
        <w:ind w:firstLine="708"/>
        <w:rPr>
          <w:color w:val="0070C0"/>
          <w:lang w:val="en-US"/>
        </w:rPr>
      </w:pPr>
      <w:r w:rsidRPr="00BA42E7">
        <w:rPr>
          <w:lang w:val="en-US"/>
        </w:rPr>
        <w:t>Two different list</w:t>
      </w:r>
      <w:r w:rsidR="00D11CDA" w:rsidRPr="00BA42E7">
        <w:rPr>
          <w:lang w:val="en-US"/>
        </w:rPr>
        <w:t>s</w:t>
      </w:r>
      <w:r w:rsidRPr="00BA42E7">
        <w:rPr>
          <w:lang w:val="en-US"/>
        </w:rPr>
        <w:t xml:space="preserve"> were used</w:t>
      </w:r>
      <w:r w:rsidR="00BE46A5">
        <w:rPr>
          <w:lang w:val="en-US"/>
        </w:rPr>
        <w:t>.</w:t>
      </w:r>
      <w:r w:rsidR="00BE46A5" w:rsidRPr="00BA42E7">
        <w:rPr>
          <w:lang w:val="en-US"/>
        </w:rPr>
        <w:t xml:space="preserve"> </w:t>
      </w:r>
      <w:r w:rsidR="00BE46A5" w:rsidRPr="002A3C59">
        <w:rPr>
          <w:color w:val="0070C0"/>
          <w:lang w:val="en-US"/>
        </w:rPr>
        <w:t xml:space="preserve">In the </w:t>
      </w:r>
      <w:r w:rsidR="00D11CDA" w:rsidRPr="002A3C59">
        <w:rPr>
          <w:color w:val="0070C0"/>
          <w:lang w:val="en-US"/>
        </w:rPr>
        <w:t xml:space="preserve">high-neutral </w:t>
      </w:r>
      <w:r w:rsidR="00E50182" w:rsidRPr="002A3C59">
        <w:rPr>
          <w:color w:val="0070C0"/>
          <w:lang w:val="en-US"/>
        </w:rPr>
        <w:t xml:space="preserve">proportion </w:t>
      </w:r>
      <w:r w:rsidR="00D11CDA" w:rsidRPr="002A3C59">
        <w:rPr>
          <w:color w:val="0070C0"/>
          <w:lang w:val="en-US"/>
        </w:rPr>
        <w:t>list</w:t>
      </w:r>
      <w:r w:rsidR="00E50182" w:rsidRPr="002A3C59">
        <w:rPr>
          <w:color w:val="0070C0"/>
          <w:lang w:val="en-US"/>
        </w:rPr>
        <w:t>,</w:t>
      </w:r>
      <w:r w:rsidR="00D11CDA" w:rsidRPr="002A3C59">
        <w:rPr>
          <w:color w:val="0070C0"/>
          <w:lang w:val="en-US"/>
        </w:rPr>
        <w:t xml:space="preserve"> neutral </w:t>
      </w:r>
      <w:r w:rsidR="00BE46A5" w:rsidRPr="002A3C59">
        <w:rPr>
          <w:color w:val="0070C0"/>
          <w:lang w:val="en-US"/>
        </w:rPr>
        <w:t xml:space="preserve">stimuli occurred </w:t>
      </w:r>
      <w:r w:rsidR="0003387C" w:rsidRPr="002A3C59">
        <w:rPr>
          <w:color w:val="0070C0"/>
          <w:lang w:val="en-US"/>
        </w:rPr>
        <w:t>o</w:t>
      </w:r>
      <w:r w:rsidR="00BE46A5" w:rsidRPr="002A3C59">
        <w:rPr>
          <w:color w:val="0070C0"/>
          <w:lang w:val="en-US"/>
        </w:rPr>
        <w:t xml:space="preserve">n </w:t>
      </w:r>
      <w:r w:rsidRPr="002A3C59">
        <w:rPr>
          <w:color w:val="0070C0"/>
          <w:lang w:val="en-US"/>
        </w:rPr>
        <w:t>75%</w:t>
      </w:r>
      <w:r w:rsidR="00D11CDA" w:rsidRPr="002A3C59">
        <w:rPr>
          <w:color w:val="0070C0"/>
          <w:lang w:val="en-US"/>
        </w:rPr>
        <w:t xml:space="preserve"> of the </w:t>
      </w:r>
      <w:r w:rsidR="00BE46A5" w:rsidRPr="002A3C59">
        <w:rPr>
          <w:color w:val="0070C0"/>
          <w:lang w:val="en-US"/>
        </w:rPr>
        <w:t>trials</w:t>
      </w:r>
      <w:r w:rsidR="00E50182" w:rsidRPr="002A3C59">
        <w:rPr>
          <w:color w:val="0070C0"/>
          <w:lang w:val="en-US"/>
        </w:rPr>
        <w:t>,</w:t>
      </w:r>
      <w:r w:rsidR="00D11CDA" w:rsidRPr="002A3C59">
        <w:rPr>
          <w:color w:val="0070C0"/>
          <w:lang w:val="en-US"/>
        </w:rPr>
        <w:t xml:space="preserve"> </w:t>
      </w:r>
      <w:r w:rsidR="00BE46A5" w:rsidRPr="002A3C59">
        <w:rPr>
          <w:color w:val="0070C0"/>
          <w:lang w:val="en-US"/>
        </w:rPr>
        <w:t>whereas in the</w:t>
      </w:r>
      <w:r w:rsidR="00D11CDA" w:rsidRPr="002A3C59">
        <w:rPr>
          <w:color w:val="0070C0"/>
          <w:lang w:val="en-US"/>
        </w:rPr>
        <w:t xml:space="preserve"> low-neutral </w:t>
      </w:r>
      <w:r w:rsidR="00E50182" w:rsidRPr="002A3C59">
        <w:rPr>
          <w:color w:val="0070C0"/>
          <w:lang w:val="en-US"/>
        </w:rPr>
        <w:t xml:space="preserve">proportion </w:t>
      </w:r>
      <w:r w:rsidR="00D11CDA" w:rsidRPr="002A3C59">
        <w:rPr>
          <w:color w:val="0070C0"/>
          <w:lang w:val="en-US"/>
        </w:rPr>
        <w:t>list</w:t>
      </w:r>
      <w:r w:rsidR="00E50182" w:rsidRPr="002A3C59">
        <w:rPr>
          <w:color w:val="0070C0"/>
          <w:lang w:val="en-US"/>
        </w:rPr>
        <w:t xml:space="preserve">, </w:t>
      </w:r>
      <w:r w:rsidR="00D11CDA" w:rsidRPr="002A3C59">
        <w:rPr>
          <w:color w:val="0070C0"/>
          <w:lang w:val="en-US"/>
        </w:rPr>
        <w:t xml:space="preserve">neutral trials </w:t>
      </w:r>
      <w:r w:rsidR="00BE46A5" w:rsidRPr="002A3C59">
        <w:rPr>
          <w:color w:val="0070C0"/>
          <w:lang w:val="en-US"/>
        </w:rPr>
        <w:t xml:space="preserve">appeared </w:t>
      </w:r>
      <w:r w:rsidR="0003387C" w:rsidRPr="002A3C59">
        <w:rPr>
          <w:color w:val="0070C0"/>
          <w:lang w:val="en-US"/>
        </w:rPr>
        <w:t>o</w:t>
      </w:r>
      <w:r w:rsidR="00BE46A5" w:rsidRPr="002A3C59">
        <w:rPr>
          <w:color w:val="0070C0"/>
          <w:lang w:val="en-US"/>
        </w:rPr>
        <w:t xml:space="preserve">n </w:t>
      </w:r>
      <w:r w:rsidR="00D11CDA" w:rsidRPr="002A3C59">
        <w:rPr>
          <w:color w:val="0070C0"/>
          <w:lang w:val="en-US"/>
        </w:rPr>
        <w:t xml:space="preserve">25% of the </w:t>
      </w:r>
      <w:r w:rsidR="00BE46A5" w:rsidRPr="002A3C59">
        <w:rPr>
          <w:color w:val="0070C0"/>
          <w:lang w:val="en-US"/>
        </w:rPr>
        <w:t>trials</w:t>
      </w:r>
      <w:r w:rsidR="00D11CDA" w:rsidRPr="002A3C59">
        <w:rPr>
          <w:color w:val="0070C0"/>
          <w:lang w:val="en-US"/>
        </w:rPr>
        <w:t xml:space="preserve">. </w:t>
      </w:r>
      <w:r w:rsidR="005A0B59" w:rsidRPr="002A3C59">
        <w:rPr>
          <w:color w:val="0070C0"/>
          <w:lang w:val="en-US"/>
        </w:rPr>
        <w:t xml:space="preserve">Note that the two lists </w:t>
      </w:r>
      <w:r w:rsidR="00BE46A5" w:rsidRPr="002A3C59">
        <w:rPr>
          <w:color w:val="0070C0"/>
          <w:lang w:val="en-US"/>
        </w:rPr>
        <w:t>featured</w:t>
      </w:r>
      <w:r w:rsidR="005A0B59" w:rsidRPr="002A3C59">
        <w:rPr>
          <w:color w:val="0070C0"/>
          <w:lang w:val="en-US"/>
        </w:rPr>
        <w:t xml:space="preserve"> different proportions of the different types of conflict</w:t>
      </w:r>
      <w:r w:rsidR="00BE46A5" w:rsidRPr="002A3C59">
        <w:rPr>
          <w:color w:val="0070C0"/>
          <w:lang w:val="en-US"/>
        </w:rPr>
        <w:t xml:space="preserve"> involved</w:t>
      </w:r>
      <w:r w:rsidR="005A0B59" w:rsidRPr="002A3C59">
        <w:rPr>
          <w:color w:val="0070C0"/>
          <w:lang w:val="en-US"/>
        </w:rPr>
        <w:t>. Specifically, in the 25%-neutral condition, 25% of the trials (the neutral ones) involve strings of non-alphabetic characters (######), which do not trigger any type of conflict. Next, 37.5% of the trials involve color-unrelated words (e.g., MERCY), which trigger only task conflict. Finally, the remaining 37.5% of the trials involve color-associated words (e.g., SKY), which trigger both task and semantic conflict. In contrast, in the 75%-neutral condition, 75% of the trials are neutral (i.e., #####) and do not trigger any type of conflict</w:t>
      </w:r>
      <w:r w:rsidR="0003387C" w:rsidRPr="002A3C59">
        <w:rPr>
          <w:color w:val="0070C0"/>
          <w:lang w:val="en-US"/>
        </w:rPr>
        <w:t>. Next</w:t>
      </w:r>
      <w:r w:rsidR="005A0B59" w:rsidRPr="002A3C59">
        <w:rPr>
          <w:color w:val="0070C0"/>
          <w:lang w:val="en-US"/>
        </w:rPr>
        <w:t xml:space="preserve">, 12.5% of the trials involve color-unrelated words (e.g., MERCY) and thus trigger only task conflict. Finally, the remaining 12.5% of the trials are color-associated words (e.g., SKY) and trigger both task and semantic conflict. </w:t>
      </w:r>
    </w:p>
    <w:p w14:paraId="274F4E86" w14:textId="438E71D8" w:rsidR="008D12A4" w:rsidRPr="002A3C59" w:rsidRDefault="005A0B59" w:rsidP="00F76184">
      <w:pPr>
        <w:spacing w:line="480" w:lineRule="auto"/>
        <w:ind w:firstLine="708"/>
        <w:rPr>
          <w:color w:val="0070C0"/>
          <w:lang w:val="en-US"/>
        </w:rPr>
      </w:pPr>
      <w:r w:rsidRPr="002A3C59">
        <w:rPr>
          <w:color w:val="0070C0"/>
          <w:lang w:val="en-US"/>
        </w:rPr>
        <w:t>In sum, the 25% and the 75% neutral condition clearl</w:t>
      </w:r>
      <w:r w:rsidR="00911723" w:rsidRPr="002A3C59">
        <w:rPr>
          <w:color w:val="0070C0"/>
          <w:lang w:val="en-US"/>
        </w:rPr>
        <w:t>y</w:t>
      </w:r>
      <w:r w:rsidRPr="002A3C59">
        <w:rPr>
          <w:color w:val="0070C0"/>
          <w:lang w:val="en-US"/>
        </w:rPr>
        <w:t xml:space="preserve"> involve different proportions of trials in which </w:t>
      </w:r>
      <w:r w:rsidR="0003387C" w:rsidRPr="002A3C59">
        <w:rPr>
          <w:color w:val="0070C0"/>
          <w:lang w:val="en-US"/>
        </w:rPr>
        <w:t xml:space="preserve">any type of conflict occurs (i.e., 75% in the 25%-neutral condition vs. only 25% in the 75% neutral condition) and in which </w:t>
      </w:r>
      <w:r w:rsidRPr="002A3C59">
        <w:rPr>
          <w:color w:val="0070C0"/>
          <w:lang w:val="en-US"/>
        </w:rPr>
        <w:t>semantic conflict occurs</w:t>
      </w:r>
      <w:r w:rsidR="0003387C" w:rsidRPr="002A3C59">
        <w:rPr>
          <w:color w:val="0070C0"/>
          <w:lang w:val="en-US"/>
        </w:rPr>
        <w:t xml:space="preserve"> (i.e., </w:t>
      </w:r>
      <w:r w:rsidRPr="002A3C59">
        <w:rPr>
          <w:color w:val="0070C0"/>
          <w:lang w:val="en-US"/>
        </w:rPr>
        <w:t>37.5% of trials in the 25%-neutral condition vs only 12.5% of trials in the 75%-neutral condition</w:t>
      </w:r>
      <w:r w:rsidR="0003387C" w:rsidRPr="002A3C59">
        <w:rPr>
          <w:color w:val="0070C0"/>
          <w:lang w:val="en-US"/>
        </w:rPr>
        <w:t>)</w:t>
      </w:r>
      <w:r w:rsidRPr="002A3C59">
        <w:rPr>
          <w:color w:val="0070C0"/>
          <w:lang w:val="en-US"/>
        </w:rPr>
        <w:t>.</w:t>
      </w:r>
      <w:r w:rsidR="00911723" w:rsidRPr="002A3C59">
        <w:rPr>
          <w:color w:val="0070C0"/>
          <w:lang w:val="en-US"/>
        </w:rPr>
        <w:t xml:space="preserve"> On the basis of these </w:t>
      </w:r>
      <w:r w:rsidR="00BD1B31" w:rsidRPr="002A3C59">
        <w:rPr>
          <w:color w:val="0070C0"/>
          <w:lang w:val="en-US"/>
        </w:rPr>
        <w:lastRenderedPageBreak/>
        <w:t>characteristics</w:t>
      </w:r>
      <w:r w:rsidR="00D11CDA" w:rsidRPr="002A3C59">
        <w:rPr>
          <w:color w:val="0070C0"/>
          <w:lang w:val="en-US"/>
        </w:rPr>
        <w:t xml:space="preserve">, </w:t>
      </w:r>
      <w:r w:rsidR="00BD1B31" w:rsidRPr="002A3C59">
        <w:rPr>
          <w:color w:val="0070C0"/>
          <w:lang w:val="en-US"/>
        </w:rPr>
        <w:t xml:space="preserve">the critical list </w:t>
      </w:r>
      <w:r w:rsidR="00D11CDA" w:rsidRPr="002A3C59">
        <w:rPr>
          <w:color w:val="0070C0"/>
          <w:lang w:val="en-US"/>
        </w:rPr>
        <w:t xml:space="preserve">for our </w:t>
      </w:r>
      <w:r w:rsidR="00491447" w:rsidRPr="002A3C59">
        <w:rPr>
          <w:color w:val="0070C0"/>
          <w:lang w:val="en-US"/>
        </w:rPr>
        <w:t xml:space="preserve">hypothesis </w:t>
      </w:r>
      <w:r w:rsidR="00E50182" w:rsidRPr="002A3C59">
        <w:rPr>
          <w:color w:val="0070C0"/>
          <w:lang w:val="en-US"/>
        </w:rPr>
        <w:t>(</w:t>
      </w:r>
      <w:r w:rsidR="000D32F4" w:rsidRPr="002A3C59">
        <w:rPr>
          <w:color w:val="0070C0"/>
          <w:lang w:val="en-US"/>
        </w:rPr>
        <w:t>i.e.,</w:t>
      </w:r>
      <w:r w:rsidR="00491447" w:rsidRPr="002A3C59">
        <w:rPr>
          <w:color w:val="0070C0"/>
          <w:lang w:val="en-US"/>
        </w:rPr>
        <w:t xml:space="preserve"> </w:t>
      </w:r>
      <w:r w:rsidR="00281B2A" w:rsidRPr="002A3C59">
        <w:rPr>
          <w:color w:val="0070C0"/>
          <w:lang w:val="en-US"/>
        </w:rPr>
        <w:t xml:space="preserve">that </w:t>
      </w:r>
      <w:r w:rsidR="00E50182" w:rsidRPr="002A3C59">
        <w:rPr>
          <w:color w:val="0070C0"/>
          <w:lang w:val="en-US"/>
        </w:rPr>
        <w:t>a reduction of</w:t>
      </w:r>
      <w:r w:rsidR="00491447" w:rsidRPr="002A3C59">
        <w:rPr>
          <w:bCs/>
          <w:color w:val="0070C0"/>
          <w:lang w:val="en-US"/>
        </w:rPr>
        <w:t xml:space="preserve"> proactive control </w:t>
      </w:r>
      <w:r w:rsidR="00DA1D7C" w:rsidRPr="002A3C59">
        <w:rPr>
          <w:bCs/>
          <w:color w:val="0070C0"/>
          <w:lang w:val="en-US"/>
        </w:rPr>
        <w:t xml:space="preserve">is associated with a semantic </w:t>
      </w:r>
      <w:r w:rsidR="00742374" w:rsidRPr="002A3C59">
        <w:rPr>
          <w:bCs/>
          <w:color w:val="0070C0"/>
          <w:lang w:val="en-US"/>
        </w:rPr>
        <w:t xml:space="preserve">interference </w:t>
      </w:r>
      <w:r w:rsidR="00281B2A" w:rsidRPr="002A3C59">
        <w:rPr>
          <w:bCs/>
          <w:color w:val="0070C0"/>
          <w:lang w:val="en-US"/>
        </w:rPr>
        <w:t xml:space="preserve">effect </w:t>
      </w:r>
      <w:r w:rsidR="00742374" w:rsidRPr="002A3C59">
        <w:rPr>
          <w:bCs/>
          <w:color w:val="0070C0"/>
          <w:lang w:val="en-US"/>
        </w:rPr>
        <w:t>occurring</w:t>
      </w:r>
      <w:r w:rsidR="00DA1D7C" w:rsidRPr="002A3C59">
        <w:rPr>
          <w:bCs/>
          <w:color w:val="0070C0"/>
          <w:lang w:val="en-US"/>
        </w:rPr>
        <w:t xml:space="preserve"> throughout the RTs distribution</w:t>
      </w:r>
      <w:r w:rsidR="00E50182" w:rsidRPr="002A3C59">
        <w:rPr>
          <w:color w:val="0070C0"/>
          <w:lang w:val="en-US"/>
        </w:rPr>
        <w:t>)</w:t>
      </w:r>
      <w:r w:rsidR="00D11CDA" w:rsidRPr="002A3C59">
        <w:rPr>
          <w:color w:val="0070C0"/>
          <w:lang w:val="en-US"/>
        </w:rPr>
        <w:t xml:space="preserve"> was the high-neutral </w:t>
      </w:r>
      <w:r w:rsidR="00E50182" w:rsidRPr="002A3C59">
        <w:rPr>
          <w:color w:val="0070C0"/>
          <w:lang w:val="en-US"/>
        </w:rPr>
        <w:t xml:space="preserve">proportion </w:t>
      </w:r>
      <w:r w:rsidR="00DA1D7C" w:rsidRPr="002A3C59">
        <w:rPr>
          <w:color w:val="0070C0"/>
          <w:lang w:val="en-US"/>
        </w:rPr>
        <w:t>one</w:t>
      </w:r>
      <w:r w:rsidR="00BD1B31" w:rsidRPr="002A3C59">
        <w:rPr>
          <w:color w:val="0070C0"/>
          <w:lang w:val="en-US"/>
        </w:rPr>
        <w:t xml:space="preserve">. The reason is that, since </w:t>
      </w:r>
      <w:r w:rsidR="00BD1B31" w:rsidRPr="002A3C59">
        <w:rPr>
          <w:color w:val="0070C0"/>
          <w:lang w:val="en-US"/>
        </w:rPr>
        <w:t xml:space="preserve">proactive control is assumed to be positively correlated with the frequency of conflict (either semantic, task, or both; see, e.g., </w:t>
      </w:r>
      <w:proofErr w:type="spellStart"/>
      <w:r w:rsidR="00BD1B31" w:rsidRPr="002A3C59">
        <w:rPr>
          <w:color w:val="0070C0"/>
          <w:lang w:val="en-US"/>
        </w:rPr>
        <w:t>Botvinick</w:t>
      </w:r>
      <w:proofErr w:type="spellEnd"/>
      <w:r w:rsidR="00BD1B31" w:rsidRPr="002A3C59">
        <w:rPr>
          <w:color w:val="0070C0"/>
          <w:lang w:val="en-US"/>
        </w:rPr>
        <w:t xml:space="preserve"> et al., 2001; </w:t>
      </w:r>
      <w:proofErr w:type="spellStart"/>
      <w:r w:rsidR="00BD1B31" w:rsidRPr="002A3C59">
        <w:rPr>
          <w:color w:val="0070C0"/>
          <w:lang w:val="en-US"/>
        </w:rPr>
        <w:t>Kalanthroff</w:t>
      </w:r>
      <w:proofErr w:type="spellEnd"/>
      <w:r w:rsidR="00BD1B31" w:rsidRPr="002A3C59">
        <w:rPr>
          <w:color w:val="0070C0"/>
          <w:lang w:val="en-US"/>
        </w:rPr>
        <w:t xml:space="preserve"> et al., 2018)</w:t>
      </w:r>
      <w:r w:rsidR="00BD1B31" w:rsidRPr="002A3C59">
        <w:rPr>
          <w:color w:val="0070C0"/>
          <w:lang w:val="en-US"/>
        </w:rPr>
        <w:t>, a list in which conflict of either type is infrequent, such as Kinoshita et al.’s high-neutral proportion list, would provide little reason for participants to maintain effortful proactive control and should</w:t>
      </w:r>
      <w:r w:rsidR="006C2D9B" w:rsidRPr="002A3C59">
        <w:rPr>
          <w:color w:val="0070C0"/>
          <w:lang w:val="en-US"/>
        </w:rPr>
        <w:t xml:space="preserve"> bias </w:t>
      </w:r>
      <w:r w:rsidR="00BD1B31" w:rsidRPr="002A3C59">
        <w:rPr>
          <w:color w:val="0070C0"/>
          <w:lang w:val="en-US"/>
        </w:rPr>
        <w:t>them</w:t>
      </w:r>
      <w:r w:rsidR="006C2D9B" w:rsidRPr="002A3C59">
        <w:rPr>
          <w:color w:val="0070C0"/>
          <w:lang w:val="en-US"/>
        </w:rPr>
        <w:t xml:space="preserve"> towards reactive control</w:t>
      </w:r>
      <w:r w:rsidR="00BE46A5" w:rsidRPr="002A3C59">
        <w:rPr>
          <w:color w:val="0070C0"/>
          <w:lang w:val="en-US"/>
        </w:rPr>
        <w:t>.</w:t>
      </w:r>
      <w:r w:rsidR="00BD1B31" w:rsidRPr="002A3C59">
        <w:rPr>
          <w:color w:val="0070C0"/>
          <w:lang w:val="en-US"/>
        </w:rPr>
        <w:t xml:space="preserve"> </w:t>
      </w:r>
      <w:r w:rsidR="00F76184" w:rsidRPr="002A3C59">
        <w:rPr>
          <w:color w:val="0070C0"/>
          <w:lang w:val="en-US"/>
        </w:rPr>
        <w:t>Therefore</w:t>
      </w:r>
      <w:r w:rsidR="00BE46A5" w:rsidRPr="002A3C59">
        <w:rPr>
          <w:color w:val="0070C0"/>
          <w:lang w:val="en-US"/>
        </w:rPr>
        <w:t>,</w:t>
      </w:r>
      <w:r w:rsidR="00E50182" w:rsidRPr="002A3C59">
        <w:rPr>
          <w:color w:val="0070C0"/>
          <w:lang w:val="en-US"/>
        </w:rPr>
        <w:t xml:space="preserve"> </w:t>
      </w:r>
      <w:r w:rsidR="00D11CDA" w:rsidRPr="002A3C59">
        <w:rPr>
          <w:color w:val="0070C0"/>
          <w:lang w:val="en-US"/>
        </w:rPr>
        <w:t xml:space="preserve">our delta-plot analyses focused on </w:t>
      </w:r>
      <w:r w:rsidR="00F76184" w:rsidRPr="002A3C59">
        <w:rPr>
          <w:color w:val="0070C0"/>
          <w:lang w:val="en-US"/>
        </w:rPr>
        <w:t xml:space="preserve">the </w:t>
      </w:r>
      <w:r w:rsidR="00BD1B31" w:rsidRPr="002A3C59">
        <w:rPr>
          <w:color w:val="0070C0"/>
          <w:lang w:val="en-US"/>
        </w:rPr>
        <w:t>high</w:t>
      </w:r>
      <w:r w:rsidR="00F76184" w:rsidRPr="002A3C59">
        <w:rPr>
          <w:color w:val="0070C0"/>
          <w:lang w:val="en-US"/>
        </w:rPr>
        <w:t>-neutral</w:t>
      </w:r>
      <w:r w:rsidR="00BD1B31" w:rsidRPr="002A3C59">
        <w:rPr>
          <w:color w:val="0070C0"/>
          <w:lang w:val="en-US"/>
        </w:rPr>
        <w:t xml:space="preserve"> proportion</w:t>
      </w:r>
      <w:r w:rsidR="00F76184" w:rsidRPr="002A3C59">
        <w:rPr>
          <w:color w:val="0070C0"/>
          <w:lang w:val="en-US"/>
        </w:rPr>
        <w:t xml:space="preserve"> list</w:t>
      </w:r>
      <w:r w:rsidR="00D11CDA" w:rsidRPr="002A3C59">
        <w:rPr>
          <w:color w:val="0070C0"/>
          <w:lang w:val="en-US"/>
        </w:rPr>
        <w:t>.</w:t>
      </w:r>
      <w:r w:rsidR="00D678A4" w:rsidRPr="002A3C59">
        <w:rPr>
          <w:color w:val="0070C0"/>
          <w:lang w:val="en-US"/>
        </w:rPr>
        <w:t xml:space="preserve"> </w:t>
      </w:r>
      <w:r w:rsidR="00742374" w:rsidRPr="002A3C59">
        <w:rPr>
          <w:color w:val="0070C0"/>
          <w:lang w:val="en-US"/>
        </w:rPr>
        <w:t xml:space="preserve">Differently, </w:t>
      </w:r>
      <w:r w:rsidR="00A771EA" w:rsidRPr="002A3C59">
        <w:rPr>
          <w:color w:val="0070C0"/>
          <w:lang w:val="en-US"/>
        </w:rPr>
        <w:t xml:space="preserve">the </w:t>
      </w:r>
      <w:r w:rsidR="007D5175" w:rsidRPr="002A3C59">
        <w:rPr>
          <w:color w:val="0070C0"/>
          <w:lang w:val="en-US"/>
        </w:rPr>
        <w:t>relative occurrence</w:t>
      </w:r>
      <w:r w:rsidR="00A771EA" w:rsidRPr="002A3C59">
        <w:rPr>
          <w:color w:val="0070C0"/>
          <w:lang w:val="en-US"/>
        </w:rPr>
        <w:t xml:space="preserve"> of conflicting trials in the low-neutral proportion list falls in a </w:t>
      </w:r>
      <w:r w:rsidR="00BD1B31" w:rsidRPr="002A3C59">
        <w:rPr>
          <w:color w:val="0070C0"/>
          <w:lang w:val="en-US"/>
        </w:rPr>
        <w:t xml:space="preserve">somewhat </w:t>
      </w:r>
      <w:r w:rsidR="00A771EA" w:rsidRPr="002A3C59">
        <w:rPr>
          <w:color w:val="0070C0"/>
          <w:lang w:val="en-US"/>
        </w:rPr>
        <w:t xml:space="preserve">grey area between the standard task configuration (50% color-associated words, 50% color-unrelated control words) used in our experiments and a low-conflict list such as Kinoshita et al. high-neutral proportion list. As this complicates any clear-cut comparison and interpretation, </w:t>
      </w:r>
      <w:r w:rsidR="00742374" w:rsidRPr="002A3C59">
        <w:rPr>
          <w:color w:val="0070C0"/>
          <w:lang w:val="en-US"/>
        </w:rPr>
        <w:t xml:space="preserve">we </w:t>
      </w:r>
      <w:r w:rsidR="00C456CA" w:rsidRPr="002A3C59">
        <w:rPr>
          <w:color w:val="0070C0"/>
          <w:lang w:val="en-US"/>
        </w:rPr>
        <w:t>refrain from</w:t>
      </w:r>
      <w:r w:rsidR="00742374" w:rsidRPr="002A3C59">
        <w:rPr>
          <w:color w:val="0070C0"/>
          <w:lang w:val="en-US"/>
        </w:rPr>
        <w:t xml:space="preserve"> </w:t>
      </w:r>
      <w:r w:rsidR="00A771EA" w:rsidRPr="002A3C59">
        <w:rPr>
          <w:color w:val="0070C0"/>
          <w:lang w:val="en-US"/>
        </w:rPr>
        <w:t xml:space="preserve">considering </w:t>
      </w:r>
      <w:r w:rsidR="00BD1B31" w:rsidRPr="002A3C59">
        <w:rPr>
          <w:color w:val="0070C0"/>
          <w:lang w:val="en-US"/>
        </w:rPr>
        <w:t>the low-neutral proportion condition</w:t>
      </w:r>
      <w:r w:rsidR="00A771EA" w:rsidRPr="002A3C59">
        <w:rPr>
          <w:color w:val="0070C0"/>
          <w:lang w:val="en-US"/>
        </w:rPr>
        <w:t xml:space="preserve"> further</w:t>
      </w:r>
      <w:r w:rsidR="00136285" w:rsidRPr="002A3C59">
        <w:rPr>
          <w:color w:val="0070C0"/>
          <w:lang w:val="en-US"/>
        </w:rPr>
        <w:t>.</w:t>
      </w:r>
    </w:p>
    <w:p w14:paraId="0482E30F" w14:textId="5E8EF198" w:rsidR="003B1392" w:rsidRPr="00BA42E7" w:rsidRDefault="003B1392" w:rsidP="00CB3DAB">
      <w:pPr>
        <w:spacing w:line="480" w:lineRule="auto"/>
        <w:ind w:firstLine="708"/>
        <w:rPr>
          <w:bCs/>
          <w:lang w:val="en-US"/>
        </w:rPr>
      </w:pPr>
      <w:r w:rsidRPr="00BA42E7">
        <w:rPr>
          <w:lang w:val="en-US"/>
        </w:rPr>
        <w:t xml:space="preserve">We ran delta-plot analyses identical to those </w:t>
      </w:r>
      <w:r w:rsidR="00E50182" w:rsidRPr="00BA42E7">
        <w:rPr>
          <w:lang w:val="en-US"/>
        </w:rPr>
        <w:t>conducted in</w:t>
      </w:r>
      <w:r w:rsidRPr="00BA42E7">
        <w:rPr>
          <w:lang w:val="en-US"/>
        </w:rPr>
        <w:t xml:space="preserve"> our experiments. </w:t>
      </w:r>
      <w:r w:rsidRPr="00BA42E7">
        <w:rPr>
          <w:bCs/>
          <w:lang w:val="en-US"/>
        </w:rPr>
        <w:t xml:space="preserve">Within each participant and within each condition, RTs were partitioned into 5 quantiles: The first quantile included the fastest 20% of responses, the second quantile the next fastest 20%, and so on, until the fifth quantile, which included the slowest 20% of the responses. </w:t>
      </w:r>
      <w:r w:rsidR="0046715B" w:rsidRPr="00BA42E7">
        <w:rPr>
          <w:bCs/>
          <w:lang w:val="en-US"/>
        </w:rPr>
        <w:t>C</w:t>
      </w:r>
      <w:r w:rsidRPr="00BA42E7">
        <w:rPr>
          <w:bCs/>
          <w:lang w:val="en-US"/>
        </w:rPr>
        <w:t>hanges in semantic Stroop effects as a function of response latency</w:t>
      </w:r>
      <w:r w:rsidR="0046715B" w:rsidRPr="00BA42E7">
        <w:rPr>
          <w:bCs/>
          <w:lang w:val="en-US"/>
        </w:rPr>
        <w:t xml:space="preserve"> were assessed by entering </w:t>
      </w:r>
      <w:r w:rsidRPr="00BA42E7">
        <w:rPr>
          <w:bCs/>
          <w:lang w:val="en-US"/>
        </w:rPr>
        <w:t>the variable</w:t>
      </w:r>
      <w:r w:rsidR="0046715B" w:rsidRPr="00BA42E7">
        <w:rPr>
          <w:bCs/>
          <w:lang w:val="en-US"/>
        </w:rPr>
        <w:t xml:space="preserve">s Stroop condition (color-associated vs neutral), </w:t>
      </w:r>
      <w:r w:rsidRPr="00BA42E7">
        <w:rPr>
          <w:bCs/>
          <w:lang w:val="en-US"/>
        </w:rPr>
        <w:t xml:space="preserve">quantile </w:t>
      </w:r>
      <w:r w:rsidR="0046715B" w:rsidRPr="00BA42E7">
        <w:rPr>
          <w:bCs/>
          <w:lang w:val="en-US"/>
        </w:rPr>
        <w:t>(</w:t>
      </w:r>
      <w:r w:rsidRPr="00BA42E7">
        <w:rPr>
          <w:bCs/>
          <w:lang w:val="en-US"/>
        </w:rPr>
        <w:t>considered as numerical</w:t>
      </w:r>
      <w:r w:rsidR="0046715B" w:rsidRPr="00BA42E7">
        <w:rPr>
          <w:bCs/>
          <w:lang w:val="en-US"/>
        </w:rPr>
        <w:t>), and their interaction</w:t>
      </w:r>
      <w:r w:rsidRPr="00BA42E7">
        <w:rPr>
          <w:bCs/>
          <w:lang w:val="en-US"/>
        </w:rPr>
        <w:t xml:space="preserve"> </w:t>
      </w:r>
      <w:r w:rsidR="0046715B" w:rsidRPr="00BA42E7">
        <w:rPr>
          <w:bCs/>
          <w:lang w:val="en-US"/>
        </w:rPr>
        <w:t xml:space="preserve">as fixed </w:t>
      </w:r>
      <w:r w:rsidRPr="00BA42E7">
        <w:rPr>
          <w:bCs/>
          <w:lang w:val="en-US"/>
        </w:rPr>
        <w:t>effect</w:t>
      </w:r>
      <w:r w:rsidR="0046715B" w:rsidRPr="00BA42E7">
        <w:rPr>
          <w:bCs/>
          <w:lang w:val="en-US"/>
        </w:rPr>
        <w:t>s</w:t>
      </w:r>
      <w:r w:rsidRPr="00BA42E7">
        <w:rPr>
          <w:bCs/>
          <w:lang w:val="en-US"/>
        </w:rPr>
        <w:t xml:space="preserve"> in the statistical model</w:t>
      </w:r>
      <w:r w:rsidR="0046715B" w:rsidRPr="00BA42E7">
        <w:rPr>
          <w:bCs/>
          <w:lang w:val="en-US"/>
        </w:rPr>
        <w:t>. Participants and target colors were included as random intercepts.</w:t>
      </w:r>
    </w:p>
    <w:p w14:paraId="25E68750" w14:textId="49BA2170" w:rsidR="00CB3DAB" w:rsidRPr="00BA42E7" w:rsidRDefault="00CB3DAB" w:rsidP="00CB3DAB">
      <w:pPr>
        <w:spacing w:line="480" w:lineRule="auto"/>
        <w:rPr>
          <w:bCs/>
          <w:lang w:val="en-US"/>
        </w:rPr>
      </w:pPr>
      <w:r w:rsidRPr="00BA42E7">
        <w:rPr>
          <w:bCs/>
          <w:lang w:val="en-US"/>
        </w:rPr>
        <w:t xml:space="preserve">Supplementary Table 3 reports mean RTs for each condition in each quantile. </w:t>
      </w:r>
      <w:r w:rsidR="00281B2A" w:rsidRPr="00BA42E7">
        <w:rPr>
          <w:bCs/>
          <w:lang w:val="en-US"/>
        </w:rPr>
        <w:t>The interference effect across quantiles is showed in Supplementary Figure 1a.</w:t>
      </w:r>
      <w:r w:rsidR="002A5305" w:rsidRPr="00BA42E7">
        <w:rPr>
          <w:bCs/>
          <w:lang w:val="en-US"/>
        </w:rPr>
        <w:t xml:space="preserve"> </w:t>
      </w:r>
      <w:r w:rsidR="009E04C9" w:rsidRPr="00BA42E7">
        <w:rPr>
          <w:bCs/>
          <w:lang w:val="en-US"/>
        </w:rPr>
        <w:t xml:space="preserve">The </w:t>
      </w:r>
      <w:r w:rsidRPr="00BA42E7">
        <w:rPr>
          <w:bCs/>
          <w:lang w:val="en-US"/>
        </w:rPr>
        <w:t xml:space="preserve">analysis </w:t>
      </w:r>
      <w:r w:rsidR="009E04C9" w:rsidRPr="00BA42E7">
        <w:rPr>
          <w:bCs/>
          <w:lang w:val="en-US"/>
        </w:rPr>
        <w:t>show</w:t>
      </w:r>
      <w:r w:rsidRPr="00BA42E7">
        <w:rPr>
          <w:bCs/>
          <w:lang w:val="en-US"/>
        </w:rPr>
        <w:t>ed</w:t>
      </w:r>
      <w:r w:rsidR="009E04C9" w:rsidRPr="00BA42E7">
        <w:rPr>
          <w:bCs/>
          <w:lang w:val="en-US"/>
        </w:rPr>
        <w:t xml:space="preserve"> simple effects of Stroop condition (</w:t>
      </w:r>
      <w:r w:rsidR="009E04C9" w:rsidRPr="00BA42E7">
        <w:rPr>
          <w:bCs/>
          <w:i/>
          <w:lang w:val="en-US"/>
        </w:rPr>
        <w:t>χ</w:t>
      </w:r>
      <w:r w:rsidR="009E04C9" w:rsidRPr="00BA42E7">
        <w:rPr>
          <w:bCs/>
          <w:i/>
          <w:vertAlign w:val="superscript"/>
          <w:lang w:val="en-US"/>
        </w:rPr>
        <w:t xml:space="preserve">2 </w:t>
      </w:r>
      <w:r w:rsidR="009E04C9" w:rsidRPr="00BA42E7">
        <w:rPr>
          <w:bCs/>
          <w:lang w:val="en-US"/>
        </w:rPr>
        <w:t xml:space="preserve">(1) = 8.47, </w:t>
      </w:r>
      <w:r w:rsidR="009E04C9" w:rsidRPr="00BA42E7">
        <w:rPr>
          <w:bCs/>
          <w:i/>
          <w:lang w:val="en-US"/>
        </w:rPr>
        <w:t>p</w:t>
      </w:r>
      <w:r w:rsidR="009E04C9" w:rsidRPr="00BA42E7">
        <w:rPr>
          <w:bCs/>
          <w:lang w:val="en-US"/>
        </w:rPr>
        <w:t xml:space="preserve"> = .003, </w:t>
      </w:r>
      <w:r w:rsidR="009E04C9" w:rsidRPr="00BA42E7">
        <w:rPr>
          <w:bCs/>
          <w:i/>
          <w:iCs/>
          <w:lang w:val="en-US"/>
        </w:rPr>
        <w:t>b</w:t>
      </w:r>
      <w:r w:rsidR="009E04C9" w:rsidRPr="00BA42E7">
        <w:rPr>
          <w:bCs/>
          <w:lang w:val="en-US"/>
        </w:rPr>
        <w:t xml:space="preserve"> = -16.95,</w:t>
      </w:r>
      <w:r w:rsidR="00ED3D7A" w:rsidRPr="00BA42E7">
        <w:rPr>
          <w:bCs/>
          <w:lang w:val="en-US"/>
        </w:rPr>
        <w:t xml:space="preserve"> </w:t>
      </w:r>
      <w:r w:rsidR="00ED3D7A" w:rsidRPr="00BA42E7">
        <w:rPr>
          <w:bCs/>
          <w:i/>
          <w:iCs/>
          <w:lang w:val="en-US"/>
        </w:rPr>
        <w:t>SE</w:t>
      </w:r>
      <w:r w:rsidR="009E04C9" w:rsidRPr="00BA42E7">
        <w:rPr>
          <w:bCs/>
          <w:lang w:val="en-US"/>
        </w:rPr>
        <w:t xml:space="preserve"> = 5.82, </w:t>
      </w:r>
      <w:r w:rsidR="009E04C9" w:rsidRPr="00BA42E7">
        <w:rPr>
          <w:bCs/>
          <w:i/>
          <w:iCs/>
          <w:lang w:val="en-US"/>
        </w:rPr>
        <w:t>t</w:t>
      </w:r>
      <w:r w:rsidR="009E04C9" w:rsidRPr="00BA42E7">
        <w:rPr>
          <w:bCs/>
          <w:lang w:val="en-US"/>
        </w:rPr>
        <w:t xml:space="preserve"> = -2.91) and quantile (</w:t>
      </w:r>
      <w:r w:rsidR="009E04C9" w:rsidRPr="00BA42E7">
        <w:rPr>
          <w:bCs/>
          <w:i/>
          <w:lang w:val="en-US"/>
        </w:rPr>
        <w:t>χ</w:t>
      </w:r>
      <w:r w:rsidR="009E04C9" w:rsidRPr="00BA42E7">
        <w:rPr>
          <w:bCs/>
          <w:i/>
          <w:vertAlign w:val="superscript"/>
          <w:lang w:val="en-US"/>
        </w:rPr>
        <w:t xml:space="preserve">2 </w:t>
      </w:r>
      <w:r w:rsidR="009E04C9" w:rsidRPr="00BA42E7">
        <w:rPr>
          <w:bCs/>
          <w:lang w:val="en-US"/>
        </w:rPr>
        <w:t xml:space="preserve">(1) = 2004.19, </w:t>
      </w:r>
      <w:r w:rsidR="009E04C9" w:rsidRPr="00BA42E7">
        <w:rPr>
          <w:bCs/>
          <w:i/>
          <w:lang w:val="en-US"/>
        </w:rPr>
        <w:t>p</w:t>
      </w:r>
      <w:r w:rsidR="009E04C9" w:rsidRPr="00BA42E7">
        <w:rPr>
          <w:bCs/>
          <w:lang w:val="en-US"/>
        </w:rPr>
        <w:t xml:space="preserve"> &lt; .001, </w:t>
      </w:r>
      <w:r w:rsidR="009E04C9" w:rsidRPr="00BA42E7">
        <w:rPr>
          <w:bCs/>
          <w:i/>
          <w:iCs/>
          <w:lang w:val="en-US"/>
        </w:rPr>
        <w:t>b</w:t>
      </w:r>
      <w:r w:rsidR="009E04C9" w:rsidRPr="00BA42E7">
        <w:rPr>
          <w:bCs/>
          <w:lang w:val="en-US"/>
        </w:rPr>
        <w:t xml:space="preserve"> = 126.41, </w:t>
      </w:r>
      <w:r w:rsidR="00ED3D7A" w:rsidRPr="00BA42E7">
        <w:rPr>
          <w:bCs/>
          <w:i/>
          <w:iCs/>
          <w:lang w:val="en-US"/>
        </w:rPr>
        <w:t>SE</w:t>
      </w:r>
      <w:r w:rsidR="00ED3D7A" w:rsidRPr="00BA42E7">
        <w:rPr>
          <w:bCs/>
          <w:lang w:val="en-US"/>
        </w:rPr>
        <w:t xml:space="preserve"> </w:t>
      </w:r>
      <w:r w:rsidR="009E04C9" w:rsidRPr="00BA42E7">
        <w:rPr>
          <w:bCs/>
          <w:lang w:val="en-US"/>
        </w:rPr>
        <w:t xml:space="preserve">= 2.03, </w:t>
      </w:r>
      <w:r w:rsidR="009E04C9" w:rsidRPr="00BA42E7">
        <w:rPr>
          <w:bCs/>
          <w:i/>
          <w:iCs/>
          <w:lang w:val="en-US"/>
        </w:rPr>
        <w:t>t</w:t>
      </w:r>
      <w:r w:rsidR="009E04C9" w:rsidRPr="00BA42E7">
        <w:rPr>
          <w:bCs/>
          <w:lang w:val="en-US"/>
        </w:rPr>
        <w:t xml:space="preserve"> = 61.99), but no interaction (</w:t>
      </w:r>
      <w:r w:rsidR="009E04C9" w:rsidRPr="00BA42E7">
        <w:rPr>
          <w:bCs/>
          <w:i/>
          <w:lang w:val="en-US"/>
        </w:rPr>
        <w:t>χ</w:t>
      </w:r>
      <w:r w:rsidR="009E04C9" w:rsidRPr="00BA42E7">
        <w:rPr>
          <w:bCs/>
          <w:i/>
          <w:vertAlign w:val="superscript"/>
          <w:lang w:val="en-US"/>
        </w:rPr>
        <w:t xml:space="preserve">2 </w:t>
      </w:r>
      <w:r w:rsidR="009E04C9" w:rsidRPr="00BA42E7">
        <w:rPr>
          <w:bCs/>
          <w:lang w:val="en-US"/>
        </w:rPr>
        <w:t xml:space="preserve">(1) = 1.84, </w:t>
      </w:r>
      <w:r w:rsidR="009E04C9" w:rsidRPr="00BA42E7">
        <w:rPr>
          <w:bCs/>
          <w:i/>
          <w:lang w:val="en-US"/>
        </w:rPr>
        <w:t>p</w:t>
      </w:r>
      <w:r w:rsidR="009E04C9" w:rsidRPr="00BA42E7">
        <w:rPr>
          <w:bCs/>
          <w:lang w:val="en-US"/>
        </w:rPr>
        <w:t xml:space="preserve"> = .17)</w:t>
      </w:r>
      <w:r w:rsidR="00281B2A" w:rsidRPr="00BA42E7">
        <w:rPr>
          <w:bCs/>
          <w:lang w:val="en-US"/>
        </w:rPr>
        <w:t xml:space="preserve"> even though the last quantile showed the largest semantic interference effect (46 </w:t>
      </w:r>
      <w:proofErr w:type="spellStart"/>
      <w:r w:rsidR="00281B2A" w:rsidRPr="00BA42E7">
        <w:rPr>
          <w:bCs/>
          <w:lang w:val="en-US"/>
        </w:rPr>
        <w:t>ms</w:t>
      </w:r>
      <w:proofErr w:type="spellEnd"/>
      <w:r w:rsidR="00281B2A" w:rsidRPr="00BA42E7">
        <w:rPr>
          <w:bCs/>
          <w:lang w:val="en-US"/>
        </w:rPr>
        <w:t>, but do note the large error bar associated with it in Supplementary Figure 1a)</w:t>
      </w:r>
      <w:r w:rsidR="00C17F95" w:rsidRPr="00BA42E7">
        <w:rPr>
          <w:bCs/>
          <w:lang w:val="en-US"/>
        </w:rPr>
        <w:t>.</w:t>
      </w:r>
      <w:r w:rsidR="000B49B8" w:rsidRPr="00BA42E7">
        <w:rPr>
          <w:bCs/>
          <w:lang w:val="en-US"/>
        </w:rPr>
        <w:t xml:space="preserve"> </w:t>
      </w:r>
    </w:p>
    <w:p w14:paraId="12EC540C" w14:textId="77777777" w:rsidR="00E50182" w:rsidRPr="00BA42E7" w:rsidRDefault="00E50182" w:rsidP="00CB3DAB">
      <w:pPr>
        <w:spacing w:line="480" w:lineRule="auto"/>
        <w:rPr>
          <w:b/>
          <w:bCs/>
          <w:lang w:val="en-US"/>
        </w:rPr>
      </w:pPr>
    </w:p>
    <w:p w14:paraId="40DFFBCE" w14:textId="77777777" w:rsidR="005E3940" w:rsidRDefault="00CB3DAB" w:rsidP="00CB3DAB">
      <w:pPr>
        <w:spacing w:line="480" w:lineRule="auto"/>
        <w:rPr>
          <w:b/>
          <w:bCs/>
          <w:lang w:val="en-US"/>
        </w:rPr>
      </w:pPr>
      <w:r w:rsidRPr="00BA42E7">
        <w:rPr>
          <w:b/>
          <w:bCs/>
          <w:lang w:val="en-US"/>
        </w:rPr>
        <w:t>Supplementary Table 3</w:t>
      </w:r>
    </w:p>
    <w:p w14:paraId="054088CB" w14:textId="274944C5" w:rsidR="00CB3DAB" w:rsidRPr="005E3940" w:rsidRDefault="00CB3DAB" w:rsidP="00CB3DAB">
      <w:pPr>
        <w:spacing w:line="480" w:lineRule="auto"/>
        <w:rPr>
          <w:bCs/>
          <w:i/>
          <w:iCs/>
          <w:lang w:val="en-US"/>
        </w:rPr>
      </w:pPr>
      <w:r w:rsidRPr="005E3940">
        <w:rPr>
          <w:bCs/>
          <w:i/>
          <w:iCs/>
          <w:lang w:val="en-US"/>
        </w:rPr>
        <w:t xml:space="preserve">Mean RTs for condition </w:t>
      </w:r>
      <w:r w:rsidR="00E50182" w:rsidRPr="005E3940">
        <w:rPr>
          <w:bCs/>
          <w:i/>
          <w:iCs/>
          <w:lang w:val="en-US"/>
        </w:rPr>
        <w:t>and</w:t>
      </w:r>
      <w:r w:rsidRPr="005E3940">
        <w:rPr>
          <w:bCs/>
          <w:i/>
          <w:iCs/>
          <w:lang w:val="en-US"/>
        </w:rPr>
        <w:t xml:space="preserve"> quantile in Kinoshita et al.’s </w:t>
      </w:r>
      <w:r w:rsidR="000B49B8" w:rsidRPr="005E3940">
        <w:rPr>
          <w:bCs/>
          <w:i/>
          <w:iCs/>
          <w:lang w:val="en-US"/>
        </w:rPr>
        <w:t xml:space="preserve">(2018) </w:t>
      </w:r>
      <w:r w:rsidRPr="005E3940">
        <w:rPr>
          <w:bCs/>
          <w:i/>
          <w:iCs/>
          <w:lang w:val="en-US"/>
        </w:rPr>
        <w:t>Experiment 2</w:t>
      </w:r>
      <w:r w:rsidR="00E50182" w:rsidRPr="005E3940">
        <w:rPr>
          <w:bCs/>
          <w:i/>
          <w:iCs/>
          <w:lang w:val="en-US"/>
        </w:rPr>
        <w:t xml:space="preserve">, </w:t>
      </w:r>
      <w:r w:rsidR="00045E5B" w:rsidRPr="005E3940">
        <w:rPr>
          <w:bCs/>
          <w:i/>
          <w:iCs/>
          <w:lang w:val="en-US"/>
        </w:rPr>
        <w:t>high</w:t>
      </w:r>
      <w:r w:rsidR="00E50182" w:rsidRPr="005E3940">
        <w:rPr>
          <w:bCs/>
          <w:i/>
          <w:iCs/>
          <w:lang w:val="en-US"/>
        </w:rPr>
        <w:t>-</w:t>
      </w:r>
      <w:r w:rsidR="00045E5B" w:rsidRPr="005E3940">
        <w:rPr>
          <w:bCs/>
          <w:i/>
          <w:iCs/>
          <w:lang w:val="en-US"/>
        </w:rPr>
        <w:t xml:space="preserve">neutral </w:t>
      </w:r>
      <w:r w:rsidR="00E50182" w:rsidRPr="005E3940">
        <w:rPr>
          <w:bCs/>
          <w:i/>
          <w:iCs/>
          <w:lang w:val="en-US"/>
        </w:rPr>
        <w:t xml:space="preserve">proportion </w:t>
      </w:r>
      <w:r w:rsidR="00045E5B" w:rsidRPr="005E3940">
        <w:rPr>
          <w:bCs/>
          <w:i/>
          <w:iCs/>
          <w:lang w:val="en-US"/>
        </w:rPr>
        <w:t>list</w:t>
      </w:r>
      <w:r w:rsidRPr="005E3940">
        <w:rPr>
          <w:bCs/>
          <w:i/>
          <w:iCs/>
          <w:lang w:val="en-US"/>
        </w:rPr>
        <w:t>.</w:t>
      </w:r>
    </w:p>
    <w:tbl>
      <w:tblPr>
        <w:tblStyle w:val="Grigliatabell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418"/>
        <w:gridCol w:w="1355"/>
        <w:gridCol w:w="1501"/>
        <w:gridCol w:w="1501"/>
        <w:gridCol w:w="1501"/>
        <w:gridCol w:w="1502"/>
      </w:tblGrid>
      <w:tr w:rsidR="00BA42E7" w:rsidRPr="00BA42E7" w14:paraId="36BD8C13" w14:textId="77777777" w:rsidTr="00A82592"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7F91A567" w14:textId="77777777" w:rsidR="000F74F3" w:rsidRPr="00BA42E7" w:rsidRDefault="000F74F3" w:rsidP="00A82592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Condition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11834B0B" w14:textId="77777777" w:rsidR="000F74F3" w:rsidRPr="00BA42E7" w:rsidRDefault="000F74F3" w:rsidP="00A82592">
            <w:pPr>
              <w:spacing w:line="360" w:lineRule="auto"/>
              <w:rPr>
                <w:lang w:val="en-US"/>
              </w:rPr>
            </w:pPr>
          </w:p>
        </w:tc>
        <w:tc>
          <w:tcPr>
            <w:tcW w:w="7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4E2AAC0" w14:textId="77777777" w:rsidR="000F74F3" w:rsidRPr="00BA42E7" w:rsidRDefault="000F74F3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Quantiles</w:t>
            </w:r>
          </w:p>
        </w:tc>
      </w:tr>
      <w:tr w:rsidR="00BA42E7" w:rsidRPr="00BA42E7" w14:paraId="67DBDD9A" w14:textId="77777777" w:rsidTr="00A82592"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0B3865A" w14:textId="77777777" w:rsidR="000F74F3" w:rsidRPr="00BA42E7" w:rsidRDefault="000F74F3" w:rsidP="00A82592">
            <w:pPr>
              <w:spacing w:line="360" w:lineRule="auto"/>
              <w:rPr>
                <w:lang w:val="en-US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2235EF2F" w14:textId="77777777" w:rsidR="000F74F3" w:rsidRPr="00BA42E7" w:rsidRDefault="000F74F3" w:rsidP="00A82592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14:paraId="0A25924E" w14:textId="77777777" w:rsidR="000F74F3" w:rsidRPr="00BA42E7" w:rsidRDefault="000F74F3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5E6A5E9A" w14:textId="77777777" w:rsidR="000F74F3" w:rsidRPr="00BA42E7" w:rsidRDefault="000F74F3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31BC107D" w14:textId="77777777" w:rsidR="000F74F3" w:rsidRPr="00BA42E7" w:rsidRDefault="000F74F3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16D15D62" w14:textId="77777777" w:rsidR="000F74F3" w:rsidRPr="00BA42E7" w:rsidRDefault="000F74F3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78F8477F" w14:textId="77777777" w:rsidR="000F74F3" w:rsidRPr="00BA42E7" w:rsidRDefault="000F74F3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</w:t>
            </w:r>
          </w:p>
        </w:tc>
      </w:tr>
      <w:tr w:rsidR="00BA42E7" w:rsidRPr="00BA42E7" w14:paraId="2F31CEDD" w14:textId="77777777" w:rsidTr="00A82592">
        <w:tc>
          <w:tcPr>
            <w:tcW w:w="1283" w:type="dxa"/>
          </w:tcPr>
          <w:p w14:paraId="4A7B2283" w14:textId="77777777" w:rsidR="000F74F3" w:rsidRPr="00BA42E7" w:rsidRDefault="000F74F3" w:rsidP="00A82592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Semantic</w:t>
            </w:r>
          </w:p>
        </w:tc>
        <w:tc>
          <w:tcPr>
            <w:tcW w:w="418" w:type="dxa"/>
          </w:tcPr>
          <w:p w14:paraId="70E7D14E" w14:textId="77777777" w:rsidR="000F74F3" w:rsidRPr="00BA42E7" w:rsidRDefault="000F74F3" w:rsidP="00A82592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085595C0" w14:textId="21CCA7B5" w:rsidR="000F74F3" w:rsidRPr="00BA42E7" w:rsidRDefault="00094154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462</w:t>
            </w:r>
          </w:p>
        </w:tc>
        <w:tc>
          <w:tcPr>
            <w:tcW w:w="1501" w:type="dxa"/>
          </w:tcPr>
          <w:p w14:paraId="565E9654" w14:textId="05AE600C" w:rsidR="000F74F3" w:rsidRPr="00BA42E7" w:rsidRDefault="001F686F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</w:t>
            </w:r>
            <w:r w:rsidR="00094154" w:rsidRPr="00BA42E7">
              <w:rPr>
                <w:lang w:val="en-US"/>
              </w:rPr>
              <w:t>67</w:t>
            </w:r>
          </w:p>
        </w:tc>
        <w:tc>
          <w:tcPr>
            <w:tcW w:w="1501" w:type="dxa"/>
          </w:tcPr>
          <w:p w14:paraId="05B9FB79" w14:textId="54077EA7" w:rsidR="000F74F3" w:rsidRPr="00BA42E7" w:rsidRDefault="001F686F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6</w:t>
            </w:r>
            <w:r w:rsidR="00094154" w:rsidRPr="00BA42E7">
              <w:rPr>
                <w:lang w:val="en-US"/>
              </w:rPr>
              <w:t>48</w:t>
            </w:r>
          </w:p>
        </w:tc>
        <w:tc>
          <w:tcPr>
            <w:tcW w:w="1501" w:type="dxa"/>
          </w:tcPr>
          <w:p w14:paraId="4AF0F419" w14:textId="76958033" w:rsidR="000F74F3" w:rsidRPr="00BA42E7" w:rsidRDefault="001F686F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7</w:t>
            </w:r>
            <w:r w:rsidR="00094154" w:rsidRPr="00BA42E7">
              <w:rPr>
                <w:lang w:val="en-US"/>
              </w:rPr>
              <w:t>43</w:t>
            </w:r>
          </w:p>
        </w:tc>
        <w:tc>
          <w:tcPr>
            <w:tcW w:w="1502" w:type="dxa"/>
          </w:tcPr>
          <w:p w14:paraId="18D14431" w14:textId="5F96C6D4" w:rsidR="000F74F3" w:rsidRPr="00BA42E7" w:rsidRDefault="00094154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1023</w:t>
            </w:r>
          </w:p>
        </w:tc>
      </w:tr>
      <w:tr w:rsidR="00BA42E7" w:rsidRPr="00BA42E7" w14:paraId="79E48DE4" w14:textId="77777777" w:rsidTr="00CF579F">
        <w:tc>
          <w:tcPr>
            <w:tcW w:w="1283" w:type="dxa"/>
          </w:tcPr>
          <w:p w14:paraId="24D9BD91" w14:textId="77777777" w:rsidR="000F74F3" w:rsidRPr="00BA42E7" w:rsidRDefault="000F74F3" w:rsidP="00A82592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Control</w:t>
            </w:r>
          </w:p>
        </w:tc>
        <w:tc>
          <w:tcPr>
            <w:tcW w:w="418" w:type="dxa"/>
          </w:tcPr>
          <w:p w14:paraId="504A2FE1" w14:textId="77777777" w:rsidR="000F74F3" w:rsidRPr="00BA42E7" w:rsidRDefault="000F74F3" w:rsidP="00A82592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491B9A29" w14:textId="633E6E67" w:rsidR="000F74F3" w:rsidRPr="00BA42E7" w:rsidRDefault="001F686F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</w:t>
            </w:r>
            <w:r w:rsidR="00094154" w:rsidRPr="00BA42E7">
              <w:rPr>
                <w:lang w:val="en-US"/>
              </w:rPr>
              <w:t>50</w:t>
            </w:r>
          </w:p>
        </w:tc>
        <w:tc>
          <w:tcPr>
            <w:tcW w:w="1501" w:type="dxa"/>
          </w:tcPr>
          <w:p w14:paraId="42F6056A" w14:textId="60326B26" w:rsidR="000F74F3" w:rsidRPr="00BA42E7" w:rsidRDefault="001F686F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</w:t>
            </w:r>
            <w:r w:rsidR="00094154" w:rsidRPr="00BA42E7">
              <w:rPr>
                <w:lang w:val="en-US"/>
              </w:rPr>
              <w:t>55</w:t>
            </w:r>
          </w:p>
        </w:tc>
        <w:tc>
          <w:tcPr>
            <w:tcW w:w="1501" w:type="dxa"/>
          </w:tcPr>
          <w:p w14:paraId="733A8A46" w14:textId="267E4F5E" w:rsidR="000F74F3" w:rsidRPr="00BA42E7" w:rsidRDefault="001F686F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6</w:t>
            </w:r>
            <w:r w:rsidR="00094154" w:rsidRPr="00BA42E7">
              <w:rPr>
                <w:lang w:val="en-US"/>
              </w:rPr>
              <w:t>40</w:t>
            </w:r>
          </w:p>
        </w:tc>
        <w:tc>
          <w:tcPr>
            <w:tcW w:w="1501" w:type="dxa"/>
          </w:tcPr>
          <w:p w14:paraId="27D7864F" w14:textId="1D0323FF" w:rsidR="000F74F3" w:rsidRPr="00BA42E7" w:rsidRDefault="001F686F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7</w:t>
            </w:r>
            <w:r w:rsidR="00094154" w:rsidRPr="00BA42E7">
              <w:rPr>
                <w:lang w:val="en-US"/>
              </w:rPr>
              <w:t>40</w:t>
            </w:r>
          </w:p>
        </w:tc>
        <w:tc>
          <w:tcPr>
            <w:tcW w:w="1502" w:type="dxa"/>
          </w:tcPr>
          <w:p w14:paraId="12484750" w14:textId="7FE56DD6" w:rsidR="000F74F3" w:rsidRPr="00BA42E7" w:rsidRDefault="00094154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977</w:t>
            </w:r>
          </w:p>
        </w:tc>
      </w:tr>
      <w:tr w:rsidR="000F74F3" w:rsidRPr="00BA42E7" w14:paraId="53EF92D6" w14:textId="77777777" w:rsidTr="00CF579F">
        <w:tc>
          <w:tcPr>
            <w:tcW w:w="1283" w:type="dxa"/>
            <w:tcBorders>
              <w:bottom w:val="single" w:sz="4" w:space="0" w:color="auto"/>
            </w:tcBorders>
          </w:tcPr>
          <w:p w14:paraId="50246F1F" w14:textId="77777777" w:rsidR="000F74F3" w:rsidRPr="00BA42E7" w:rsidRDefault="000F74F3" w:rsidP="00A82592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Difference</w:t>
            </w: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20C7C584" w14:textId="77777777" w:rsidR="000F74F3" w:rsidRPr="00BA42E7" w:rsidRDefault="000F74F3" w:rsidP="00A82592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2AF116D8" w14:textId="3C50D9F1" w:rsidR="000F74F3" w:rsidRPr="00BA42E7" w:rsidRDefault="00094154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7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7E0637A7" w14:textId="50922C0C" w:rsidR="000F74F3" w:rsidRPr="00BA42E7" w:rsidRDefault="00094154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12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4F92040B" w14:textId="5A991C40" w:rsidR="000F74F3" w:rsidRPr="00BA42E7" w:rsidRDefault="00094154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8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2FB1F5EF" w14:textId="43DE2193" w:rsidR="000F74F3" w:rsidRPr="00BA42E7" w:rsidRDefault="00094154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3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5934A6CB" w14:textId="66E5DC0A" w:rsidR="000F74F3" w:rsidRPr="00BA42E7" w:rsidRDefault="00094154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46</w:t>
            </w:r>
          </w:p>
        </w:tc>
      </w:tr>
    </w:tbl>
    <w:p w14:paraId="508B704B" w14:textId="105FDA6B" w:rsidR="00C17F95" w:rsidRPr="00BA42E7" w:rsidRDefault="00C17F95" w:rsidP="00CB3DAB">
      <w:pPr>
        <w:spacing w:line="480" w:lineRule="auto"/>
        <w:ind w:firstLine="708"/>
        <w:rPr>
          <w:bCs/>
          <w:lang w:val="en-US"/>
        </w:rPr>
      </w:pPr>
    </w:p>
    <w:p w14:paraId="484B074C" w14:textId="0163D2F1" w:rsidR="00C17F95" w:rsidRPr="00BA42E7" w:rsidRDefault="00C17F95" w:rsidP="00CB3DAB">
      <w:pPr>
        <w:spacing w:line="480" w:lineRule="auto"/>
        <w:ind w:firstLine="708"/>
        <w:rPr>
          <w:bCs/>
          <w:lang w:val="en-US"/>
        </w:rPr>
      </w:pPr>
    </w:p>
    <w:p w14:paraId="6DA02357" w14:textId="76701344" w:rsidR="00C17F95" w:rsidRPr="00BA42E7" w:rsidRDefault="00C17F95" w:rsidP="00CF579F">
      <w:pPr>
        <w:spacing w:line="480" w:lineRule="auto"/>
        <w:rPr>
          <w:b/>
          <w:bCs/>
          <w:lang w:val="en-US"/>
        </w:rPr>
      </w:pPr>
      <w:r w:rsidRPr="00BA42E7">
        <w:rPr>
          <w:b/>
          <w:bCs/>
          <w:lang w:val="en-US"/>
        </w:rPr>
        <w:t>Experiment 4</w:t>
      </w:r>
    </w:p>
    <w:p w14:paraId="28AA9141" w14:textId="603723BA" w:rsidR="009E04C9" w:rsidRPr="00BA42E7" w:rsidRDefault="00E36511" w:rsidP="00CF579F">
      <w:pPr>
        <w:spacing w:line="480" w:lineRule="auto"/>
        <w:rPr>
          <w:lang w:val="en-US"/>
        </w:rPr>
      </w:pPr>
      <w:r w:rsidRPr="00BA42E7">
        <w:rPr>
          <w:bCs/>
          <w:lang w:val="en-US"/>
        </w:rPr>
        <w:t xml:space="preserve">Three experimental conditions were used: </w:t>
      </w:r>
      <w:r w:rsidRPr="00BA42E7">
        <w:rPr>
          <w:lang w:val="en-US"/>
        </w:rPr>
        <w:t xml:space="preserve">One with color </w:t>
      </w:r>
      <w:r w:rsidR="00CE4940" w:rsidRPr="00BA42E7">
        <w:rPr>
          <w:lang w:val="en-US"/>
        </w:rPr>
        <w:t xml:space="preserve">names (i.e., </w:t>
      </w:r>
      <w:r w:rsidR="00281B2A" w:rsidRPr="00BA42E7">
        <w:rPr>
          <w:i/>
          <w:iCs/>
          <w:lang w:val="en-US"/>
        </w:rPr>
        <w:t>green</w:t>
      </w:r>
      <w:r w:rsidR="00CE4940" w:rsidRPr="00BA42E7">
        <w:rPr>
          <w:lang w:val="en-US"/>
        </w:rPr>
        <w:t xml:space="preserve">, </w:t>
      </w:r>
      <w:r w:rsidR="00281B2A" w:rsidRPr="00BA42E7">
        <w:rPr>
          <w:i/>
          <w:iCs/>
          <w:lang w:val="en-US"/>
        </w:rPr>
        <w:t>yellow</w:t>
      </w:r>
      <w:r w:rsidR="00CE4940" w:rsidRPr="00BA42E7">
        <w:rPr>
          <w:lang w:val="en-US"/>
        </w:rPr>
        <w:t xml:space="preserve">, </w:t>
      </w:r>
      <w:r w:rsidR="00281B2A" w:rsidRPr="00BA42E7">
        <w:rPr>
          <w:i/>
          <w:iCs/>
          <w:lang w:val="en-US"/>
        </w:rPr>
        <w:t>grey</w:t>
      </w:r>
      <w:r w:rsidR="00CE4940" w:rsidRPr="00BA42E7">
        <w:rPr>
          <w:lang w:val="en-US"/>
        </w:rPr>
        <w:t xml:space="preserve">, and </w:t>
      </w:r>
      <w:r w:rsidR="00281B2A" w:rsidRPr="00BA42E7">
        <w:rPr>
          <w:i/>
          <w:iCs/>
          <w:lang w:val="en-US"/>
        </w:rPr>
        <w:t>pink</w:t>
      </w:r>
      <w:r w:rsidR="00CE4940" w:rsidRPr="00BA42E7">
        <w:rPr>
          <w:lang w:val="en-US"/>
        </w:rPr>
        <w:t>) that were not the response colors</w:t>
      </w:r>
      <w:r w:rsidRPr="00BA42E7">
        <w:rPr>
          <w:lang w:val="en-US"/>
        </w:rPr>
        <w:t xml:space="preserve">, one with control </w:t>
      </w:r>
      <w:r w:rsidR="00CB5042" w:rsidRPr="00BA42E7">
        <w:rPr>
          <w:lang w:val="en-US"/>
        </w:rPr>
        <w:t xml:space="preserve">noncolor </w:t>
      </w:r>
      <w:r w:rsidRPr="00BA42E7">
        <w:rPr>
          <w:lang w:val="en-US"/>
        </w:rPr>
        <w:t xml:space="preserve">words </w:t>
      </w:r>
      <w:r w:rsidR="00CB5042" w:rsidRPr="00BA42E7">
        <w:rPr>
          <w:lang w:val="en-US"/>
        </w:rPr>
        <w:t>(</w:t>
      </w:r>
      <w:r w:rsidR="00281B2A" w:rsidRPr="00BA42E7">
        <w:rPr>
          <w:i/>
          <w:iCs/>
          <w:lang w:val="en-US"/>
        </w:rPr>
        <w:t>twice</w:t>
      </w:r>
      <w:r w:rsidR="00CB5042" w:rsidRPr="00BA42E7">
        <w:rPr>
          <w:lang w:val="en-US"/>
        </w:rPr>
        <w:t xml:space="preserve">, </w:t>
      </w:r>
      <w:r w:rsidR="00281B2A" w:rsidRPr="00BA42E7">
        <w:rPr>
          <w:i/>
          <w:iCs/>
          <w:lang w:val="en-US"/>
        </w:rPr>
        <w:t>winner</w:t>
      </w:r>
      <w:r w:rsidR="00CB5042" w:rsidRPr="00BA42E7">
        <w:rPr>
          <w:lang w:val="en-US"/>
        </w:rPr>
        <w:t xml:space="preserve">, </w:t>
      </w:r>
      <w:r w:rsidR="00281B2A" w:rsidRPr="00BA42E7">
        <w:rPr>
          <w:i/>
          <w:iCs/>
          <w:lang w:val="en-US"/>
        </w:rPr>
        <w:t>grip</w:t>
      </w:r>
      <w:r w:rsidR="00CB5042" w:rsidRPr="00BA42E7">
        <w:rPr>
          <w:lang w:val="en-US"/>
        </w:rPr>
        <w:t xml:space="preserve">, and </w:t>
      </w:r>
      <w:r w:rsidR="00281B2A" w:rsidRPr="00BA42E7">
        <w:rPr>
          <w:i/>
          <w:iCs/>
          <w:lang w:val="en-US"/>
        </w:rPr>
        <w:t>thank</w:t>
      </w:r>
      <w:r w:rsidR="00CB5042" w:rsidRPr="00BA42E7">
        <w:rPr>
          <w:lang w:val="en-US"/>
        </w:rPr>
        <w:t xml:space="preserve">), </w:t>
      </w:r>
      <w:r w:rsidRPr="00BA42E7">
        <w:rPr>
          <w:lang w:val="en-US"/>
        </w:rPr>
        <w:t xml:space="preserve">and </w:t>
      </w:r>
      <w:r w:rsidR="00CB5042" w:rsidRPr="00BA42E7">
        <w:rPr>
          <w:lang w:val="en-US"/>
        </w:rPr>
        <w:t xml:space="preserve">one with </w:t>
      </w:r>
      <w:r w:rsidRPr="00BA42E7">
        <w:rPr>
          <w:lang w:val="en-US"/>
        </w:rPr>
        <w:t>neutral strings – i.e., strings of #. Stimuli were presented in four colors: Red, blue, orange, and white. The other experimental details paralleled those of Experiment 2.</w:t>
      </w:r>
    </w:p>
    <w:p w14:paraId="75702E7C" w14:textId="08C0678B" w:rsidR="00831E2B" w:rsidRPr="00BA42E7" w:rsidRDefault="0099587B" w:rsidP="00CB3DAB">
      <w:pPr>
        <w:spacing w:line="480" w:lineRule="auto"/>
        <w:ind w:firstLine="708"/>
        <w:rPr>
          <w:bCs/>
          <w:lang w:val="en-US"/>
        </w:rPr>
      </w:pPr>
      <w:r w:rsidRPr="00BA42E7">
        <w:rPr>
          <w:bCs/>
          <w:lang w:val="en-US"/>
        </w:rPr>
        <w:t xml:space="preserve">The same statistical </w:t>
      </w:r>
      <w:r w:rsidR="008A160E" w:rsidRPr="00BA42E7">
        <w:rPr>
          <w:bCs/>
          <w:lang w:val="en-US"/>
        </w:rPr>
        <w:t>approach</w:t>
      </w:r>
      <w:r w:rsidRPr="00BA42E7">
        <w:rPr>
          <w:bCs/>
          <w:lang w:val="en-US"/>
        </w:rPr>
        <w:t xml:space="preserve"> adopted for Experiment 2 was also adopted here,</w:t>
      </w:r>
      <w:r w:rsidR="00EC023E" w:rsidRPr="00BA42E7">
        <w:rPr>
          <w:bCs/>
          <w:lang w:val="en-US"/>
        </w:rPr>
        <w:t xml:space="preserve"> </w:t>
      </w:r>
      <w:r w:rsidR="008A160E" w:rsidRPr="00BA42E7">
        <w:rPr>
          <w:bCs/>
          <w:lang w:val="en-US"/>
        </w:rPr>
        <w:t>and we</w:t>
      </w:r>
      <w:r w:rsidRPr="00BA42E7">
        <w:rPr>
          <w:bCs/>
          <w:lang w:val="en-US"/>
        </w:rPr>
        <w:t xml:space="preserve"> again focused on the high-neutral</w:t>
      </w:r>
      <w:r w:rsidR="008A160E" w:rsidRPr="00BA42E7">
        <w:rPr>
          <w:bCs/>
          <w:lang w:val="en-US"/>
        </w:rPr>
        <w:t xml:space="preserve"> proportion</w:t>
      </w:r>
      <w:r w:rsidRPr="00BA42E7">
        <w:rPr>
          <w:bCs/>
          <w:lang w:val="en-US"/>
        </w:rPr>
        <w:t xml:space="preserve"> list. </w:t>
      </w:r>
      <w:r w:rsidR="00B45ABA" w:rsidRPr="00BA42E7">
        <w:rPr>
          <w:bCs/>
          <w:lang w:val="en-US"/>
        </w:rPr>
        <w:t xml:space="preserve">Supplementary Table 4 reports mean RTs for each condition in each quantile. </w:t>
      </w:r>
      <w:r w:rsidR="002A5305" w:rsidRPr="00BA42E7">
        <w:rPr>
          <w:bCs/>
          <w:lang w:val="en-US"/>
        </w:rPr>
        <w:t xml:space="preserve">The interference effect across quantiles is showed in Supplementary Figure 1b. </w:t>
      </w:r>
      <w:r w:rsidR="00B45ABA" w:rsidRPr="00BA42E7">
        <w:rPr>
          <w:bCs/>
          <w:lang w:val="en-US"/>
        </w:rPr>
        <w:t xml:space="preserve">The </w:t>
      </w:r>
      <w:r w:rsidR="00C17F95" w:rsidRPr="00BA42E7">
        <w:rPr>
          <w:bCs/>
          <w:lang w:val="en-US"/>
        </w:rPr>
        <w:t xml:space="preserve">results show simple effects of Stroop condition </w:t>
      </w:r>
      <w:r w:rsidR="00831E2B" w:rsidRPr="00BA42E7">
        <w:rPr>
          <w:bCs/>
          <w:lang w:val="en-US"/>
        </w:rPr>
        <w:t>(</w:t>
      </w:r>
      <w:r w:rsidR="00831E2B" w:rsidRPr="00BA42E7">
        <w:rPr>
          <w:bCs/>
          <w:i/>
          <w:lang w:val="en-US"/>
        </w:rPr>
        <w:t>χ</w:t>
      </w:r>
      <w:r w:rsidR="00831E2B" w:rsidRPr="00BA42E7">
        <w:rPr>
          <w:bCs/>
          <w:i/>
          <w:vertAlign w:val="superscript"/>
          <w:lang w:val="en-US"/>
        </w:rPr>
        <w:t xml:space="preserve">2 </w:t>
      </w:r>
      <w:r w:rsidR="00831E2B" w:rsidRPr="00BA42E7">
        <w:rPr>
          <w:bCs/>
          <w:lang w:val="en-US"/>
        </w:rPr>
        <w:t xml:space="preserve">(1) = 46.24, </w:t>
      </w:r>
      <w:r w:rsidR="00831E2B" w:rsidRPr="00BA42E7">
        <w:rPr>
          <w:bCs/>
          <w:i/>
          <w:lang w:val="en-US"/>
        </w:rPr>
        <w:t>p</w:t>
      </w:r>
      <w:r w:rsidR="00831E2B" w:rsidRPr="00BA42E7">
        <w:rPr>
          <w:bCs/>
          <w:lang w:val="en-US"/>
        </w:rPr>
        <w:t xml:space="preserve"> &lt; .001, b = -44.67, </w:t>
      </w:r>
      <w:r w:rsidR="00ED3D7A" w:rsidRPr="00BA42E7">
        <w:rPr>
          <w:bCs/>
          <w:i/>
          <w:iCs/>
          <w:lang w:val="en-US"/>
        </w:rPr>
        <w:t>SE</w:t>
      </w:r>
      <w:r w:rsidR="00831E2B" w:rsidRPr="00BA42E7">
        <w:rPr>
          <w:bCs/>
          <w:lang w:val="en-US"/>
        </w:rPr>
        <w:t xml:space="preserve"> = 6.51, t = -6.85) and quantile (</w:t>
      </w:r>
      <w:r w:rsidR="00831E2B" w:rsidRPr="00BA42E7">
        <w:rPr>
          <w:bCs/>
          <w:i/>
          <w:lang w:val="en-US"/>
        </w:rPr>
        <w:t>χ</w:t>
      </w:r>
      <w:r w:rsidR="00831E2B" w:rsidRPr="00BA42E7">
        <w:rPr>
          <w:bCs/>
          <w:i/>
          <w:vertAlign w:val="superscript"/>
          <w:lang w:val="en-US"/>
        </w:rPr>
        <w:t xml:space="preserve">2 </w:t>
      </w:r>
      <w:r w:rsidR="00831E2B" w:rsidRPr="00BA42E7">
        <w:rPr>
          <w:bCs/>
          <w:lang w:val="en-US"/>
        </w:rPr>
        <w:t xml:space="preserve">(1) = 1382.73, </w:t>
      </w:r>
      <w:r w:rsidR="00831E2B" w:rsidRPr="00BA42E7">
        <w:rPr>
          <w:bCs/>
          <w:i/>
          <w:lang w:val="en-US"/>
        </w:rPr>
        <w:t>p</w:t>
      </w:r>
      <w:r w:rsidR="00831E2B" w:rsidRPr="00BA42E7">
        <w:rPr>
          <w:bCs/>
          <w:lang w:val="en-US"/>
        </w:rPr>
        <w:t xml:space="preserve"> &lt; .001, b = 105.27, </w:t>
      </w:r>
      <w:r w:rsidR="00ED3D7A" w:rsidRPr="00BA42E7">
        <w:rPr>
          <w:bCs/>
          <w:i/>
          <w:iCs/>
          <w:lang w:val="en-US"/>
        </w:rPr>
        <w:t>SE</w:t>
      </w:r>
      <w:r w:rsidR="00ED3D7A" w:rsidRPr="00BA42E7">
        <w:rPr>
          <w:bCs/>
          <w:lang w:val="en-US"/>
        </w:rPr>
        <w:t xml:space="preserve"> </w:t>
      </w:r>
      <w:r w:rsidR="00831E2B" w:rsidRPr="00BA42E7">
        <w:rPr>
          <w:bCs/>
          <w:lang w:val="en-US"/>
        </w:rPr>
        <w:t>= 2.12, t = 49.45), but no interaction (</w:t>
      </w:r>
      <w:r w:rsidR="00831E2B" w:rsidRPr="00BA42E7">
        <w:rPr>
          <w:bCs/>
          <w:i/>
          <w:lang w:val="en-US"/>
        </w:rPr>
        <w:t>χ</w:t>
      </w:r>
      <w:r w:rsidR="00831E2B" w:rsidRPr="00BA42E7">
        <w:rPr>
          <w:bCs/>
          <w:i/>
          <w:vertAlign w:val="superscript"/>
          <w:lang w:val="en-US"/>
        </w:rPr>
        <w:t xml:space="preserve">2 </w:t>
      </w:r>
      <w:r w:rsidR="00831E2B" w:rsidRPr="00BA42E7">
        <w:rPr>
          <w:bCs/>
          <w:lang w:val="en-US"/>
        </w:rPr>
        <w:t xml:space="preserve">(1) = 0.09, </w:t>
      </w:r>
      <w:r w:rsidR="00831E2B" w:rsidRPr="00BA42E7">
        <w:rPr>
          <w:bCs/>
          <w:i/>
          <w:lang w:val="en-US"/>
        </w:rPr>
        <w:t>p</w:t>
      </w:r>
      <w:r w:rsidR="00831E2B" w:rsidRPr="00BA42E7">
        <w:rPr>
          <w:bCs/>
          <w:lang w:val="en-US"/>
        </w:rPr>
        <w:t xml:space="preserve"> = .76)</w:t>
      </w:r>
      <w:r w:rsidR="002A5305" w:rsidRPr="00BA42E7">
        <w:rPr>
          <w:bCs/>
          <w:lang w:val="en-US"/>
        </w:rPr>
        <w:t xml:space="preserve"> (and note that this time, the last quantile showed the smallest semantic interference effect – 22 </w:t>
      </w:r>
      <w:proofErr w:type="spellStart"/>
      <w:r w:rsidR="002A5305" w:rsidRPr="00BA42E7">
        <w:rPr>
          <w:bCs/>
          <w:lang w:val="en-US"/>
        </w:rPr>
        <w:t>ms</w:t>
      </w:r>
      <w:proofErr w:type="spellEnd"/>
      <w:r w:rsidR="002A5305" w:rsidRPr="00BA42E7">
        <w:rPr>
          <w:bCs/>
          <w:lang w:val="en-US"/>
        </w:rPr>
        <w:t xml:space="preserve"> – contrary to what was found for Kinoshita et al.’s (2018) Experiment 2)</w:t>
      </w:r>
      <w:r w:rsidR="00831E2B" w:rsidRPr="00BA42E7">
        <w:rPr>
          <w:bCs/>
          <w:lang w:val="en-US"/>
        </w:rPr>
        <w:t>.</w:t>
      </w:r>
    </w:p>
    <w:p w14:paraId="6A7102DA" w14:textId="6BCBD730" w:rsidR="003B1392" w:rsidRDefault="003B1392" w:rsidP="00ED3D7A">
      <w:pPr>
        <w:spacing w:line="480" w:lineRule="auto"/>
        <w:rPr>
          <w:lang w:val="en-US"/>
        </w:rPr>
      </w:pPr>
    </w:p>
    <w:p w14:paraId="060B45FA" w14:textId="79882CE8" w:rsidR="005E3940" w:rsidRDefault="005E3940" w:rsidP="00ED3D7A">
      <w:pPr>
        <w:spacing w:line="480" w:lineRule="auto"/>
        <w:rPr>
          <w:lang w:val="en-US"/>
        </w:rPr>
      </w:pPr>
    </w:p>
    <w:p w14:paraId="782FBD1C" w14:textId="77777777" w:rsidR="005E3940" w:rsidRPr="00BA42E7" w:rsidRDefault="005E3940" w:rsidP="00ED3D7A">
      <w:pPr>
        <w:spacing w:line="480" w:lineRule="auto"/>
        <w:rPr>
          <w:lang w:val="en-US"/>
        </w:rPr>
      </w:pPr>
    </w:p>
    <w:p w14:paraId="7A152A95" w14:textId="77777777" w:rsidR="005E3940" w:rsidRDefault="005E3940" w:rsidP="00B45ABA">
      <w:pPr>
        <w:spacing w:line="480" w:lineRule="auto"/>
        <w:rPr>
          <w:b/>
          <w:bCs/>
          <w:lang w:val="en-US"/>
        </w:rPr>
      </w:pPr>
    </w:p>
    <w:p w14:paraId="2DDB86A0" w14:textId="59C873F4" w:rsidR="005E3940" w:rsidRDefault="00B45ABA" w:rsidP="00B45ABA">
      <w:pPr>
        <w:spacing w:line="480" w:lineRule="auto"/>
        <w:rPr>
          <w:b/>
          <w:bCs/>
          <w:lang w:val="en-US"/>
        </w:rPr>
      </w:pPr>
      <w:r w:rsidRPr="00BA42E7">
        <w:rPr>
          <w:b/>
          <w:bCs/>
          <w:lang w:val="en-US"/>
        </w:rPr>
        <w:lastRenderedPageBreak/>
        <w:t>Supplementary Table 4</w:t>
      </w:r>
    </w:p>
    <w:p w14:paraId="7DE45795" w14:textId="3BD6788D" w:rsidR="00B45ABA" w:rsidRPr="00BA42E7" w:rsidRDefault="00B45ABA" w:rsidP="00B45ABA">
      <w:pPr>
        <w:spacing w:line="480" w:lineRule="auto"/>
        <w:rPr>
          <w:bCs/>
          <w:lang w:val="en-US"/>
        </w:rPr>
      </w:pPr>
      <w:r w:rsidRPr="005E3940">
        <w:rPr>
          <w:bCs/>
          <w:i/>
          <w:iCs/>
          <w:lang w:val="en-US"/>
        </w:rPr>
        <w:t>Mean RTs for condition</w:t>
      </w:r>
      <w:r w:rsidR="00045E5B" w:rsidRPr="005E3940">
        <w:rPr>
          <w:bCs/>
          <w:i/>
          <w:iCs/>
          <w:lang w:val="en-US"/>
        </w:rPr>
        <w:t>s</w:t>
      </w:r>
      <w:r w:rsidRPr="005E3940">
        <w:rPr>
          <w:bCs/>
          <w:i/>
          <w:iCs/>
          <w:lang w:val="en-US"/>
        </w:rPr>
        <w:t xml:space="preserve"> for each quantile in Kinoshita et al.’s (2018) Experiment 4</w:t>
      </w:r>
      <w:r w:rsidR="00045E5B" w:rsidRPr="005E3940">
        <w:rPr>
          <w:bCs/>
          <w:i/>
          <w:iCs/>
          <w:lang w:val="en-US"/>
        </w:rPr>
        <w:t xml:space="preserve"> – high-neutral </w:t>
      </w:r>
      <w:r w:rsidR="00DF2016" w:rsidRPr="005E3940">
        <w:rPr>
          <w:bCs/>
          <w:i/>
          <w:iCs/>
          <w:lang w:val="en-US"/>
        </w:rPr>
        <w:t xml:space="preserve">proportion </w:t>
      </w:r>
      <w:r w:rsidR="00045E5B" w:rsidRPr="005E3940">
        <w:rPr>
          <w:bCs/>
          <w:i/>
          <w:iCs/>
          <w:lang w:val="en-US"/>
        </w:rPr>
        <w:t>list</w:t>
      </w:r>
      <w:r w:rsidRPr="00BA42E7">
        <w:rPr>
          <w:bCs/>
          <w:lang w:val="en-US"/>
        </w:rPr>
        <w:t>.</w:t>
      </w:r>
    </w:p>
    <w:tbl>
      <w:tblPr>
        <w:tblStyle w:val="Grigliatabell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418"/>
        <w:gridCol w:w="1355"/>
        <w:gridCol w:w="1501"/>
        <w:gridCol w:w="1501"/>
        <w:gridCol w:w="1501"/>
        <w:gridCol w:w="1502"/>
      </w:tblGrid>
      <w:tr w:rsidR="00BA42E7" w:rsidRPr="00BA42E7" w14:paraId="66DE5BB5" w14:textId="77777777" w:rsidTr="00A82592"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1A01D5B6" w14:textId="77777777" w:rsidR="001F686F" w:rsidRPr="00BA42E7" w:rsidRDefault="001F686F" w:rsidP="00A82592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Condition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537065E8" w14:textId="77777777" w:rsidR="001F686F" w:rsidRPr="00BA42E7" w:rsidRDefault="001F686F" w:rsidP="00A82592">
            <w:pPr>
              <w:spacing w:line="360" w:lineRule="auto"/>
              <w:rPr>
                <w:lang w:val="en-US"/>
              </w:rPr>
            </w:pPr>
          </w:p>
        </w:tc>
        <w:tc>
          <w:tcPr>
            <w:tcW w:w="7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A02575D" w14:textId="77777777" w:rsidR="001F686F" w:rsidRPr="00BA42E7" w:rsidRDefault="001F686F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Quantiles</w:t>
            </w:r>
          </w:p>
        </w:tc>
      </w:tr>
      <w:tr w:rsidR="00BA42E7" w:rsidRPr="00BA42E7" w14:paraId="64A56153" w14:textId="77777777" w:rsidTr="00A82592"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7B710F2F" w14:textId="77777777" w:rsidR="001F686F" w:rsidRPr="00BA42E7" w:rsidRDefault="001F686F" w:rsidP="00A82592">
            <w:pPr>
              <w:spacing w:line="360" w:lineRule="auto"/>
              <w:rPr>
                <w:lang w:val="en-US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3B607583" w14:textId="77777777" w:rsidR="001F686F" w:rsidRPr="00BA42E7" w:rsidRDefault="001F686F" w:rsidP="00A82592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14:paraId="7E88EABE" w14:textId="77777777" w:rsidR="001F686F" w:rsidRPr="00BA42E7" w:rsidRDefault="001F686F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65A27827" w14:textId="77777777" w:rsidR="001F686F" w:rsidRPr="00BA42E7" w:rsidRDefault="001F686F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24E85732" w14:textId="77777777" w:rsidR="001F686F" w:rsidRPr="00BA42E7" w:rsidRDefault="001F686F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0065E9A4" w14:textId="77777777" w:rsidR="001F686F" w:rsidRPr="00BA42E7" w:rsidRDefault="001F686F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60C0EF33" w14:textId="77777777" w:rsidR="001F686F" w:rsidRPr="00BA42E7" w:rsidRDefault="001F686F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</w:t>
            </w:r>
          </w:p>
        </w:tc>
      </w:tr>
      <w:tr w:rsidR="00BA42E7" w:rsidRPr="00BA42E7" w14:paraId="61AB8E9B" w14:textId="77777777" w:rsidTr="00A82592">
        <w:tc>
          <w:tcPr>
            <w:tcW w:w="1283" w:type="dxa"/>
          </w:tcPr>
          <w:p w14:paraId="3793A7A9" w14:textId="77777777" w:rsidR="001F686F" w:rsidRPr="00BA42E7" w:rsidRDefault="001F686F" w:rsidP="00A82592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Semantic</w:t>
            </w:r>
          </w:p>
        </w:tc>
        <w:tc>
          <w:tcPr>
            <w:tcW w:w="418" w:type="dxa"/>
          </w:tcPr>
          <w:p w14:paraId="3693D78F" w14:textId="77777777" w:rsidR="001F686F" w:rsidRPr="00BA42E7" w:rsidRDefault="001F686F" w:rsidP="00A82592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60C168A2" w14:textId="7B4FA38E" w:rsidR="001F686F" w:rsidRPr="00BA42E7" w:rsidRDefault="00934F2E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481</w:t>
            </w:r>
          </w:p>
        </w:tc>
        <w:tc>
          <w:tcPr>
            <w:tcW w:w="1501" w:type="dxa"/>
          </w:tcPr>
          <w:p w14:paraId="76D7E6F7" w14:textId="5B9010C2" w:rsidR="001F686F" w:rsidRPr="00BA42E7" w:rsidRDefault="00934F2E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573</w:t>
            </w:r>
          </w:p>
        </w:tc>
        <w:tc>
          <w:tcPr>
            <w:tcW w:w="1501" w:type="dxa"/>
          </w:tcPr>
          <w:p w14:paraId="53C482F2" w14:textId="19844CD7" w:rsidR="001F686F" w:rsidRPr="00BA42E7" w:rsidRDefault="00934F2E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636</w:t>
            </w:r>
          </w:p>
        </w:tc>
        <w:tc>
          <w:tcPr>
            <w:tcW w:w="1501" w:type="dxa"/>
          </w:tcPr>
          <w:p w14:paraId="34E06970" w14:textId="76D39F8B" w:rsidR="001F686F" w:rsidRPr="00BA42E7" w:rsidRDefault="00DB66AC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726</w:t>
            </w:r>
          </w:p>
        </w:tc>
        <w:tc>
          <w:tcPr>
            <w:tcW w:w="1502" w:type="dxa"/>
          </w:tcPr>
          <w:p w14:paraId="2039BA44" w14:textId="2975B448" w:rsidR="001F686F" w:rsidRPr="00BA42E7" w:rsidRDefault="00C66120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922</w:t>
            </w:r>
          </w:p>
        </w:tc>
      </w:tr>
      <w:tr w:rsidR="00BA42E7" w:rsidRPr="00BA42E7" w14:paraId="2674438B" w14:textId="77777777" w:rsidTr="00A82592">
        <w:tc>
          <w:tcPr>
            <w:tcW w:w="1283" w:type="dxa"/>
          </w:tcPr>
          <w:p w14:paraId="0D8AAA3A" w14:textId="77777777" w:rsidR="001F686F" w:rsidRPr="00BA42E7" w:rsidRDefault="001F686F" w:rsidP="00A82592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Control</w:t>
            </w:r>
          </w:p>
        </w:tc>
        <w:tc>
          <w:tcPr>
            <w:tcW w:w="418" w:type="dxa"/>
          </w:tcPr>
          <w:p w14:paraId="1BB1255A" w14:textId="77777777" w:rsidR="001F686F" w:rsidRPr="00BA42E7" w:rsidRDefault="001F686F" w:rsidP="00A82592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</w:tcPr>
          <w:p w14:paraId="75F29C99" w14:textId="2AB4BC60" w:rsidR="001F686F" w:rsidRPr="00BA42E7" w:rsidRDefault="00934F2E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441</w:t>
            </w:r>
          </w:p>
        </w:tc>
        <w:tc>
          <w:tcPr>
            <w:tcW w:w="1501" w:type="dxa"/>
          </w:tcPr>
          <w:p w14:paraId="776E8E8B" w14:textId="4CA00715" w:rsidR="001F686F" w:rsidRPr="00BA42E7" w:rsidRDefault="00C62240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</w:t>
            </w:r>
            <w:r w:rsidR="00934F2E" w:rsidRPr="00BA42E7">
              <w:rPr>
                <w:lang w:val="en-US"/>
              </w:rPr>
              <w:t>28</w:t>
            </w:r>
          </w:p>
        </w:tc>
        <w:tc>
          <w:tcPr>
            <w:tcW w:w="1501" w:type="dxa"/>
          </w:tcPr>
          <w:p w14:paraId="675F592A" w14:textId="3122A392" w:rsidR="001F686F" w:rsidRPr="00BA42E7" w:rsidRDefault="00934F2E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589</w:t>
            </w:r>
          </w:p>
        </w:tc>
        <w:tc>
          <w:tcPr>
            <w:tcW w:w="1501" w:type="dxa"/>
          </w:tcPr>
          <w:p w14:paraId="4FEC8509" w14:textId="1BE191D3" w:rsidR="001F686F" w:rsidRPr="00BA42E7" w:rsidRDefault="00C63937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669</w:t>
            </w:r>
          </w:p>
        </w:tc>
        <w:tc>
          <w:tcPr>
            <w:tcW w:w="1502" w:type="dxa"/>
          </w:tcPr>
          <w:p w14:paraId="3FB88FDF" w14:textId="6AE58116" w:rsidR="001F686F" w:rsidRPr="00BA42E7" w:rsidRDefault="00C66120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900</w:t>
            </w:r>
          </w:p>
        </w:tc>
      </w:tr>
      <w:tr w:rsidR="008767C3" w:rsidRPr="00BA42E7" w14:paraId="55A7DCFC" w14:textId="77777777" w:rsidTr="00A82592">
        <w:tc>
          <w:tcPr>
            <w:tcW w:w="1283" w:type="dxa"/>
            <w:tcBorders>
              <w:bottom w:val="single" w:sz="4" w:space="0" w:color="auto"/>
            </w:tcBorders>
          </w:tcPr>
          <w:p w14:paraId="554FE3B1" w14:textId="77777777" w:rsidR="001F686F" w:rsidRPr="00BA42E7" w:rsidRDefault="001F686F" w:rsidP="00A82592">
            <w:pPr>
              <w:spacing w:line="360" w:lineRule="auto"/>
              <w:rPr>
                <w:lang w:val="en-US"/>
              </w:rPr>
            </w:pPr>
            <w:r w:rsidRPr="00BA42E7">
              <w:rPr>
                <w:lang w:val="en-US"/>
              </w:rPr>
              <w:t>Difference</w:t>
            </w: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74DEDFFA" w14:textId="77777777" w:rsidR="001F686F" w:rsidRPr="00BA42E7" w:rsidRDefault="001F686F" w:rsidP="00A82592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2543827E" w14:textId="29203342" w:rsidR="001F686F" w:rsidRPr="00BA42E7" w:rsidRDefault="00C62240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40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29F1DB3D" w14:textId="3ADF3104" w:rsidR="001F686F" w:rsidRPr="00BA42E7" w:rsidRDefault="00C62240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45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3E74873B" w14:textId="62D14C52" w:rsidR="001F686F" w:rsidRPr="00BA42E7" w:rsidRDefault="00934F2E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47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1774B4A2" w14:textId="6E6B0A29" w:rsidR="001F686F" w:rsidRPr="00BA42E7" w:rsidRDefault="00D920B3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57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7342684A" w14:textId="75531BF7" w:rsidR="001F686F" w:rsidRPr="00BA42E7" w:rsidRDefault="00C66120" w:rsidP="00A82592">
            <w:pPr>
              <w:spacing w:line="360" w:lineRule="auto"/>
              <w:jc w:val="center"/>
              <w:rPr>
                <w:lang w:val="en-US"/>
              </w:rPr>
            </w:pPr>
            <w:r w:rsidRPr="00BA42E7">
              <w:rPr>
                <w:lang w:val="en-US"/>
              </w:rPr>
              <w:t>22</w:t>
            </w:r>
          </w:p>
        </w:tc>
      </w:tr>
    </w:tbl>
    <w:p w14:paraId="3D83F72E" w14:textId="0641DFD3" w:rsidR="003B1392" w:rsidRPr="00BA42E7" w:rsidRDefault="003B1392" w:rsidP="000B49B8">
      <w:pPr>
        <w:spacing w:line="480" w:lineRule="auto"/>
        <w:ind w:firstLine="708"/>
        <w:rPr>
          <w:lang w:val="en-US"/>
        </w:rPr>
      </w:pPr>
    </w:p>
    <w:p w14:paraId="486043FC" w14:textId="301CE613" w:rsidR="000B49B8" w:rsidRPr="00BA42E7" w:rsidRDefault="000B49B8" w:rsidP="000B49B8">
      <w:pPr>
        <w:spacing w:line="480" w:lineRule="auto"/>
        <w:rPr>
          <w:lang w:val="en-US"/>
        </w:rPr>
      </w:pPr>
    </w:p>
    <w:p w14:paraId="222AF91F" w14:textId="57B1944D" w:rsidR="000B49B8" w:rsidRPr="00BA42E7" w:rsidRDefault="000B49B8" w:rsidP="000B49B8">
      <w:pPr>
        <w:spacing w:line="360" w:lineRule="auto"/>
        <w:rPr>
          <w:b/>
          <w:bCs/>
          <w:iCs/>
          <w:lang w:val="en-US"/>
        </w:rPr>
      </w:pPr>
      <w:r w:rsidRPr="00BA42E7">
        <w:rPr>
          <w:b/>
          <w:bCs/>
          <w:iCs/>
          <w:lang w:val="en-US"/>
        </w:rPr>
        <w:t>Supplementary Figure 1</w:t>
      </w:r>
    </w:p>
    <w:p w14:paraId="5FB34456" w14:textId="5F2D2FB3" w:rsidR="000B49B8" w:rsidRPr="002A3C59" w:rsidRDefault="000B49B8" w:rsidP="00DA70C2">
      <w:pPr>
        <w:spacing w:line="360" w:lineRule="auto"/>
        <w:rPr>
          <w:i/>
          <w:iCs/>
          <w:color w:val="0070C0"/>
          <w:lang w:val="en-US"/>
        </w:rPr>
      </w:pPr>
      <w:r w:rsidRPr="00BA42E7">
        <w:rPr>
          <w:i/>
          <w:iCs/>
          <w:lang w:val="en-US"/>
        </w:rPr>
        <w:t xml:space="preserve">Results of the delta-plot </w:t>
      </w:r>
      <w:r w:rsidRPr="00BA42E7">
        <w:rPr>
          <w:i/>
          <w:iCs/>
          <w:lang w:val="en-US"/>
        </w:rPr>
        <w:t>analyses</w:t>
      </w:r>
      <w:r w:rsidR="00DF2016">
        <w:rPr>
          <w:i/>
          <w:iCs/>
          <w:lang w:val="en-US"/>
        </w:rPr>
        <w:t xml:space="preserve"> </w:t>
      </w:r>
      <w:r w:rsidR="00DF2016" w:rsidRPr="002A3C59">
        <w:rPr>
          <w:i/>
          <w:iCs/>
          <w:color w:val="0070C0"/>
          <w:lang w:val="en-US"/>
        </w:rPr>
        <w:t>for Kinoshita et al.’s (2018) Experiments 2 and 4, high-neutral proportion lists</w:t>
      </w:r>
      <w:r w:rsidRPr="002A3C59">
        <w:rPr>
          <w:i/>
          <w:iCs/>
          <w:color w:val="0070C0"/>
          <w:lang w:val="en-US"/>
        </w:rPr>
        <w:t>.</w:t>
      </w:r>
    </w:p>
    <w:p w14:paraId="015482CF" w14:textId="77777777" w:rsidR="000B49B8" w:rsidRPr="00BA42E7" w:rsidRDefault="000B49B8" w:rsidP="000B49B8">
      <w:pPr>
        <w:spacing w:line="480" w:lineRule="auto"/>
        <w:rPr>
          <w:lang w:val="en-US"/>
        </w:rPr>
      </w:pPr>
    </w:p>
    <w:p w14:paraId="4D80AE1B" w14:textId="5CA41ECB" w:rsidR="000B49B8" w:rsidRPr="00BA42E7" w:rsidRDefault="000B49B8" w:rsidP="00CB3DAB">
      <w:pPr>
        <w:spacing w:line="480" w:lineRule="auto"/>
        <w:ind w:firstLine="708"/>
        <w:rPr>
          <w:lang w:val="en-US"/>
        </w:rPr>
      </w:pPr>
      <w:r w:rsidRPr="00BA42E7">
        <w:rPr>
          <w:rFonts w:ascii="Arial" w:hAnsi="Arial" w:cs="Arial"/>
          <w:noProof/>
          <w:shd w:val="clear" w:color="auto" w:fill="FFFFFF"/>
          <w:lang w:val="en-US"/>
        </w:rPr>
        <w:drawing>
          <wp:inline distT="0" distB="0" distL="0" distR="0" wp14:anchorId="1F3E3B8C" wp14:editId="317F2F9E">
            <wp:extent cx="3931842" cy="2621954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969" cy="262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727A9" w14:textId="77777777" w:rsidR="005E3940" w:rsidRDefault="005E3940" w:rsidP="000B49B8">
      <w:pPr>
        <w:rPr>
          <w:bCs/>
          <w:i/>
          <w:lang w:val="en-US"/>
        </w:rPr>
      </w:pPr>
    </w:p>
    <w:p w14:paraId="022B1B2F" w14:textId="190F9942" w:rsidR="000B49B8" w:rsidRPr="00BA42E7" w:rsidRDefault="000B49B8" w:rsidP="000B49B8">
      <w:pPr>
        <w:rPr>
          <w:bCs/>
          <w:lang w:val="en-US"/>
        </w:rPr>
      </w:pPr>
      <w:r w:rsidRPr="00BA42E7">
        <w:rPr>
          <w:bCs/>
          <w:i/>
          <w:lang w:val="en-US"/>
        </w:rPr>
        <w:t xml:space="preserve">Note. </w:t>
      </w:r>
      <w:r w:rsidRPr="00BA42E7">
        <w:rPr>
          <w:bCs/>
          <w:lang w:val="en-US"/>
        </w:rPr>
        <w:t xml:space="preserve">Mean semantic Stroop effect (Experiment 2: color-associated – control; Experiment 4: non-response-set color names – control; y axis) as a function of trial quantile (x axis) for the high-neutral list in Experiment 2 (panel a) and Experiment 4 (panel b). Points represent empirical means, </w:t>
      </w:r>
      <w:r w:rsidRPr="00BA42E7">
        <w:rPr>
          <w:bCs/>
          <w:lang w:val="en-US"/>
        </w:rPr>
        <w:t>and error bars reflect corresponding 95% confidence intervals.</w:t>
      </w:r>
    </w:p>
    <w:p w14:paraId="62F2A276" w14:textId="77777777" w:rsidR="003B1392" w:rsidRPr="00BA42E7" w:rsidRDefault="003B1392" w:rsidP="000B49B8">
      <w:pPr>
        <w:rPr>
          <w:lang w:val="en-US"/>
        </w:rPr>
      </w:pPr>
    </w:p>
    <w:p w14:paraId="3479E08F" w14:textId="366F9E79" w:rsidR="003B1392" w:rsidRDefault="003B1392" w:rsidP="008C6BE2">
      <w:pPr>
        <w:rPr>
          <w:lang w:val="en-US"/>
        </w:rPr>
      </w:pPr>
    </w:p>
    <w:p w14:paraId="731F5428" w14:textId="24393817" w:rsidR="002A3C59" w:rsidRDefault="002A3C59" w:rsidP="008C6BE2">
      <w:pPr>
        <w:rPr>
          <w:lang w:val="en-US"/>
        </w:rPr>
      </w:pPr>
    </w:p>
    <w:p w14:paraId="42299EF3" w14:textId="51C3ACE3" w:rsidR="005E3940" w:rsidRDefault="005E3940" w:rsidP="008C6BE2">
      <w:pPr>
        <w:rPr>
          <w:lang w:val="en-US"/>
        </w:rPr>
      </w:pPr>
    </w:p>
    <w:p w14:paraId="5ACC6DC9" w14:textId="6F9C9261" w:rsidR="005E3940" w:rsidRDefault="005E3940" w:rsidP="008C6BE2">
      <w:pPr>
        <w:rPr>
          <w:lang w:val="en-US"/>
        </w:rPr>
      </w:pPr>
    </w:p>
    <w:p w14:paraId="64A895B0" w14:textId="328363EB" w:rsidR="005E3940" w:rsidRDefault="005E3940" w:rsidP="008C6BE2">
      <w:pPr>
        <w:rPr>
          <w:lang w:val="en-US"/>
        </w:rPr>
      </w:pPr>
    </w:p>
    <w:p w14:paraId="759D062F" w14:textId="77777777" w:rsidR="005E3940" w:rsidRDefault="005E3940" w:rsidP="008C6BE2">
      <w:pPr>
        <w:rPr>
          <w:lang w:val="en-US"/>
        </w:rPr>
      </w:pPr>
    </w:p>
    <w:p w14:paraId="14D67E92" w14:textId="469F38C6" w:rsidR="00E41DD0" w:rsidRPr="002A3C59" w:rsidRDefault="00E41DD0" w:rsidP="002A3C59">
      <w:pPr>
        <w:jc w:val="center"/>
        <w:rPr>
          <w:b/>
          <w:bCs/>
          <w:color w:val="0070C0"/>
          <w:lang w:val="en-US"/>
        </w:rPr>
      </w:pPr>
      <w:r w:rsidRPr="002A3C59">
        <w:rPr>
          <w:b/>
          <w:bCs/>
          <w:color w:val="0070C0"/>
          <w:lang w:val="en-US"/>
        </w:rPr>
        <w:lastRenderedPageBreak/>
        <w:t>References</w:t>
      </w:r>
    </w:p>
    <w:p w14:paraId="6551ECD4" w14:textId="1565AC9C" w:rsidR="00E41DD0" w:rsidRPr="002A3C59" w:rsidRDefault="00E41DD0" w:rsidP="008C6BE2">
      <w:pPr>
        <w:rPr>
          <w:b/>
          <w:bCs/>
          <w:color w:val="0070C0"/>
          <w:lang w:val="en-US"/>
        </w:rPr>
      </w:pPr>
    </w:p>
    <w:p w14:paraId="181291CE" w14:textId="4AB254E4" w:rsidR="00FB52F0" w:rsidRPr="002A3C59" w:rsidRDefault="00FB52F0" w:rsidP="00587B6D">
      <w:pPr>
        <w:pStyle w:val="Corpotesto"/>
        <w:spacing w:line="480" w:lineRule="auto"/>
        <w:ind w:left="540" w:hanging="540"/>
        <w:rPr>
          <w:color w:val="0070C0"/>
          <w:lang w:val="en-US"/>
        </w:rPr>
      </w:pPr>
      <w:r w:rsidRPr="002A3C59">
        <w:rPr>
          <w:color w:val="0070C0"/>
          <w:lang w:val="en-US"/>
        </w:rPr>
        <w:t>Botvinick, M. M., Braver, T. S., Barch, D. M., Carter, C. S., &amp; Cohen, J. D. (2001). Conflict monitoring and cognitive control. </w:t>
      </w:r>
      <w:r w:rsidRPr="002A3C59">
        <w:rPr>
          <w:i/>
          <w:iCs/>
          <w:color w:val="0070C0"/>
          <w:lang w:val="en-US"/>
        </w:rPr>
        <w:t xml:space="preserve">Psychological </w:t>
      </w:r>
      <w:r w:rsidR="00DF2016" w:rsidRPr="002A3C59">
        <w:rPr>
          <w:i/>
          <w:iCs/>
          <w:color w:val="0070C0"/>
          <w:lang w:val="en-US"/>
        </w:rPr>
        <w:t>R</w:t>
      </w:r>
      <w:r w:rsidRPr="002A3C59">
        <w:rPr>
          <w:i/>
          <w:iCs/>
          <w:color w:val="0070C0"/>
          <w:lang w:val="en-US"/>
        </w:rPr>
        <w:t>eview</w:t>
      </w:r>
      <w:r w:rsidRPr="002A3C59">
        <w:rPr>
          <w:color w:val="0070C0"/>
          <w:lang w:val="en-US"/>
        </w:rPr>
        <w:t>, </w:t>
      </w:r>
      <w:r w:rsidRPr="002A3C59">
        <w:rPr>
          <w:i/>
          <w:iCs/>
          <w:color w:val="0070C0"/>
          <w:lang w:val="en-US"/>
        </w:rPr>
        <w:t>108</w:t>
      </w:r>
      <w:r w:rsidRPr="002A3C59">
        <w:rPr>
          <w:color w:val="0070C0"/>
          <w:lang w:val="en-US"/>
        </w:rPr>
        <w:t>, 624</w:t>
      </w:r>
      <w:r w:rsidR="00827D03" w:rsidRPr="002A3C59">
        <w:rPr>
          <w:color w:val="0070C0"/>
          <w:lang w:val="en-US"/>
        </w:rPr>
        <w:t>-652</w:t>
      </w:r>
      <w:r w:rsidRPr="002A3C59">
        <w:rPr>
          <w:color w:val="0070C0"/>
          <w:lang w:val="en-US"/>
        </w:rPr>
        <w:t>.</w:t>
      </w:r>
    </w:p>
    <w:p w14:paraId="025D7A56" w14:textId="20CD675D" w:rsidR="004E6DD3" w:rsidRPr="002A3C59" w:rsidRDefault="004E6DD3" w:rsidP="004E6DD3">
      <w:pPr>
        <w:pStyle w:val="Corpotesto"/>
        <w:suppressAutoHyphens w:val="0"/>
        <w:spacing w:line="480" w:lineRule="auto"/>
        <w:ind w:left="540" w:hanging="540"/>
        <w:rPr>
          <w:color w:val="0070C0"/>
          <w:lang w:val="en-US"/>
        </w:rPr>
      </w:pPr>
      <w:r w:rsidRPr="002A3C59">
        <w:rPr>
          <w:color w:val="0070C0"/>
          <w:lang w:val="en-US"/>
        </w:rPr>
        <w:t xml:space="preserve">Kalanthroff, E., Davelaar, E. J., Henik, A., Goldfarb, L., &amp; Usher, M. (2018). </w:t>
      </w:r>
      <w:r w:rsidRPr="002A3C59">
        <w:rPr>
          <w:color w:val="0070C0"/>
          <w:lang w:val="en-GB"/>
        </w:rPr>
        <w:t>Task conflict and proactive control: A computational theory of the Stroop task. </w:t>
      </w:r>
      <w:r w:rsidRPr="002A3C59">
        <w:rPr>
          <w:i/>
          <w:iCs/>
          <w:color w:val="0070C0"/>
          <w:lang w:val="en-GB"/>
        </w:rPr>
        <w:t>Psychological Review, 125</w:t>
      </w:r>
      <w:r w:rsidRPr="002A3C59">
        <w:rPr>
          <w:color w:val="0070C0"/>
          <w:lang w:val="en-GB"/>
        </w:rPr>
        <w:t>, 59-82</w:t>
      </w:r>
      <w:r w:rsidR="00DF2016" w:rsidRPr="002A3C59">
        <w:rPr>
          <w:color w:val="0070C0"/>
          <w:lang w:val="en-GB"/>
        </w:rPr>
        <w:t>.</w:t>
      </w:r>
    </w:p>
    <w:p w14:paraId="789B8C2C" w14:textId="77777777" w:rsidR="004E6DD3" w:rsidRPr="00587B6D" w:rsidRDefault="004E6DD3" w:rsidP="008C6BE2">
      <w:pPr>
        <w:rPr>
          <w:b/>
          <w:bCs/>
          <w:lang w:val="en-US"/>
        </w:rPr>
      </w:pPr>
    </w:p>
    <w:sectPr w:rsidR="004E6DD3" w:rsidRPr="00587B6D" w:rsidSect="002742D2">
      <w:headerReference w:type="even" r:id="rId7"/>
      <w:headerReference w:type="defaul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F1E10" w14:textId="77777777" w:rsidR="00FA1653" w:rsidRDefault="00FA1653">
      <w:r>
        <w:separator/>
      </w:r>
    </w:p>
  </w:endnote>
  <w:endnote w:type="continuationSeparator" w:id="0">
    <w:p w14:paraId="674AE6F0" w14:textId="77777777" w:rsidR="00FA1653" w:rsidRDefault="00FA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ont44">
    <w:altName w:val="Calibri"/>
    <w:charset w:val="01"/>
    <w:family w:val="auto"/>
    <w:pitch w:val="variable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989D2" w14:textId="77777777" w:rsidR="00FA1653" w:rsidRDefault="00FA1653">
      <w:r>
        <w:separator/>
      </w:r>
    </w:p>
  </w:footnote>
  <w:footnote w:type="continuationSeparator" w:id="0">
    <w:p w14:paraId="645E8321" w14:textId="77777777" w:rsidR="00FA1653" w:rsidRDefault="00FA1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430865118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1CAEBE51" w14:textId="77777777" w:rsidR="00040C7E" w:rsidRDefault="00B9118B" w:rsidP="00085C34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6C7EC09" w14:textId="77777777" w:rsidR="00040C7E" w:rsidRDefault="00040C7E" w:rsidP="00085C34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  <w:rFonts w:ascii="Times New Roman" w:hAnsi="Times New Roman" w:cs="Times New Roman"/>
      </w:rPr>
      <w:id w:val="1764483395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7DC01728" w14:textId="77777777" w:rsidR="00040C7E" w:rsidRPr="00690515" w:rsidRDefault="00B9118B" w:rsidP="00085C34">
        <w:pPr>
          <w:pStyle w:val="Intestazione"/>
          <w:framePr w:wrap="none" w:vAnchor="text" w:hAnchor="margin" w:xAlign="right" w:y="1"/>
          <w:rPr>
            <w:rStyle w:val="Numeropagina"/>
            <w:rFonts w:ascii="Times New Roman" w:hAnsi="Times New Roman" w:cs="Times New Roman"/>
          </w:rPr>
        </w:pPr>
        <w:r w:rsidRPr="00690515">
          <w:rPr>
            <w:rStyle w:val="Numeropagina"/>
            <w:rFonts w:ascii="Times New Roman" w:hAnsi="Times New Roman" w:cs="Times New Roman"/>
          </w:rPr>
          <w:fldChar w:fldCharType="begin"/>
        </w:r>
        <w:r w:rsidRPr="00690515">
          <w:rPr>
            <w:rStyle w:val="Numeropagina"/>
            <w:rFonts w:ascii="Times New Roman" w:hAnsi="Times New Roman" w:cs="Times New Roman"/>
          </w:rPr>
          <w:instrText xml:space="preserve"> PAGE </w:instrText>
        </w:r>
        <w:r w:rsidRPr="00690515">
          <w:rPr>
            <w:rStyle w:val="Numeropagina"/>
            <w:rFonts w:ascii="Times New Roman" w:hAnsi="Times New Roman" w:cs="Times New Roman"/>
          </w:rPr>
          <w:fldChar w:fldCharType="separate"/>
        </w:r>
        <w:r w:rsidRPr="00690515">
          <w:rPr>
            <w:rStyle w:val="Numeropagina"/>
            <w:rFonts w:ascii="Times New Roman" w:hAnsi="Times New Roman" w:cs="Times New Roman"/>
            <w:noProof/>
          </w:rPr>
          <w:t>1</w:t>
        </w:r>
        <w:r w:rsidRPr="00690515">
          <w:rPr>
            <w:rStyle w:val="Numeropagina"/>
            <w:rFonts w:ascii="Times New Roman" w:hAnsi="Times New Roman" w:cs="Times New Roman"/>
          </w:rPr>
          <w:fldChar w:fldCharType="end"/>
        </w:r>
      </w:p>
    </w:sdtContent>
  </w:sdt>
  <w:p w14:paraId="4D454D25" w14:textId="77777777" w:rsidR="00040C7E" w:rsidRDefault="00040C7E" w:rsidP="00085C34">
    <w:pPr>
      <w:pStyle w:val="Intestazion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F0"/>
    <w:rsid w:val="00010DCC"/>
    <w:rsid w:val="00025E7E"/>
    <w:rsid w:val="0003387C"/>
    <w:rsid w:val="0003485A"/>
    <w:rsid w:val="00040C7E"/>
    <w:rsid w:val="00045E5B"/>
    <w:rsid w:val="000929E3"/>
    <w:rsid w:val="00094154"/>
    <w:rsid w:val="000B49B8"/>
    <w:rsid w:val="000C44C8"/>
    <w:rsid w:val="000D32F4"/>
    <w:rsid w:val="000F74F3"/>
    <w:rsid w:val="00136285"/>
    <w:rsid w:val="001A5750"/>
    <w:rsid w:val="001F686F"/>
    <w:rsid w:val="00212A99"/>
    <w:rsid w:val="002742D2"/>
    <w:rsid w:val="00281B2A"/>
    <w:rsid w:val="002A3C59"/>
    <w:rsid w:val="002A5305"/>
    <w:rsid w:val="002D029F"/>
    <w:rsid w:val="002F48F3"/>
    <w:rsid w:val="00354523"/>
    <w:rsid w:val="003B1392"/>
    <w:rsid w:val="003F725D"/>
    <w:rsid w:val="0044139B"/>
    <w:rsid w:val="0046715B"/>
    <w:rsid w:val="00491447"/>
    <w:rsid w:val="004E6DD3"/>
    <w:rsid w:val="00587B6D"/>
    <w:rsid w:val="005A0B59"/>
    <w:rsid w:val="005E3940"/>
    <w:rsid w:val="00644308"/>
    <w:rsid w:val="006C1C18"/>
    <w:rsid w:val="006C2D9B"/>
    <w:rsid w:val="00742374"/>
    <w:rsid w:val="007C3ADC"/>
    <w:rsid w:val="007D5175"/>
    <w:rsid w:val="00827D03"/>
    <w:rsid w:val="00831E2B"/>
    <w:rsid w:val="008767C3"/>
    <w:rsid w:val="008A160E"/>
    <w:rsid w:val="008C6BE2"/>
    <w:rsid w:val="008D12A4"/>
    <w:rsid w:val="00911723"/>
    <w:rsid w:val="00934F2E"/>
    <w:rsid w:val="0096744C"/>
    <w:rsid w:val="0099587B"/>
    <w:rsid w:val="009D4007"/>
    <w:rsid w:val="009E04C9"/>
    <w:rsid w:val="00A169ED"/>
    <w:rsid w:val="00A67563"/>
    <w:rsid w:val="00A771EA"/>
    <w:rsid w:val="00A833FE"/>
    <w:rsid w:val="00B45ABA"/>
    <w:rsid w:val="00B9118B"/>
    <w:rsid w:val="00BA42E7"/>
    <w:rsid w:val="00BD1B31"/>
    <w:rsid w:val="00BE46A5"/>
    <w:rsid w:val="00C15FB7"/>
    <w:rsid w:val="00C17F95"/>
    <w:rsid w:val="00C35852"/>
    <w:rsid w:val="00C456CA"/>
    <w:rsid w:val="00C53577"/>
    <w:rsid w:val="00C62240"/>
    <w:rsid w:val="00C63937"/>
    <w:rsid w:val="00C66120"/>
    <w:rsid w:val="00C7424A"/>
    <w:rsid w:val="00C955B4"/>
    <w:rsid w:val="00CA5109"/>
    <w:rsid w:val="00CB3DAB"/>
    <w:rsid w:val="00CB5042"/>
    <w:rsid w:val="00CE4940"/>
    <w:rsid w:val="00CF579F"/>
    <w:rsid w:val="00D11CDA"/>
    <w:rsid w:val="00D209DB"/>
    <w:rsid w:val="00D268BB"/>
    <w:rsid w:val="00D678A4"/>
    <w:rsid w:val="00D75013"/>
    <w:rsid w:val="00D920B3"/>
    <w:rsid w:val="00D963BF"/>
    <w:rsid w:val="00DA1D7C"/>
    <w:rsid w:val="00DA304F"/>
    <w:rsid w:val="00DA70C2"/>
    <w:rsid w:val="00DB66AC"/>
    <w:rsid w:val="00DF2016"/>
    <w:rsid w:val="00E108F0"/>
    <w:rsid w:val="00E15512"/>
    <w:rsid w:val="00E36511"/>
    <w:rsid w:val="00E41DD0"/>
    <w:rsid w:val="00E50182"/>
    <w:rsid w:val="00EB5068"/>
    <w:rsid w:val="00EC023E"/>
    <w:rsid w:val="00ED3D7A"/>
    <w:rsid w:val="00F17A0A"/>
    <w:rsid w:val="00F26DA0"/>
    <w:rsid w:val="00F403C6"/>
    <w:rsid w:val="00F7471C"/>
    <w:rsid w:val="00F76184"/>
    <w:rsid w:val="00FA1653"/>
    <w:rsid w:val="00FB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1C5B"/>
  <w15:chartTrackingRefBased/>
  <w15:docId w15:val="{A1146079-60C6-4724-9506-97E00979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5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08F0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08F0"/>
    <w:rPr>
      <w:rFonts w:eastAsiaTheme="minorEastAsia"/>
      <w:sz w:val="24"/>
      <w:szCs w:val="24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E108F0"/>
  </w:style>
  <w:style w:type="table" w:styleId="Grigliatabella">
    <w:name w:val="Table Grid"/>
    <w:basedOn w:val="Tabellanormale"/>
    <w:uiPriority w:val="39"/>
    <w:rsid w:val="00E108F0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F68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F686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F686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686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F686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Revisione">
    <w:name w:val="Revision"/>
    <w:hidden/>
    <w:uiPriority w:val="99"/>
    <w:semiHidden/>
    <w:rsid w:val="00C74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orpotesto">
    <w:name w:val="Body Text"/>
    <w:basedOn w:val="Normale"/>
    <w:link w:val="CorpotestoCarattere"/>
    <w:rsid w:val="004E6DD3"/>
    <w:pPr>
      <w:suppressAutoHyphens/>
      <w:spacing w:after="140" w:line="288" w:lineRule="auto"/>
    </w:pPr>
    <w:rPr>
      <w:rFonts w:eastAsia="MS Mincho" w:cs="font44"/>
      <w:color w:val="00000A"/>
      <w:kern w:val="1"/>
    </w:rPr>
  </w:style>
  <w:style w:type="character" w:customStyle="1" w:styleId="CorpotestoCarattere">
    <w:name w:val="Corpo testo Carattere"/>
    <w:basedOn w:val="Carpredefinitoparagrafo"/>
    <w:link w:val="Corpotesto"/>
    <w:rsid w:val="004E6DD3"/>
    <w:rPr>
      <w:rFonts w:ascii="Times New Roman" w:eastAsia="MS Mincho" w:hAnsi="Times New Roman" w:cs="font44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1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1183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Scaltritti, Michele</dc:creator>
  <cp:keywords/>
  <dc:description/>
  <cp:lastModifiedBy>Scaltritti, Michele</cp:lastModifiedBy>
  <cp:revision>2</cp:revision>
  <dcterms:created xsi:type="dcterms:W3CDTF">2024-03-04T10:54:00Z</dcterms:created>
  <dcterms:modified xsi:type="dcterms:W3CDTF">2024-03-04T10:54:00Z</dcterms:modified>
</cp:coreProperties>
</file>