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E9703" w14:textId="3543B439" w:rsidR="00546F5C" w:rsidRPr="004E6E99" w:rsidRDefault="004E6E99" w:rsidP="004E6E99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4E6E99">
        <w:rPr>
          <w:rFonts w:ascii="Times New Roman" w:hAnsi="Times New Roman" w:cs="Times New Roman"/>
          <w:b/>
          <w:bCs/>
          <w:sz w:val="24"/>
          <w:szCs w:val="28"/>
        </w:rPr>
        <w:t>Supplementary File</w:t>
      </w:r>
    </w:p>
    <w:p w14:paraId="34E3218A" w14:textId="007CD1F3" w:rsidR="004E6E99" w:rsidRPr="004E6E99" w:rsidRDefault="004E6E99" w:rsidP="004E6E99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4E6E99">
        <w:rPr>
          <w:rFonts w:ascii="Times New Roman" w:hAnsi="Times New Roman" w:cs="Times New Roman"/>
          <w:b/>
          <w:bCs/>
          <w:sz w:val="24"/>
          <w:szCs w:val="28"/>
        </w:rPr>
        <w:t xml:space="preserve">Calculating </w:t>
      </w:r>
      <w:r w:rsidRPr="004E6E99">
        <w:rPr>
          <w:rFonts w:ascii="Times New Roman" w:hAnsi="Times New Roman" w:cs="Times New Roman"/>
          <w:b/>
          <w:bCs/>
          <w:sz w:val="24"/>
          <w:szCs w:val="28"/>
        </w:rPr>
        <w:t>variable-specific effect sizes</w:t>
      </w:r>
    </w:p>
    <w:p w14:paraId="3CBC29E0" w14:textId="77777777" w:rsidR="004E6E99" w:rsidRPr="004E6E99" w:rsidRDefault="004E6E99" w:rsidP="004E6E99">
      <w:pPr>
        <w:jc w:val="center"/>
        <w:rPr>
          <w:rFonts w:ascii="Times New Roman" w:hAnsi="Times New Roman" w:cs="Times New Roman"/>
          <w:sz w:val="24"/>
          <w:szCs w:val="28"/>
        </w:rPr>
      </w:pPr>
    </w:p>
    <w:p w14:paraId="0DE995C5" w14:textId="24040333" w:rsidR="004E6E99" w:rsidRDefault="004E6E99" w:rsidP="004E6E99">
      <w:pPr>
        <w:jc w:val="left"/>
        <w:rPr>
          <w:rFonts w:ascii="Times New Roman" w:hAnsi="Times New Roman" w:cs="Times New Roman" w:hint="eastAsia"/>
          <w:sz w:val="24"/>
          <w:szCs w:val="28"/>
        </w:rPr>
      </w:pPr>
      <w:r w:rsidRPr="004E6E99">
        <w:rPr>
          <w:rFonts w:ascii="Times New Roman" w:hAnsi="Times New Roman" w:cs="Times New Roman"/>
          <w:sz w:val="24"/>
          <w:szCs w:val="28"/>
        </w:rPr>
        <w:t xml:space="preserve">In order to make it easier to understand the magnitude of the effects of each variable in the linear mixed model at a glance, we performed an analysis using the </w:t>
      </w:r>
      <w:r w:rsidRPr="004E6E99">
        <w:rPr>
          <w:rFonts w:ascii="Times New Roman" w:hAnsi="Times New Roman" w:cs="Times New Roman"/>
          <w:i/>
          <w:iCs/>
          <w:sz w:val="24"/>
          <w:szCs w:val="28"/>
        </w:rPr>
        <w:t>partR2</w:t>
      </w:r>
      <w:r w:rsidRPr="004E6E99">
        <w:rPr>
          <w:rFonts w:ascii="Times New Roman" w:hAnsi="Times New Roman" w:cs="Times New Roman"/>
          <w:sz w:val="24"/>
          <w:szCs w:val="28"/>
        </w:rPr>
        <w:t xml:space="preserve"> package</w:t>
      </w:r>
      <w:r w:rsidR="001E14A4">
        <w:rPr>
          <w:rFonts w:ascii="Times New Roman" w:hAnsi="Times New Roman" w:cs="Times New Roman" w:hint="eastAsia"/>
          <w:sz w:val="24"/>
          <w:szCs w:val="28"/>
        </w:rPr>
        <w:t xml:space="preserve"> (</w:t>
      </w:r>
      <w:r w:rsidR="001E14A4" w:rsidRPr="001E14A4">
        <w:rPr>
          <w:rFonts w:ascii="Times New Roman" w:hAnsi="Times New Roman" w:cs="Times New Roman"/>
          <w:sz w:val="24"/>
          <w:szCs w:val="28"/>
        </w:rPr>
        <w:t>Stoffel, Nakagawa</w:t>
      </w:r>
      <w:r w:rsidR="001E14A4">
        <w:rPr>
          <w:rFonts w:ascii="Times New Roman" w:hAnsi="Times New Roman" w:cs="Times New Roman" w:hint="eastAsia"/>
          <w:sz w:val="24"/>
          <w:szCs w:val="28"/>
        </w:rPr>
        <w:t>,</w:t>
      </w:r>
      <w:r w:rsidR="001E14A4" w:rsidRPr="001E14A4">
        <w:rPr>
          <w:rFonts w:ascii="Times New Roman" w:hAnsi="Times New Roman" w:cs="Times New Roman"/>
          <w:sz w:val="24"/>
          <w:szCs w:val="28"/>
        </w:rPr>
        <w:t xml:space="preserve"> &amp; </w:t>
      </w:r>
      <w:proofErr w:type="spellStart"/>
      <w:r w:rsidR="001E14A4" w:rsidRPr="001E14A4">
        <w:rPr>
          <w:rFonts w:ascii="Times New Roman" w:hAnsi="Times New Roman" w:cs="Times New Roman"/>
          <w:sz w:val="24"/>
          <w:szCs w:val="28"/>
        </w:rPr>
        <w:t>Schielzeth</w:t>
      </w:r>
      <w:proofErr w:type="spellEnd"/>
      <w:r w:rsidR="001E14A4">
        <w:rPr>
          <w:rFonts w:ascii="Times New Roman" w:hAnsi="Times New Roman" w:cs="Times New Roman" w:hint="eastAsia"/>
          <w:sz w:val="24"/>
          <w:szCs w:val="28"/>
        </w:rPr>
        <w:t>, 2017)</w:t>
      </w:r>
      <w:r w:rsidRPr="004E6E99">
        <w:rPr>
          <w:rFonts w:ascii="Times New Roman" w:hAnsi="Times New Roman" w:cs="Times New Roman"/>
          <w:sz w:val="24"/>
          <w:szCs w:val="28"/>
        </w:rPr>
        <w:t xml:space="preserve"> in R.</w:t>
      </w:r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1E14A4">
        <w:rPr>
          <w:rFonts w:ascii="Times New Roman" w:hAnsi="Times New Roman" w:cs="Times New Roman" w:hint="eastAsia"/>
          <w:sz w:val="24"/>
          <w:szCs w:val="28"/>
        </w:rPr>
        <w:t xml:space="preserve">Notably, however, </w:t>
      </w:r>
      <w:r w:rsidR="001E14A4" w:rsidRPr="001E14A4">
        <w:rPr>
          <w:rFonts w:ascii="Times New Roman" w:hAnsi="Times New Roman" w:cs="Times New Roman"/>
          <w:sz w:val="24"/>
          <w:szCs w:val="28"/>
        </w:rPr>
        <w:t>this package has difficulties in estimating effect sizes that include higher-order interactions, as in this study.</w:t>
      </w:r>
      <w:r w:rsidR="001E14A4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1E14A4" w:rsidRPr="001E14A4">
        <w:rPr>
          <w:rFonts w:ascii="Times New Roman" w:hAnsi="Times New Roman" w:cs="Times New Roman"/>
          <w:sz w:val="24"/>
          <w:szCs w:val="28"/>
        </w:rPr>
        <w:t>Therefore, we decided not to include this analysis in the article and to report it in this file instead.</w:t>
      </w:r>
      <w:r w:rsidR="001E14A4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1E14A4" w:rsidRPr="001E14A4">
        <w:rPr>
          <w:rFonts w:ascii="Times New Roman" w:hAnsi="Times New Roman" w:cs="Times New Roman"/>
          <w:sz w:val="24"/>
          <w:szCs w:val="28"/>
        </w:rPr>
        <w:t xml:space="preserve">Here, we report a table with an additional column for R-squared values added to </w:t>
      </w:r>
      <w:r w:rsidR="00387050">
        <w:rPr>
          <w:rFonts w:ascii="Times New Roman" w:hAnsi="Times New Roman" w:cs="Times New Roman" w:hint="eastAsia"/>
          <w:sz w:val="24"/>
          <w:szCs w:val="28"/>
        </w:rPr>
        <w:t>T</w:t>
      </w:r>
      <w:r w:rsidR="001E14A4" w:rsidRPr="001E14A4">
        <w:rPr>
          <w:rFonts w:ascii="Times New Roman" w:hAnsi="Times New Roman" w:cs="Times New Roman"/>
          <w:sz w:val="24"/>
          <w:szCs w:val="28"/>
        </w:rPr>
        <w:t>able</w:t>
      </w:r>
      <w:r w:rsidR="00387050">
        <w:rPr>
          <w:rFonts w:ascii="Times New Roman" w:hAnsi="Times New Roman" w:cs="Times New Roman" w:hint="eastAsia"/>
          <w:sz w:val="24"/>
          <w:szCs w:val="28"/>
        </w:rPr>
        <w:t>s 4 and 5</w:t>
      </w:r>
      <w:r w:rsidR="001E14A4" w:rsidRPr="001E14A4">
        <w:rPr>
          <w:rFonts w:ascii="Times New Roman" w:hAnsi="Times New Roman" w:cs="Times New Roman"/>
          <w:sz w:val="24"/>
          <w:szCs w:val="28"/>
        </w:rPr>
        <w:t xml:space="preserve"> published in the article.</w:t>
      </w:r>
      <w:r w:rsidR="001E14A4" w:rsidRPr="001E14A4">
        <w:rPr>
          <w:rFonts w:ascii="Times New Roman" w:hAnsi="Times New Roman" w:cs="Times New Roman"/>
          <w:sz w:val="24"/>
          <w:szCs w:val="28"/>
        </w:rPr>
        <w:t xml:space="preserve"> </w:t>
      </w:r>
      <w:r w:rsidR="001E14A4" w:rsidRPr="001E14A4">
        <w:rPr>
          <w:rFonts w:ascii="Times New Roman" w:hAnsi="Times New Roman" w:cs="Times New Roman"/>
          <w:sz w:val="24"/>
          <w:szCs w:val="28"/>
        </w:rPr>
        <w:t>These effect sizes provide useful information, but should be interpreted with caution.</w:t>
      </w:r>
      <w:r w:rsidR="00387050">
        <w:rPr>
          <w:rFonts w:ascii="Times New Roman" w:hAnsi="Times New Roman" w:cs="Times New Roman" w:hint="eastAsia"/>
          <w:sz w:val="24"/>
          <w:szCs w:val="28"/>
        </w:rPr>
        <w:t xml:space="preserve"> Note that the analyses for retrieval latency (Table 6), specific memory response (Table S1), categoric memory response (Table S2) did not converge, possibly </w:t>
      </w:r>
      <w:r w:rsidR="00387050" w:rsidRPr="00387050">
        <w:rPr>
          <w:rFonts w:ascii="Times New Roman" w:hAnsi="Times New Roman" w:cs="Times New Roman"/>
          <w:sz w:val="24"/>
          <w:szCs w:val="28"/>
        </w:rPr>
        <w:t>due to the complexity of the model.</w:t>
      </w:r>
    </w:p>
    <w:p w14:paraId="4A503200" w14:textId="77777777" w:rsidR="004E6E99" w:rsidRPr="004E6E99" w:rsidRDefault="004E6E99" w:rsidP="004E6E99">
      <w:pPr>
        <w:jc w:val="left"/>
        <w:rPr>
          <w:rFonts w:ascii="Times New Roman" w:hAnsi="Times New Roman" w:cs="Times New Roman" w:hint="eastAsia"/>
          <w:sz w:val="24"/>
          <w:szCs w:val="28"/>
        </w:rPr>
      </w:pPr>
    </w:p>
    <w:p w14:paraId="34D4EAEC" w14:textId="0252EBC5" w:rsidR="004E6E99" w:rsidRDefault="001E14A4" w:rsidP="004E6E99">
      <w:pPr>
        <w:jc w:val="left"/>
        <w:rPr>
          <w:rFonts w:ascii="Times New Roman" w:hAnsi="Times New Roman" w:cs="Times New Roman"/>
          <w:sz w:val="24"/>
          <w:szCs w:val="28"/>
        </w:rPr>
      </w:pPr>
      <w:r w:rsidRPr="001E14A4">
        <w:drawing>
          <wp:inline distT="0" distB="0" distL="0" distR="0" wp14:anchorId="3FBF0695" wp14:editId="5AC7192E">
            <wp:extent cx="5400040" cy="2329815"/>
            <wp:effectExtent l="0" t="0" r="0" b="0"/>
            <wp:docPr id="149587402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32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E5336" w14:textId="77777777" w:rsidR="001E14A4" w:rsidRDefault="001E14A4" w:rsidP="004E6E99">
      <w:pPr>
        <w:jc w:val="left"/>
        <w:rPr>
          <w:rFonts w:ascii="Times New Roman" w:hAnsi="Times New Roman" w:cs="Times New Roman"/>
          <w:sz w:val="24"/>
          <w:szCs w:val="28"/>
        </w:rPr>
      </w:pPr>
    </w:p>
    <w:p w14:paraId="739FA477" w14:textId="6B9D3833" w:rsidR="001E14A4" w:rsidRDefault="001E14A4" w:rsidP="004E6E99">
      <w:pPr>
        <w:jc w:val="left"/>
        <w:rPr>
          <w:rFonts w:ascii="Times New Roman" w:hAnsi="Times New Roman" w:cs="Times New Roman" w:hint="eastAsia"/>
          <w:sz w:val="24"/>
          <w:szCs w:val="28"/>
        </w:rPr>
      </w:pPr>
      <w:r w:rsidRPr="001E14A4">
        <w:rPr>
          <w:rFonts w:hint="eastAsia"/>
        </w:rPr>
        <w:drawing>
          <wp:inline distT="0" distB="0" distL="0" distR="0" wp14:anchorId="7BACF067" wp14:editId="029E1CE4">
            <wp:extent cx="5400040" cy="2104390"/>
            <wp:effectExtent l="0" t="0" r="0" b="0"/>
            <wp:docPr id="85627893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10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E5B23" w14:textId="77777777" w:rsidR="001E14A4" w:rsidRDefault="001E14A4" w:rsidP="004E6E99">
      <w:pPr>
        <w:jc w:val="left"/>
        <w:rPr>
          <w:rFonts w:ascii="Times New Roman" w:hAnsi="Times New Roman" w:cs="Times New Roman" w:hint="eastAsia"/>
          <w:sz w:val="24"/>
          <w:szCs w:val="28"/>
        </w:rPr>
      </w:pPr>
    </w:p>
    <w:p w14:paraId="79833040" w14:textId="059457C7" w:rsidR="001E14A4" w:rsidRPr="001E14A4" w:rsidRDefault="001E14A4" w:rsidP="001E14A4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1E14A4">
        <w:rPr>
          <w:rFonts w:ascii="Times New Roman" w:hAnsi="Times New Roman" w:cs="Times New Roman" w:hint="eastAsia"/>
          <w:b/>
          <w:bCs/>
          <w:sz w:val="24"/>
          <w:szCs w:val="28"/>
        </w:rPr>
        <w:t>Reference</w:t>
      </w:r>
    </w:p>
    <w:p w14:paraId="18D44E51" w14:textId="6E90A9E7" w:rsidR="001E14A4" w:rsidRDefault="001E14A4" w:rsidP="001E14A4">
      <w:pPr>
        <w:ind w:left="480" w:hangingChars="200" w:hanging="480"/>
        <w:jc w:val="left"/>
        <w:rPr>
          <w:rFonts w:ascii="Times New Roman" w:hAnsi="Times New Roman" w:cs="Times New Roman" w:hint="eastAsia"/>
          <w:sz w:val="24"/>
          <w:szCs w:val="28"/>
        </w:rPr>
      </w:pPr>
      <w:r w:rsidRPr="001E14A4">
        <w:rPr>
          <w:rFonts w:ascii="Times New Roman" w:hAnsi="Times New Roman" w:cs="Times New Roman"/>
          <w:sz w:val="24"/>
          <w:szCs w:val="28"/>
        </w:rPr>
        <w:t xml:space="preserve">Stoffel, M. A., Nakagawa, S. &amp; </w:t>
      </w:r>
      <w:proofErr w:type="spellStart"/>
      <w:r w:rsidRPr="001E14A4">
        <w:rPr>
          <w:rFonts w:ascii="Times New Roman" w:hAnsi="Times New Roman" w:cs="Times New Roman"/>
          <w:sz w:val="24"/>
          <w:szCs w:val="28"/>
        </w:rPr>
        <w:t>Schielzeth</w:t>
      </w:r>
      <w:proofErr w:type="spellEnd"/>
      <w:r w:rsidRPr="001E14A4">
        <w:rPr>
          <w:rFonts w:ascii="Times New Roman" w:hAnsi="Times New Roman" w:cs="Times New Roman"/>
          <w:sz w:val="24"/>
          <w:szCs w:val="28"/>
        </w:rPr>
        <w:t xml:space="preserve">, H. (2017). </w:t>
      </w:r>
      <w:proofErr w:type="spellStart"/>
      <w:r w:rsidRPr="001E14A4">
        <w:rPr>
          <w:rFonts w:ascii="Times New Roman" w:hAnsi="Times New Roman" w:cs="Times New Roman"/>
          <w:sz w:val="24"/>
          <w:szCs w:val="28"/>
        </w:rPr>
        <w:t>rptR</w:t>
      </w:r>
      <w:proofErr w:type="spellEnd"/>
      <w:r w:rsidRPr="001E14A4">
        <w:rPr>
          <w:rFonts w:ascii="Times New Roman" w:hAnsi="Times New Roman" w:cs="Times New Roman"/>
          <w:sz w:val="24"/>
          <w:szCs w:val="28"/>
        </w:rPr>
        <w:t xml:space="preserve">: Repeatability estimation and variance decomposition by generalized linear mixed-effects models. </w:t>
      </w:r>
      <w:r w:rsidRPr="001E14A4">
        <w:rPr>
          <w:rFonts w:ascii="Times New Roman" w:hAnsi="Times New Roman" w:cs="Times New Roman"/>
          <w:i/>
          <w:iCs/>
          <w:sz w:val="24"/>
          <w:szCs w:val="28"/>
        </w:rPr>
        <w:t>Methods in Ecology and Evolution</w:t>
      </w:r>
      <w:r>
        <w:rPr>
          <w:rFonts w:ascii="Times New Roman" w:hAnsi="Times New Roman" w:cs="Times New Roman" w:hint="eastAsia"/>
          <w:sz w:val="24"/>
          <w:szCs w:val="28"/>
        </w:rPr>
        <w:t>,</w:t>
      </w:r>
      <w:r w:rsidRPr="001E14A4">
        <w:rPr>
          <w:rFonts w:ascii="Times New Roman" w:hAnsi="Times New Roman" w:cs="Times New Roman"/>
          <w:sz w:val="24"/>
          <w:szCs w:val="28"/>
        </w:rPr>
        <w:t xml:space="preserve"> </w:t>
      </w:r>
      <w:r w:rsidRPr="001E14A4">
        <w:rPr>
          <w:rFonts w:ascii="Times New Roman" w:hAnsi="Times New Roman" w:cs="Times New Roman"/>
          <w:i/>
          <w:iCs/>
          <w:sz w:val="24"/>
          <w:szCs w:val="28"/>
        </w:rPr>
        <w:t>8</w:t>
      </w:r>
      <w:r>
        <w:rPr>
          <w:rFonts w:ascii="Times New Roman" w:hAnsi="Times New Roman" w:cs="Times New Roman" w:hint="eastAsia"/>
          <w:sz w:val="24"/>
          <w:szCs w:val="28"/>
        </w:rPr>
        <w:t>,</w:t>
      </w:r>
      <w:r w:rsidRPr="001E14A4">
        <w:rPr>
          <w:rFonts w:ascii="Times New Roman" w:hAnsi="Times New Roman" w:cs="Times New Roman"/>
          <w:sz w:val="24"/>
          <w:szCs w:val="28"/>
        </w:rPr>
        <w:t xml:space="preserve"> 1639-1644.</w:t>
      </w:r>
    </w:p>
    <w:p w14:paraId="08928238" w14:textId="77777777" w:rsidR="001E14A4" w:rsidRDefault="001E14A4" w:rsidP="004E6E99">
      <w:pPr>
        <w:jc w:val="left"/>
        <w:rPr>
          <w:rFonts w:ascii="Times New Roman" w:hAnsi="Times New Roman" w:cs="Times New Roman"/>
          <w:sz w:val="24"/>
          <w:szCs w:val="28"/>
        </w:rPr>
      </w:pPr>
    </w:p>
    <w:p w14:paraId="78FF1767" w14:textId="77777777" w:rsidR="001E14A4" w:rsidRPr="004E6E99" w:rsidRDefault="001E14A4" w:rsidP="004E6E99">
      <w:pPr>
        <w:jc w:val="left"/>
        <w:rPr>
          <w:rFonts w:ascii="Times New Roman" w:hAnsi="Times New Roman" w:cs="Times New Roman" w:hint="eastAsia"/>
          <w:sz w:val="24"/>
          <w:szCs w:val="28"/>
        </w:rPr>
      </w:pPr>
    </w:p>
    <w:sectPr w:rsidR="001E14A4" w:rsidRPr="004E6E9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E99"/>
    <w:rsid w:val="00197149"/>
    <w:rsid w:val="001E14A4"/>
    <w:rsid w:val="00387050"/>
    <w:rsid w:val="004E6E99"/>
    <w:rsid w:val="00546F5C"/>
    <w:rsid w:val="007B6DA0"/>
    <w:rsid w:val="00F9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F47077"/>
  <w15:chartTrackingRefBased/>
  <w15:docId w15:val="{6A359340-C863-4094-AD73-D258ED6F7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E6E9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6E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6E9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6E9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6E9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6E9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6E9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6E9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6E9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E6E9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E6E9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E6E9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E6E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E6E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E6E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E6E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E6E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E6E9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E6E9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E6E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6E9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E6E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6E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E6E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6E9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E6E99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E6E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E6E99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4E6E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 Noboru</dc:creator>
  <cp:keywords/>
  <dc:description/>
  <cp:lastModifiedBy>Matsumoto Noboru</cp:lastModifiedBy>
  <cp:revision>2</cp:revision>
  <dcterms:created xsi:type="dcterms:W3CDTF">2025-06-23T17:50:00Z</dcterms:created>
  <dcterms:modified xsi:type="dcterms:W3CDTF">2025-06-24T15:47:00Z</dcterms:modified>
</cp:coreProperties>
</file>