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4547345" w14:textId="21288A98" w:rsidR="001828A8" w:rsidRDefault="001828A8" w:rsidP="001828A8">
      <w:pPr>
        <w:ind w:firstLine="0"/>
        <w:jc w:val="center"/>
        <w:rPr>
          <w:rFonts w:eastAsia="SimSun"/>
          <w:lang w:val="en-US"/>
        </w:rPr>
      </w:pPr>
      <w:r w:rsidRPr="00A450AC">
        <w:rPr>
          <w:rFonts w:eastAsia="SimSun"/>
          <w:lang w:val="en-US"/>
        </w:rPr>
        <w:t xml:space="preserve">Supplement </w:t>
      </w:r>
      <w:r>
        <w:rPr>
          <w:rFonts w:eastAsia="SimSun"/>
          <w:lang w:val="en-US"/>
        </w:rPr>
        <w:t>E: Analyses of Publication Bias</w:t>
      </w:r>
    </w:p>
    <w:p w14:paraId="2D3EFA07" w14:textId="79AF94EC" w:rsidR="00767A2C" w:rsidRPr="00A450AC" w:rsidRDefault="00767A2C" w:rsidP="00767A2C">
      <w:pPr>
        <w:pStyle w:val="berschrift1"/>
        <w:rPr>
          <w:rFonts w:eastAsia="SimSun"/>
          <w:lang w:val="en-US"/>
        </w:rPr>
      </w:pPr>
    </w:p>
    <w:p w14:paraId="640AA7D2" w14:textId="77777777" w:rsidR="00767A2C" w:rsidRPr="00A450AC" w:rsidRDefault="00767A2C" w:rsidP="00767A2C">
      <w:pPr>
        <w:outlineLvl w:val="0"/>
        <w:rPr>
          <w:color w:val="000000"/>
          <w:lang w:val="en-US"/>
        </w:rPr>
      </w:pPr>
      <w:r w:rsidRPr="00A450AC">
        <w:rPr>
          <w:color w:val="000000"/>
          <w:lang w:val="en-US"/>
        </w:rPr>
        <w:t>A major threat to valid inference from meta-analyses is a failure to include unpublished studies with small effects because statistically significant findings are more likely to being submitted and accepted for publication (</w:t>
      </w:r>
      <w:r w:rsidRPr="00A450AC">
        <w:rPr>
          <w:lang w:val="en-US"/>
        </w:rPr>
        <w:t xml:space="preserve">Rothstein, Sutton, &amp; </w:t>
      </w:r>
      <w:proofErr w:type="spellStart"/>
      <w:r w:rsidRPr="00A450AC">
        <w:rPr>
          <w:lang w:val="en-US"/>
        </w:rPr>
        <w:t>Borenstein</w:t>
      </w:r>
      <w:proofErr w:type="spellEnd"/>
      <w:r w:rsidRPr="00A450AC">
        <w:rPr>
          <w:lang w:val="en-US"/>
        </w:rPr>
        <w:t xml:space="preserve">, 2005). </w:t>
      </w:r>
      <w:r w:rsidRPr="00A450AC">
        <w:rPr>
          <w:color w:val="000000"/>
          <w:lang w:val="en-US"/>
        </w:rPr>
        <w:t xml:space="preserve">The presence and consequence of a potential publication bias was examined in several ways including (a) a visual inspection of the funnel plots, (b) testing the funnel plot for asymmetry, (c) estimating meta-analytic selection models, and (d) examining the </w:t>
      </w:r>
      <w:r w:rsidRPr="00A450AC">
        <w:rPr>
          <w:i/>
          <w:color w:val="000000"/>
          <w:lang w:val="en-US"/>
        </w:rPr>
        <w:t>p</w:t>
      </w:r>
      <w:r w:rsidRPr="00A450AC">
        <w:rPr>
          <w:color w:val="000000"/>
          <w:lang w:val="en-US"/>
        </w:rPr>
        <w:t>-value distribution of the effect sizes.</w:t>
      </w:r>
    </w:p>
    <w:p w14:paraId="6B26C495" w14:textId="53663CC5" w:rsidR="005A7199" w:rsidRDefault="00767A2C" w:rsidP="005A7199">
      <w:pPr>
        <w:outlineLvl w:val="0"/>
        <w:rPr>
          <w:color w:val="000000"/>
          <w:lang w:val="en-US"/>
        </w:rPr>
      </w:pPr>
      <w:r w:rsidRPr="00A450AC">
        <w:rPr>
          <w:b/>
          <w:color w:val="000000"/>
          <w:lang w:val="en-US"/>
        </w:rPr>
        <w:t>Visual inspection of funnel plots</w:t>
      </w:r>
      <w:r w:rsidRPr="00A450AC">
        <w:rPr>
          <w:color w:val="000000"/>
          <w:lang w:val="en-US"/>
        </w:rPr>
        <w:t xml:space="preserve">. The funnel plot visualizes the observed effect sizes and their standard error (Sterne &amp; Egger, 2001). In the absence of publication bias the individual effect sizes are expected to be distributed around the pooled effect and form the shape of an inverted funnel; that is, studies with larger samples (and, thus, smaller standard errors) should closely cluster around the pooled effect near to the top of the figure, whereas small-sample studies (with larger standard errors) are expected to be more strongly distributed around the pooled effect near the bottom of the plot. In the presence of publication bias small studies with less precision are expected to by systematically missing and create an asymmetrical shape of the funnel plot; thus, no (or rather few) effects are displayed in the bottom right-hand side of the plot. To improve their interpretability, funnel plots can be enhanced by contours of statistical significance; thus, a 95% or 99% pseudo confidence interval region is drawn around the </w:t>
      </w:r>
      <w:r w:rsidR="004B3139">
        <w:rPr>
          <w:color w:val="000000"/>
          <w:lang w:val="en-US"/>
        </w:rPr>
        <w:t>null</w:t>
      </w:r>
      <w:r w:rsidRPr="00A450AC">
        <w:rPr>
          <w:color w:val="000000"/>
          <w:lang w:val="en-US"/>
        </w:rPr>
        <w:t xml:space="preserve"> effect. These contour-enhanced funnel plots for anagram</w:t>
      </w:r>
      <w:r w:rsidR="004B3139">
        <w:rPr>
          <w:color w:val="000000"/>
          <w:lang w:val="en-US"/>
        </w:rPr>
        <w:t>,</w:t>
      </w:r>
      <w:r w:rsidRPr="00A450AC">
        <w:rPr>
          <w:color w:val="000000"/>
          <w:lang w:val="en-US"/>
        </w:rPr>
        <w:t xml:space="preserve"> reasoning</w:t>
      </w:r>
      <w:r w:rsidR="004B3139">
        <w:rPr>
          <w:color w:val="000000"/>
          <w:lang w:val="en-US"/>
        </w:rPr>
        <w:t>, and knowledge</w:t>
      </w:r>
      <w:r w:rsidRPr="00A450AC">
        <w:rPr>
          <w:color w:val="000000"/>
          <w:lang w:val="en-US"/>
        </w:rPr>
        <w:t xml:space="preserve"> tests are displayed in Figure 3 of the main paper. Both plots indicated highly asymmetric shapes. </w:t>
      </w:r>
      <w:r w:rsidR="004B3139">
        <w:rPr>
          <w:color w:val="000000"/>
          <w:lang w:val="en-US"/>
        </w:rPr>
        <w:t>A similar picture also emerged when evaluating all effect sizes for</w:t>
      </w:r>
      <w:r w:rsidR="00833DD6">
        <w:rPr>
          <w:color w:val="000000"/>
          <w:lang w:val="en-US"/>
        </w:rPr>
        <w:t xml:space="preserve"> the</w:t>
      </w:r>
      <w:r w:rsidR="004B3139">
        <w:rPr>
          <w:color w:val="000000"/>
          <w:lang w:val="en-US"/>
        </w:rPr>
        <w:t xml:space="preserve"> three cognitive measure together (see Figure E1). </w:t>
      </w:r>
      <w:r w:rsidRPr="00A450AC">
        <w:rPr>
          <w:color w:val="000000"/>
          <w:lang w:val="en-US"/>
        </w:rPr>
        <w:t xml:space="preserve">Small studies that did not </w:t>
      </w:r>
      <w:r w:rsidRPr="00A450AC">
        <w:rPr>
          <w:color w:val="000000"/>
          <w:lang w:val="en-US"/>
        </w:rPr>
        <w:lastRenderedPageBreak/>
        <w:t>support an effect of red color on cognitive performance were missing, whereas studies with larger samples were more evenly distributed.</w:t>
      </w:r>
    </w:p>
    <w:p w14:paraId="298B498C" w14:textId="3FC4624E" w:rsidR="004B3139" w:rsidRDefault="00413CFC" w:rsidP="005A7199">
      <w:pPr>
        <w:ind w:firstLine="0"/>
        <w:jc w:val="center"/>
        <w:outlineLvl w:val="0"/>
        <w:rPr>
          <w:color w:val="000000"/>
          <w:lang w:val="en-US"/>
        </w:rPr>
      </w:pPr>
      <w:r>
        <w:rPr>
          <w:noProof/>
          <w:lang w:val="en-US" w:eastAsia="en-US"/>
        </w:rPr>
        <w:drawing>
          <wp:inline distT="0" distB="0" distL="0" distR="0" wp14:anchorId="6BFC30E9" wp14:editId="4A79165B">
            <wp:extent cx="4421874" cy="3996893"/>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21947" cy="3996959"/>
                    </a:xfrm>
                    <a:prstGeom prst="rect">
                      <a:avLst/>
                    </a:prstGeom>
                  </pic:spPr>
                </pic:pic>
              </a:graphicData>
            </a:graphic>
          </wp:inline>
        </w:drawing>
      </w:r>
    </w:p>
    <w:p w14:paraId="56BFA657" w14:textId="03B5A926" w:rsidR="004B3139" w:rsidRPr="004B3139" w:rsidRDefault="004B3139" w:rsidP="00767A2C">
      <w:pPr>
        <w:outlineLvl w:val="0"/>
        <w:rPr>
          <w:color w:val="000000"/>
          <w:lang w:val="en-US"/>
        </w:rPr>
      </w:pPr>
      <w:r w:rsidRPr="004B3139">
        <w:rPr>
          <w:i/>
          <w:iCs/>
          <w:color w:val="000000"/>
          <w:lang w:val="en-US"/>
        </w:rPr>
        <w:t>Figure E1</w:t>
      </w:r>
      <w:r>
        <w:rPr>
          <w:color w:val="000000"/>
          <w:lang w:val="en-US"/>
        </w:rPr>
        <w:t>.</w:t>
      </w:r>
      <w:r w:rsidRPr="004B3139">
        <w:rPr>
          <w:lang w:val="en-US"/>
        </w:rPr>
        <w:t xml:space="preserve"> Funnel plots with 95% (white) and 99% (gray) confidence intervals for </w:t>
      </w:r>
      <w:r>
        <w:rPr>
          <w:lang w:val="en-US"/>
        </w:rPr>
        <w:t>all effect sizes across the three cognitive measures.</w:t>
      </w:r>
      <w:r w:rsidR="003E063C">
        <w:rPr>
          <w:lang w:val="en-US"/>
        </w:rPr>
        <w:t xml:space="preserve"> </w:t>
      </w:r>
    </w:p>
    <w:p w14:paraId="389D2837" w14:textId="518D6F0A" w:rsidR="004B3139" w:rsidRDefault="004B3139">
      <w:pPr>
        <w:suppressAutoHyphens w:val="0"/>
        <w:spacing w:line="240" w:lineRule="auto"/>
        <w:ind w:firstLine="0"/>
        <w:rPr>
          <w:color w:val="000000"/>
          <w:lang w:val="en-US"/>
        </w:rPr>
      </w:pPr>
    </w:p>
    <w:p w14:paraId="14B441FC" w14:textId="732AF786" w:rsidR="00767A2C" w:rsidRPr="00A450AC" w:rsidRDefault="00767A2C" w:rsidP="00767A2C">
      <w:pPr>
        <w:rPr>
          <w:color w:val="000000"/>
          <w:shd w:val="clear" w:color="auto" w:fill="FFFFFF"/>
          <w:lang w:val="en-US"/>
        </w:rPr>
      </w:pPr>
      <w:r w:rsidRPr="00A450AC">
        <w:rPr>
          <w:b/>
          <w:lang w:val="en-US"/>
        </w:rPr>
        <w:t>Tests for funnel plot asymmetry</w:t>
      </w:r>
      <w:r w:rsidRPr="00A450AC">
        <w:rPr>
          <w:lang w:val="en-US"/>
        </w:rPr>
        <w:t xml:space="preserve">. Following </w:t>
      </w:r>
      <w:proofErr w:type="spellStart"/>
      <w:r w:rsidRPr="00A450AC">
        <w:rPr>
          <w:lang w:val="en-US"/>
        </w:rPr>
        <w:t>Begg</w:t>
      </w:r>
      <w:proofErr w:type="spellEnd"/>
      <w:r w:rsidRPr="00A450AC">
        <w:rPr>
          <w:lang w:val="en-US"/>
        </w:rPr>
        <w:t xml:space="preserve"> and Mazumdar (1994) the funnel plot of the effects sizes in the meta-analytic database was tested for asymmetry by calculating the rank correlation between the effect sizes and their standard errors</w:t>
      </w:r>
      <w:r w:rsidR="00833DD6">
        <w:rPr>
          <w:lang w:val="en-US"/>
        </w:rPr>
        <w:t xml:space="preserve"> (see Table 2)</w:t>
      </w:r>
      <w:r w:rsidRPr="00A450AC">
        <w:rPr>
          <w:lang w:val="en-US"/>
        </w:rPr>
        <w:t>. A significant negative correlation would indicate systematically missing studies that might have distorted the pooled effect. The respective correlations</w:t>
      </w:r>
      <w:r w:rsidR="00833DD6">
        <w:rPr>
          <w:lang w:val="en-US"/>
        </w:rPr>
        <w:t xml:space="preserve"> indicated a significant (</w:t>
      </w:r>
      <w:r w:rsidR="00833DD6" w:rsidRPr="00833DD6">
        <w:rPr>
          <w:i/>
          <w:iCs/>
          <w:lang w:val="en-US"/>
        </w:rPr>
        <w:t>p</w:t>
      </w:r>
      <w:r w:rsidR="00833DD6">
        <w:rPr>
          <w:lang w:val="en-US"/>
        </w:rPr>
        <w:t xml:space="preserve"> &lt; .05) publication bias for reasoning tests (</w:t>
      </w:r>
      <w:r w:rsidRPr="00A450AC">
        <w:rPr>
          <w:i/>
          <w:lang w:val="en-US"/>
        </w:rPr>
        <w:t>r</w:t>
      </w:r>
      <w:r w:rsidRPr="00A450AC">
        <w:rPr>
          <w:lang w:val="en-US"/>
        </w:rPr>
        <w:t xml:space="preserve"> = -.</w:t>
      </w:r>
      <w:r w:rsidR="00635CBE">
        <w:rPr>
          <w:lang w:val="en-US"/>
        </w:rPr>
        <w:t>43</w:t>
      </w:r>
      <w:r w:rsidR="00833DD6">
        <w:rPr>
          <w:lang w:val="en-US"/>
        </w:rPr>
        <w:t>,</w:t>
      </w:r>
      <w:r w:rsidRPr="00A450AC">
        <w:rPr>
          <w:lang w:val="en-US"/>
        </w:rPr>
        <w:t xml:space="preserve"> </w:t>
      </w:r>
      <w:r w:rsidRPr="00A450AC">
        <w:rPr>
          <w:i/>
          <w:lang w:val="en-US"/>
        </w:rPr>
        <w:t>p</w:t>
      </w:r>
      <w:r w:rsidRPr="00A450AC">
        <w:rPr>
          <w:lang w:val="en-US"/>
        </w:rPr>
        <w:t xml:space="preserve"> = .0</w:t>
      </w:r>
      <w:r w:rsidR="00635CBE">
        <w:rPr>
          <w:lang w:val="en-US"/>
        </w:rPr>
        <w:t>17</w:t>
      </w:r>
      <w:r w:rsidRPr="00A450AC">
        <w:rPr>
          <w:lang w:val="en-US"/>
        </w:rPr>
        <w:t>)</w:t>
      </w:r>
      <w:r w:rsidR="00833DD6">
        <w:rPr>
          <w:lang w:val="en-US"/>
        </w:rPr>
        <w:t xml:space="preserve">. For the other cognitive measures, no significant effects were identified. </w:t>
      </w:r>
      <w:r w:rsidR="007D5ACB">
        <w:rPr>
          <w:lang w:val="en-US"/>
        </w:rPr>
        <w:t>R</w:t>
      </w:r>
      <w:r w:rsidRPr="00A450AC">
        <w:rPr>
          <w:lang w:val="en-US"/>
        </w:rPr>
        <w:t>egression tests following Peters and colleagues (</w:t>
      </w:r>
      <w:r w:rsidRPr="00A450AC">
        <w:rPr>
          <w:rFonts w:eastAsia="SimSun"/>
          <w:lang w:val="en-US"/>
        </w:rPr>
        <w:t>Peters, Sutton, Jones, Abrams, &amp; Rushton, 2006</w:t>
      </w:r>
      <w:r w:rsidRPr="00A450AC">
        <w:rPr>
          <w:lang w:val="en-US"/>
        </w:rPr>
        <w:t>) corroborated this result. Regressing the observed effect sizes on the inverse of their sample sizes estimated</w:t>
      </w:r>
      <w:r w:rsidR="00635CBE">
        <w:rPr>
          <w:lang w:val="en-US"/>
        </w:rPr>
        <w:t xml:space="preserve"> </w:t>
      </w:r>
      <w:r w:rsidRPr="00A450AC">
        <w:rPr>
          <w:lang w:val="en-US"/>
        </w:rPr>
        <w:t xml:space="preserve">significant effects </w:t>
      </w:r>
      <w:r w:rsidR="007D5ACB">
        <w:rPr>
          <w:lang w:val="en-US"/>
        </w:rPr>
        <w:t>(see Table 2)</w:t>
      </w:r>
      <w:r w:rsidRPr="00A450AC">
        <w:rPr>
          <w:lang w:val="en-US"/>
        </w:rPr>
        <w:t xml:space="preserve">, </w:t>
      </w:r>
      <w:r w:rsidRPr="00A450AC">
        <w:rPr>
          <w:lang w:val="en-US"/>
        </w:rPr>
        <w:lastRenderedPageBreak/>
        <w:t>thus, also indicating asymmetric funnel plots.</w:t>
      </w:r>
      <w:r w:rsidR="008028C7" w:rsidRPr="008028C7">
        <w:rPr>
          <w:lang w:val="en-US"/>
        </w:rPr>
        <w:t xml:space="preserve"> </w:t>
      </w:r>
      <w:r w:rsidRPr="00A450AC">
        <w:rPr>
          <w:lang w:val="en-US"/>
        </w:rPr>
        <w:t>The intercept</w:t>
      </w:r>
      <w:r>
        <w:rPr>
          <w:lang w:val="en-US"/>
        </w:rPr>
        <w:t>s</w:t>
      </w:r>
      <w:r w:rsidRPr="00A450AC">
        <w:rPr>
          <w:lang w:val="en-US"/>
        </w:rPr>
        <w:t xml:space="preserve"> in these regressions represent the pooled effect for an infinitesimal sample size and, thus, an estimate of the pooled effect corrected for publication bias. The corrected pooled effects were </w:t>
      </w:r>
      <w:r w:rsidR="007D5ACB" w:rsidRPr="007D5ACB">
        <w:rPr>
          <w:iCs/>
          <w:lang w:val="en-US"/>
        </w:rPr>
        <w:t xml:space="preserve">close </w:t>
      </w:r>
      <w:r w:rsidR="007D5ACB">
        <w:rPr>
          <w:lang w:val="en-US"/>
        </w:rPr>
        <w:t xml:space="preserve">to 0 </w:t>
      </w:r>
      <w:r w:rsidRPr="00A450AC">
        <w:rPr>
          <w:lang w:val="en-US"/>
        </w:rPr>
        <w:t xml:space="preserve">for </w:t>
      </w:r>
      <w:r w:rsidR="00B92D4F">
        <w:rPr>
          <w:lang w:val="en-US"/>
        </w:rPr>
        <w:t>anagram</w:t>
      </w:r>
      <w:r w:rsidR="007D5ACB">
        <w:rPr>
          <w:lang w:val="en-US"/>
        </w:rPr>
        <w:t xml:space="preserve"> test</w:t>
      </w:r>
      <w:r w:rsidR="00635CBE">
        <w:rPr>
          <w:lang w:val="en-US"/>
        </w:rPr>
        <w:t xml:space="preserve"> and even slightly positive for reasoning tests (indicating an effect in the opposite direction)</w:t>
      </w:r>
      <w:r w:rsidR="007D5ACB">
        <w:rPr>
          <w:lang w:val="en-US"/>
        </w:rPr>
        <w:t>. Surprisingly, for</w:t>
      </w:r>
      <w:r w:rsidR="00B92D4F">
        <w:rPr>
          <w:lang w:val="en-US"/>
        </w:rPr>
        <w:t xml:space="preserve"> knowledge</w:t>
      </w:r>
      <w:r w:rsidRPr="00A450AC">
        <w:rPr>
          <w:lang w:val="en-US"/>
        </w:rPr>
        <w:t xml:space="preserve"> tests</w:t>
      </w:r>
      <w:r w:rsidR="007D5ACB">
        <w:rPr>
          <w:lang w:val="en-US"/>
        </w:rPr>
        <w:t xml:space="preserve"> slightly larger </w:t>
      </w:r>
      <w:r w:rsidR="00635CBE">
        <w:rPr>
          <w:lang w:val="en-US"/>
        </w:rPr>
        <w:t>(albeit not significant) effects</w:t>
      </w:r>
      <w:r w:rsidR="007D5ACB">
        <w:rPr>
          <w:lang w:val="en-US"/>
        </w:rPr>
        <w:t xml:space="preserve"> </w:t>
      </w:r>
      <w:r w:rsidR="00635CBE">
        <w:rPr>
          <w:lang w:val="en-US"/>
        </w:rPr>
        <w:t>were</w:t>
      </w:r>
      <w:r w:rsidR="007D5ACB">
        <w:rPr>
          <w:lang w:val="en-US"/>
        </w:rPr>
        <w:t xml:space="preserve"> estimated.</w:t>
      </w:r>
      <w:r w:rsidRPr="00A450AC">
        <w:rPr>
          <w:lang w:val="en-US"/>
        </w:rPr>
        <w:t xml:space="preserve"> </w:t>
      </w:r>
      <w:r w:rsidR="00B92D4F">
        <w:rPr>
          <w:lang w:val="en-US"/>
        </w:rPr>
        <w:t xml:space="preserve">Because the performance of regression tests for the identification of publication bias is still in dispute, two additional variants </w:t>
      </w:r>
      <w:r w:rsidR="00B16023">
        <w:rPr>
          <w:lang w:val="en-US"/>
        </w:rPr>
        <w:t xml:space="preserve">were used. First, following Stanley (2017) the effect sizes were either regressed on the sampling variances (PEESE) or the respective standard deviations (PET). If the corrected effect in the PET model was significant at a 10% level, these results were evaluated and the PEESE results otherwise. Second, because the sampling variance of Cohen’s </w:t>
      </w:r>
      <w:r w:rsidR="00B16023" w:rsidRPr="007D5ACB">
        <w:rPr>
          <w:i/>
          <w:iCs/>
          <w:lang w:val="en-US"/>
        </w:rPr>
        <w:t>d</w:t>
      </w:r>
      <w:r w:rsidR="00B16023">
        <w:rPr>
          <w:lang w:val="en-US"/>
        </w:rPr>
        <w:t xml:space="preserve"> depends on the value of </w:t>
      </w:r>
      <w:r w:rsidR="00B16023" w:rsidRPr="007D5ACB">
        <w:rPr>
          <w:i/>
          <w:iCs/>
          <w:lang w:val="en-US"/>
        </w:rPr>
        <w:t>d</w:t>
      </w:r>
      <w:r w:rsidR="00B16023">
        <w:rPr>
          <w:lang w:val="en-US"/>
        </w:rPr>
        <w:t xml:space="preserve"> (see Supplement C) </w:t>
      </w:r>
      <w:r w:rsidR="007D5ACB">
        <w:rPr>
          <w:lang w:val="en-US"/>
        </w:rPr>
        <w:t>modified</w:t>
      </w:r>
      <w:r w:rsidR="00B16023">
        <w:rPr>
          <w:lang w:val="en-US"/>
        </w:rPr>
        <w:t xml:space="preserve"> PET / PEESE analyses were </w:t>
      </w:r>
      <w:r w:rsidR="007D5ACB">
        <w:rPr>
          <w:lang w:val="en-US"/>
        </w:rPr>
        <w:t xml:space="preserve">also </w:t>
      </w:r>
      <w:r w:rsidR="00B16023">
        <w:rPr>
          <w:lang w:val="en-US"/>
        </w:rPr>
        <w:t xml:space="preserve">conducted that substituted the sampling variance with a value of </w:t>
      </w:r>
      <w:r w:rsidR="00BF4A3A">
        <w:rPr>
          <w:lang w:val="en-US"/>
        </w:rPr>
        <w:t>4</w:t>
      </w:r>
      <w:r w:rsidR="00B16023">
        <w:rPr>
          <w:lang w:val="en-US"/>
        </w:rPr>
        <w:t xml:space="preserve"> / </w:t>
      </w:r>
      <w:r w:rsidR="00B16023" w:rsidRPr="001B3662">
        <w:rPr>
          <w:i/>
          <w:iCs/>
          <w:lang w:val="en-US"/>
        </w:rPr>
        <w:t>n</w:t>
      </w:r>
      <w:r w:rsidR="00B16023">
        <w:rPr>
          <w:lang w:val="en-US"/>
        </w:rPr>
        <w:t xml:space="preserve"> (see Pustejovsky</w:t>
      </w:r>
      <w:r w:rsidR="00BF4A3A">
        <w:rPr>
          <w:lang w:val="en-US"/>
        </w:rPr>
        <w:t xml:space="preserve"> &amp; Rodner, 2019</w:t>
      </w:r>
      <w:r w:rsidR="00B16023">
        <w:rPr>
          <w:lang w:val="en-US"/>
        </w:rPr>
        <w:t>).</w:t>
      </w:r>
      <w:r w:rsidR="00BF4A3A">
        <w:rPr>
          <w:lang w:val="en-US"/>
        </w:rPr>
        <w:t xml:space="preserve"> These results (see Table 2) yielded rather similar results. Albeit for the knowledge test that exhibited no publication bias, theses analyses seemed to overcorrect the pooled effects and suggested </w:t>
      </w:r>
      <w:r w:rsidR="00BF4A3A" w:rsidRPr="00BF4A3A">
        <w:rPr>
          <w:i/>
          <w:iCs/>
          <w:lang w:val="en-US"/>
        </w:rPr>
        <w:t>better</w:t>
      </w:r>
      <w:r w:rsidR="00BF4A3A">
        <w:rPr>
          <w:lang w:val="en-US"/>
        </w:rPr>
        <w:t xml:space="preserve"> performance in the red color condition. In summary,</w:t>
      </w:r>
      <w:r w:rsidRPr="00A450AC">
        <w:rPr>
          <w:lang w:val="en-US"/>
        </w:rPr>
        <w:t xml:space="preserve"> for </w:t>
      </w:r>
      <w:r w:rsidR="00B92D4F">
        <w:rPr>
          <w:lang w:val="en-US"/>
        </w:rPr>
        <w:t>no</w:t>
      </w:r>
      <w:r w:rsidRPr="00A450AC">
        <w:rPr>
          <w:lang w:val="en-US"/>
        </w:rPr>
        <w:t xml:space="preserve"> cognitive measure</w:t>
      </w:r>
      <w:r w:rsidR="00B92D4F">
        <w:rPr>
          <w:lang w:val="en-US"/>
        </w:rPr>
        <w:t xml:space="preserve"> a</w:t>
      </w:r>
      <w:r w:rsidRPr="00A450AC">
        <w:rPr>
          <w:lang w:val="en-US"/>
        </w:rPr>
        <w:t xml:space="preserve"> significant effect of red color was estimated. </w:t>
      </w:r>
      <w:r w:rsidRPr="00A450AC">
        <w:rPr>
          <w:color w:val="000000"/>
          <w:lang w:val="en-US"/>
        </w:rPr>
        <w:t xml:space="preserve">This suggests that a publication bias might have overestimated the reported findings in the main paper. However, it should be noted that other explanations for funnel plot asymmetry are also possible (see </w:t>
      </w:r>
      <w:r w:rsidRPr="00A450AC">
        <w:rPr>
          <w:lang w:val="en-US"/>
        </w:rPr>
        <w:t xml:space="preserve">Lau, Ioannidis, </w:t>
      </w:r>
      <w:proofErr w:type="spellStart"/>
      <w:r w:rsidRPr="00A450AC">
        <w:rPr>
          <w:lang w:val="en-US"/>
        </w:rPr>
        <w:t>Terrin</w:t>
      </w:r>
      <w:proofErr w:type="spellEnd"/>
      <w:r w:rsidRPr="00A450AC">
        <w:rPr>
          <w:lang w:val="en-US"/>
        </w:rPr>
        <w:t>, Schmid, &amp; Olkin, 2006</w:t>
      </w:r>
      <w:r w:rsidRPr="00A450AC">
        <w:rPr>
          <w:color w:val="000000"/>
          <w:lang w:val="en-US"/>
        </w:rPr>
        <w:t>).</w:t>
      </w:r>
    </w:p>
    <w:p w14:paraId="625428B3" w14:textId="115E759A" w:rsidR="00767A2C" w:rsidRPr="00A450AC" w:rsidRDefault="00767A2C" w:rsidP="00767A2C">
      <w:pPr>
        <w:outlineLvl w:val="0"/>
        <w:rPr>
          <w:color w:val="000000"/>
          <w:lang w:val="en-US"/>
        </w:rPr>
      </w:pPr>
      <w:r w:rsidRPr="00A450AC">
        <w:rPr>
          <w:b/>
          <w:color w:val="000000"/>
          <w:lang w:val="en-US"/>
        </w:rPr>
        <w:t>Selection models</w:t>
      </w:r>
      <w:r w:rsidRPr="00A450AC">
        <w:rPr>
          <w:color w:val="000000"/>
          <w:lang w:val="en-US"/>
        </w:rPr>
        <w:t xml:space="preserve">. The weight-function model by </w:t>
      </w:r>
      <w:proofErr w:type="spellStart"/>
      <w:r w:rsidRPr="00A450AC">
        <w:rPr>
          <w:color w:val="000000"/>
          <w:lang w:val="en-US"/>
        </w:rPr>
        <w:t>Vevea</w:t>
      </w:r>
      <w:proofErr w:type="spellEnd"/>
      <w:r w:rsidRPr="00A450AC">
        <w:rPr>
          <w:color w:val="000000"/>
          <w:lang w:val="en-US"/>
        </w:rPr>
        <w:t xml:space="preserve"> and Woods (2005) was used to explore the effect of different selection mechanisms on the estimated pooled effects. For </w:t>
      </w:r>
      <w:r w:rsidR="00635CBE">
        <w:rPr>
          <w:color w:val="000000"/>
          <w:lang w:val="en-US"/>
        </w:rPr>
        <w:t>reasoning</w:t>
      </w:r>
      <w:r w:rsidRPr="00A450AC">
        <w:rPr>
          <w:color w:val="000000"/>
          <w:lang w:val="en-US"/>
        </w:rPr>
        <w:t xml:space="preserve"> tests these models indicate</w:t>
      </w:r>
      <w:r w:rsidR="001B3662">
        <w:rPr>
          <w:color w:val="000000"/>
          <w:lang w:val="en-US"/>
        </w:rPr>
        <w:t>d</w:t>
      </w:r>
      <w:r w:rsidRPr="00A450AC">
        <w:rPr>
          <w:color w:val="000000"/>
          <w:lang w:val="en-US"/>
        </w:rPr>
        <w:t xml:space="preserve"> substantial </w:t>
      </w:r>
      <w:r w:rsidR="001B3662">
        <w:rPr>
          <w:color w:val="000000"/>
          <w:lang w:val="en-US"/>
        </w:rPr>
        <w:t>(</w:t>
      </w:r>
      <w:r w:rsidR="001B3662" w:rsidRPr="001B3662">
        <w:rPr>
          <w:i/>
          <w:iCs/>
          <w:color w:val="000000"/>
          <w:lang w:val="en-US"/>
        </w:rPr>
        <w:t>p</w:t>
      </w:r>
      <w:r w:rsidR="001B3662">
        <w:rPr>
          <w:color w:val="000000"/>
          <w:lang w:val="en-US"/>
        </w:rPr>
        <w:t xml:space="preserve"> &lt; .05) </w:t>
      </w:r>
      <w:r w:rsidRPr="00A450AC">
        <w:rPr>
          <w:color w:val="000000"/>
          <w:lang w:val="en-US"/>
        </w:rPr>
        <w:t>selection effects</w:t>
      </w:r>
      <w:r w:rsidR="001B3662">
        <w:rPr>
          <w:color w:val="000000"/>
          <w:lang w:val="en-US"/>
        </w:rPr>
        <w:t xml:space="preserve"> (see Table 2)</w:t>
      </w:r>
      <w:r w:rsidRPr="00A450AC">
        <w:rPr>
          <w:color w:val="000000"/>
          <w:lang w:val="en-US"/>
        </w:rPr>
        <w:t xml:space="preserve">. </w:t>
      </w:r>
      <w:r w:rsidR="001B3662">
        <w:rPr>
          <w:color w:val="000000"/>
          <w:lang w:val="en-US"/>
        </w:rPr>
        <w:t xml:space="preserve">More importantly, </w:t>
      </w:r>
      <w:r w:rsidRPr="00A450AC">
        <w:rPr>
          <w:color w:val="000000"/>
          <w:lang w:val="en-US"/>
        </w:rPr>
        <w:t>they identified no effect of red color on anagram test performance, Δ = 0.0</w:t>
      </w:r>
      <w:r w:rsidR="00635CBE">
        <w:rPr>
          <w:color w:val="000000"/>
          <w:lang w:val="en-US"/>
        </w:rPr>
        <w:t>8</w:t>
      </w:r>
      <w:r w:rsidR="001B3662">
        <w:rPr>
          <w:color w:val="000000"/>
          <w:lang w:val="en-US"/>
        </w:rPr>
        <w:t>.</w:t>
      </w:r>
      <w:r w:rsidRPr="00A450AC">
        <w:rPr>
          <w:color w:val="000000"/>
          <w:lang w:val="en-US"/>
        </w:rPr>
        <w:t xml:space="preserve"> </w:t>
      </w:r>
      <w:r w:rsidR="001B3662">
        <w:rPr>
          <w:color w:val="000000"/>
          <w:lang w:val="en-US"/>
        </w:rPr>
        <w:t xml:space="preserve">Again, these analyses were repeated </w:t>
      </w:r>
      <w:r w:rsidR="001B3662">
        <w:rPr>
          <w:lang w:val="en-US"/>
        </w:rPr>
        <w:t xml:space="preserve">substituting the sampling variance of </w:t>
      </w:r>
      <w:r w:rsidR="001B3662" w:rsidRPr="001B3662">
        <w:rPr>
          <w:i/>
          <w:iCs/>
          <w:lang w:val="en-US"/>
        </w:rPr>
        <w:t>d</w:t>
      </w:r>
      <w:r w:rsidR="001B3662">
        <w:rPr>
          <w:lang w:val="en-US"/>
        </w:rPr>
        <w:t xml:space="preserve"> with a value of 4 / </w:t>
      </w:r>
      <w:r w:rsidR="001B3662" w:rsidRPr="001B3662">
        <w:rPr>
          <w:i/>
          <w:iCs/>
          <w:lang w:val="en-US"/>
        </w:rPr>
        <w:t>n</w:t>
      </w:r>
      <w:r w:rsidR="001B3662">
        <w:rPr>
          <w:lang w:val="en-US"/>
        </w:rPr>
        <w:t xml:space="preserve"> (see Pustejovsky &amp; Rodner, 2019). However, this resulted in nearly identical results </w:t>
      </w:r>
      <w:r w:rsidR="001B3662">
        <w:rPr>
          <w:lang w:val="en-US"/>
        </w:rPr>
        <w:lastRenderedPageBreak/>
        <w:t xml:space="preserve">(see Table 2). </w:t>
      </w:r>
      <w:r w:rsidRPr="00A450AC">
        <w:rPr>
          <w:color w:val="000000"/>
          <w:lang w:val="en-US"/>
        </w:rPr>
        <w:t>These results indicate that the color effect for reasoning tests reported in the main paper might represent an overestimation of the true effect.</w:t>
      </w:r>
    </w:p>
    <w:p w14:paraId="51AA5828" w14:textId="61B51790" w:rsidR="00767A2C" w:rsidRPr="00A450AC" w:rsidRDefault="00767A2C" w:rsidP="00767A2C">
      <w:pPr>
        <w:rPr>
          <w:lang w:val="en-US"/>
        </w:rPr>
      </w:pPr>
      <w:r w:rsidRPr="00A450AC">
        <w:rPr>
          <w:rFonts w:eastAsia="SimSun"/>
          <w:b/>
          <w:lang w:val="en-US"/>
        </w:rPr>
        <w:t xml:space="preserve">Distribution of </w:t>
      </w:r>
      <w:r w:rsidRPr="00A450AC">
        <w:rPr>
          <w:rFonts w:eastAsia="SimSun"/>
          <w:b/>
          <w:i/>
          <w:lang w:val="en-US"/>
        </w:rPr>
        <w:t>p</w:t>
      </w:r>
      <w:r w:rsidRPr="00A450AC">
        <w:rPr>
          <w:rFonts w:eastAsia="SimSun"/>
          <w:b/>
          <w:lang w:val="en-US"/>
        </w:rPr>
        <w:t>-values</w:t>
      </w:r>
      <w:r w:rsidRPr="00A450AC">
        <w:rPr>
          <w:rFonts w:eastAsia="SimSun"/>
          <w:lang w:val="en-US"/>
        </w:rPr>
        <w:t xml:space="preserve">. </w:t>
      </w:r>
      <w:r w:rsidRPr="00A450AC">
        <w:rPr>
          <w:color w:val="000000"/>
          <w:lang w:val="en-US"/>
        </w:rPr>
        <w:t xml:space="preserve">The evidential value for a reported effect can be scrutinized by evaluating the </w:t>
      </w:r>
      <w:r w:rsidRPr="00A450AC">
        <w:rPr>
          <w:i/>
          <w:color w:val="000000"/>
          <w:lang w:val="en-US"/>
        </w:rPr>
        <w:t>p</w:t>
      </w:r>
      <w:r w:rsidRPr="00A450AC">
        <w:rPr>
          <w:color w:val="000000"/>
          <w:lang w:val="en-US"/>
        </w:rPr>
        <w:t xml:space="preserve">-values associated with the effect sizes. This approach uses the idea that the distribution of </w:t>
      </w:r>
      <w:r w:rsidRPr="00A450AC">
        <w:rPr>
          <w:i/>
          <w:color w:val="000000"/>
          <w:lang w:val="en-US"/>
        </w:rPr>
        <w:t>p</w:t>
      </w:r>
      <w:r w:rsidRPr="00A450AC">
        <w:rPr>
          <w:color w:val="000000"/>
          <w:lang w:val="en-US"/>
        </w:rPr>
        <w:t xml:space="preserve">-values conditional on the population effect size should be uniform </w:t>
      </w:r>
      <w:r w:rsidRPr="00A450AC">
        <w:rPr>
          <w:lang w:val="en-US"/>
        </w:rPr>
        <w:t>to determine whether the published findings provide evidence for a true phenomenon or, rather, are no more than a reflection of publication bias</w:t>
      </w:r>
      <w:r w:rsidRPr="00A450AC">
        <w:rPr>
          <w:color w:val="000000"/>
          <w:lang w:val="en-US"/>
        </w:rPr>
        <w:t xml:space="preserve"> (</w:t>
      </w:r>
      <w:r w:rsidRPr="00A450AC">
        <w:rPr>
          <w:lang w:val="en-US"/>
        </w:rPr>
        <w:t xml:space="preserve">van Assen, van </w:t>
      </w:r>
      <w:proofErr w:type="spellStart"/>
      <w:r w:rsidRPr="00A450AC">
        <w:rPr>
          <w:lang w:val="en-US"/>
        </w:rPr>
        <w:t>Aeart</w:t>
      </w:r>
      <w:proofErr w:type="spellEnd"/>
      <w:r w:rsidRPr="00A450AC">
        <w:rPr>
          <w:lang w:val="en-US"/>
        </w:rPr>
        <w:t xml:space="preserve">, &amp; </w:t>
      </w:r>
      <w:proofErr w:type="spellStart"/>
      <w:r w:rsidRPr="00A450AC">
        <w:rPr>
          <w:lang w:val="en-US"/>
        </w:rPr>
        <w:t>Wicherts</w:t>
      </w:r>
      <w:proofErr w:type="spellEnd"/>
      <w:r w:rsidRPr="00A450AC">
        <w:rPr>
          <w:lang w:val="en-US"/>
        </w:rPr>
        <w:t xml:space="preserve">, 2015; </w:t>
      </w:r>
      <w:proofErr w:type="spellStart"/>
      <w:r w:rsidRPr="00A450AC">
        <w:rPr>
          <w:lang w:val="en-US"/>
        </w:rPr>
        <w:t>Simonsohn</w:t>
      </w:r>
      <w:proofErr w:type="spellEnd"/>
      <w:r w:rsidRPr="00A450AC">
        <w:rPr>
          <w:lang w:val="en-US"/>
        </w:rPr>
        <w:t xml:space="preserve">, Nelson, &amp; Simmons, 2014; </w:t>
      </w:r>
      <w:proofErr w:type="spellStart"/>
      <w:r w:rsidRPr="00A450AC">
        <w:rPr>
          <w:lang w:val="en-US"/>
        </w:rPr>
        <w:t>Simonsohn</w:t>
      </w:r>
      <w:proofErr w:type="spellEnd"/>
      <w:r w:rsidRPr="00A450AC">
        <w:rPr>
          <w:lang w:val="en-US"/>
        </w:rPr>
        <w:t>, Simmons, &amp; Nelson, 2015</w:t>
      </w:r>
      <w:r w:rsidRPr="00A450AC">
        <w:rPr>
          <w:color w:val="000000"/>
          <w:lang w:val="en-US"/>
        </w:rPr>
        <w:t xml:space="preserve">). Unfortunately, contemporary methods such as </w:t>
      </w:r>
      <w:r w:rsidRPr="00A450AC">
        <w:rPr>
          <w:i/>
          <w:color w:val="000000"/>
          <w:lang w:val="en-US"/>
        </w:rPr>
        <w:t>p-curve</w:t>
      </w:r>
      <w:r w:rsidRPr="00A450AC">
        <w:rPr>
          <w:color w:val="000000"/>
          <w:lang w:val="en-US"/>
        </w:rPr>
        <w:t xml:space="preserve"> </w:t>
      </w:r>
      <w:r>
        <w:rPr>
          <w:color w:val="000000"/>
          <w:lang w:val="en-US"/>
        </w:rPr>
        <w:t>(</w:t>
      </w:r>
      <w:proofErr w:type="spellStart"/>
      <w:r>
        <w:rPr>
          <w:color w:val="000000"/>
          <w:lang w:val="en-US"/>
        </w:rPr>
        <w:t>Simonsohn</w:t>
      </w:r>
      <w:proofErr w:type="spellEnd"/>
      <w:r>
        <w:rPr>
          <w:color w:val="000000"/>
          <w:lang w:val="en-US"/>
        </w:rPr>
        <w:t xml:space="preserve"> et al., 2014) </w:t>
      </w:r>
      <w:r w:rsidRPr="00A450AC">
        <w:rPr>
          <w:color w:val="000000"/>
          <w:lang w:val="en-US"/>
        </w:rPr>
        <w:t xml:space="preserve">or </w:t>
      </w:r>
      <w:proofErr w:type="spellStart"/>
      <w:r w:rsidRPr="00A450AC">
        <w:rPr>
          <w:i/>
          <w:color w:val="000000"/>
          <w:lang w:val="en-US"/>
        </w:rPr>
        <w:t>puniform</w:t>
      </w:r>
      <w:proofErr w:type="spellEnd"/>
      <w:r w:rsidRPr="00A450AC">
        <w:rPr>
          <w:color w:val="000000"/>
          <w:lang w:val="en-US"/>
        </w:rPr>
        <w:t xml:space="preserve"> </w:t>
      </w:r>
      <w:r>
        <w:rPr>
          <w:color w:val="000000"/>
          <w:lang w:val="en-US"/>
        </w:rPr>
        <w:t xml:space="preserve">(van Assen et al., 2015) </w:t>
      </w:r>
      <w:r w:rsidRPr="00A450AC">
        <w:rPr>
          <w:color w:val="000000"/>
          <w:lang w:val="en-US"/>
        </w:rPr>
        <w:t>have some drawbacks such as their use of only statistically significant effects or the ignorance of between-study heterogeneity</w:t>
      </w:r>
      <w:r w:rsidRPr="00A450AC">
        <w:rPr>
          <w:sz w:val="23"/>
          <w:szCs w:val="23"/>
          <w:lang w:val="en-US"/>
        </w:rPr>
        <w:t xml:space="preserve"> (McShane et al., 2016; van </w:t>
      </w:r>
      <w:proofErr w:type="spellStart"/>
      <w:r w:rsidRPr="00A450AC">
        <w:rPr>
          <w:sz w:val="23"/>
          <w:szCs w:val="23"/>
          <w:lang w:val="en-US"/>
        </w:rPr>
        <w:t>Aert</w:t>
      </w:r>
      <w:proofErr w:type="spellEnd"/>
      <w:r w:rsidRPr="00A450AC">
        <w:rPr>
          <w:sz w:val="23"/>
          <w:szCs w:val="23"/>
          <w:lang w:val="en-US"/>
        </w:rPr>
        <w:t xml:space="preserve">, </w:t>
      </w:r>
      <w:proofErr w:type="spellStart"/>
      <w:r w:rsidRPr="00A450AC">
        <w:rPr>
          <w:sz w:val="23"/>
          <w:szCs w:val="23"/>
          <w:lang w:val="en-US"/>
        </w:rPr>
        <w:t>Wicherts</w:t>
      </w:r>
      <w:proofErr w:type="spellEnd"/>
      <w:r w:rsidRPr="00A450AC">
        <w:rPr>
          <w:sz w:val="23"/>
          <w:szCs w:val="23"/>
          <w:lang w:val="en-US"/>
        </w:rPr>
        <w:t xml:space="preserve">, &amp; van Assen, 2016). Therefore, a new method called </w:t>
      </w:r>
      <w:proofErr w:type="spellStart"/>
      <w:r w:rsidRPr="00A450AC">
        <w:rPr>
          <w:i/>
          <w:sz w:val="23"/>
          <w:szCs w:val="23"/>
          <w:lang w:val="en-US"/>
        </w:rPr>
        <w:t>puniform</w:t>
      </w:r>
      <w:proofErr w:type="spellEnd"/>
      <w:r w:rsidRPr="00A450AC">
        <w:rPr>
          <w:i/>
          <w:sz w:val="23"/>
          <w:szCs w:val="23"/>
          <w:lang w:val="en-US"/>
        </w:rPr>
        <w:t>*</w:t>
      </w:r>
      <w:r w:rsidRPr="00A450AC">
        <w:rPr>
          <w:sz w:val="23"/>
          <w:szCs w:val="23"/>
          <w:lang w:val="en-US"/>
        </w:rPr>
        <w:t xml:space="preserve"> (</w:t>
      </w:r>
      <w:r w:rsidR="00E70D1E">
        <w:rPr>
          <w:lang w:val="en-US"/>
        </w:rPr>
        <w:t xml:space="preserve">van </w:t>
      </w:r>
      <w:proofErr w:type="spellStart"/>
      <w:r w:rsidR="00E70D1E">
        <w:rPr>
          <w:lang w:val="en-US"/>
        </w:rPr>
        <w:t>Aert</w:t>
      </w:r>
      <w:proofErr w:type="spellEnd"/>
      <w:r w:rsidR="00E70D1E">
        <w:rPr>
          <w:lang w:val="en-US"/>
        </w:rPr>
        <w:t xml:space="preserve"> &amp; van Assen, 2020</w:t>
      </w:r>
      <w:r w:rsidRPr="00A450AC">
        <w:rPr>
          <w:sz w:val="23"/>
          <w:szCs w:val="23"/>
          <w:lang w:val="en-US"/>
        </w:rPr>
        <w:t xml:space="preserve">) was used which is a refinement of an </w:t>
      </w:r>
      <w:r w:rsidRPr="00A450AC">
        <w:rPr>
          <w:lang w:val="en-US"/>
        </w:rPr>
        <w:t xml:space="preserve">approach initially introduced by van Assen and colleagues (2015) to estimate a pooled effect corrected for publication bias. An advantage of </w:t>
      </w:r>
      <w:proofErr w:type="spellStart"/>
      <w:r w:rsidRPr="00A450AC">
        <w:rPr>
          <w:i/>
          <w:lang w:val="en-US"/>
        </w:rPr>
        <w:t>puniform</w:t>
      </w:r>
      <w:proofErr w:type="spellEnd"/>
      <w:r w:rsidRPr="00A450AC">
        <w:rPr>
          <w:i/>
          <w:lang w:val="en-US"/>
        </w:rPr>
        <w:t>*</w:t>
      </w:r>
      <w:r w:rsidRPr="00A450AC">
        <w:rPr>
          <w:lang w:val="en-US"/>
        </w:rPr>
        <w:t xml:space="preserve"> is that it is also applicable to random-effects models and is not limited to statistically significant results.</w:t>
      </w:r>
      <w:r w:rsidRPr="00A450AC">
        <w:rPr>
          <w:color w:val="000000"/>
          <w:lang w:val="en-US"/>
        </w:rPr>
        <w:t xml:space="preserve"> </w:t>
      </w:r>
      <w:r w:rsidRPr="00A450AC">
        <w:rPr>
          <w:lang w:val="en-US"/>
        </w:rPr>
        <w:t>For anagram</w:t>
      </w:r>
      <w:r w:rsidR="001B3662">
        <w:rPr>
          <w:lang w:val="en-US"/>
        </w:rPr>
        <w:t xml:space="preserve"> and knowledge</w:t>
      </w:r>
      <w:r w:rsidRPr="00A450AC">
        <w:rPr>
          <w:lang w:val="en-US"/>
        </w:rPr>
        <w:t xml:space="preserve"> tests, these analyses did not indicate publication bias (</w:t>
      </w:r>
      <w:proofErr w:type="spellStart"/>
      <w:r w:rsidRPr="00A450AC">
        <w:rPr>
          <w:i/>
          <w:lang w:val="en-US"/>
        </w:rPr>
        <w:t>L</w:t>
      </w:r>
      <w:r w:rsidRPr="00A450AC">
        <w:rPr>
          <w:i/>
          <w:vertAlign w:val="subscript"/>
          <w:lang w:val="en-US"/>
        </w:rPr>
        <w:t>pb</w:t>
      </w:r>
      <w:proofErr w:type="spellEnd"/>
      <w:r w:rsidR="00635CBE">
        <w:rPr>
          <w:lang w:val="en-US"/>
        </w:rPr>
        <w:t xml:space="preserve"> = 0</w:t>
      </w:r>
      <w:r w:rsidRPr="00A450AC">
        <w:rPr>
          <w:lang w:val="en-US"/>
        </w:rPr>
        <w:t>.</w:t>
      </w:r>
      <w:r w:rsidR="00635CBE">
        <w:rPr>
          <w:lang w:val="en-US"/>
        </w:rPr>
        <w:t>13</w:t>
      </w:r>
      <w:r w:rsidRPr="00A450AC">
        <w:rPr>
          <w:lang w:val="en-US"/>
        </w:rPr>
        <w:t xml:space="preserve">, </w:t>
      </w:r>
      <w:r w:rsidRPr="00A450AC">
        <w:rPr>
          <w:i/>
          <w:lang w:val="en-US"/>
        </w:rPr>
        <w:t>p</w:t>
      </w:r>
      <w:r w:rsidRPr="00A450AC">
        <w:rPr>
          <w:lang w:val="en-US"/>
        </w:rPr>
        <w:t xml:space="preserve"> = .</w:t>
      </w:r>
      <w:r w:rsidR="00635CBE">
        <w:rPr>
          <w:lang w:val="en-US"/>
        </w:rPr>
        <w:t>939</w:t>
      </w:r>
      <w:r w:rsidR="001B3662">
        <w:rPr>
          <w:lang w:val="en-US"/>
        </w:rPr>
        <w:t xml:space="preserve">, and </w:t>
      </w:r>
      <w:proofErr w:type="spellStart"/>
      <w:r w:rsidR="001B3662" w:rsidRPr="00A450AC">
        <w:rPr>
          <w:i/>
          <w:lang w:val="en-US"/>
        </w:rPr>
        <w:t>L</w:t>
      </w:r>
      <w:r w:rsidR="001B3662" w:rsidRPr="00A450AC">
        <w:rPr>
          <w:i/>
          <w:vertAlign w:val="subscript"/>
          <w:lang w:val="en-US"/>
        </w:rPr>
        <w:t>pb</w:t>
      </w:r>
      <w:proofErr w:type="spellEnd"/>
      <w:r w:rsidR="001B3662" w:rsidRPr="00A450AC">
        <w:rPr>
          <w:lang w:val="en-US"/>
        </w:rPr>
        <w:t xml:space="preserve"> = </w:t>
      </w:r>
      <w:r w:rsidR="00635CBE">
        <w:rPr>
          <w:lang w:val="en-US"/>
        </w:rPr>
        <w:t>0</w:t>
      </w:r>
      <w:r w:rsidR="001B3662" w:rsidRPr="00A450AC">
        <w:rPr>
          <w:lang w:val="en-US"/>
        </w:rPr>
        <w:t>.</w:t>
      </w:r>
      <w:r w:rsidR="00635CBE">
        <w:rPr>
          <w:lang w:val="en-US"/>
        </w:rPr>
        <w:t>86</w:t>
      </w:r>
      <w:r w:rsidR="001B3662" w:rsidRPr="00A450AC">
        <w:rPr>
          <w:lang w:val="en-US"/>
        </w:rPr>
        <w:t xml:space="preserve">, </w:t>
      </w:r>
      <w:r w:rsidR="001B3662" w:rsidRPr="00A450AC">
        <w:rPr>
          <w:i/>
          <w:lang w:val="en-US"/>
        </w:rPr>
        <w:t>p</w:t>
      </w:r>
      <w:r w:rsidR="001B3662" w:rsidRPr="00A450AC">
        <w:rPr>
          <w:lang w:val="en-US"/>
        </w:rPr>
        <w:t xml:space="preserve"> = .</w:t>
      </w:r>
      <w:r w:rsidR="001B3662">
        <w:rPr>
          <w:lang w:val="en-US"/>
        </w:rPr>
        <w:t>6</w:t>
      </w:r>
      <w:r w:rsidR="00635CBE">
        <w:rPr>
          <w:lang w:val="en-US"/>
        </w:rPr>
        <w:t>4</w:t>
      </w:r>
      <w:r w:rsidR="001B3662">
        <w:rPr>
          <w:lang w:val="en-US"/>
        </w:rPr>
        <w:t>9</w:t>
      </w:r>
      <w:r w:rsidRPr="00A450AC">
        <w:rPr>
          <w:lang w:val="en-US"/>
        </w:rPr>
        <w:t xml:space="preserve">). However, the </w:t>
      </w:r>
      <w:r w:rsidR="007D5ACB">
        <w:rPr>
          <w:lang w:val="en-US"/>
        </w:rPr>
        <w:t>adjusted</w:t>
      </w:r>
      <w:r w:rsidRPr="00A450AC">
        <w:rPr>
          <w:lang w:val="en-US"/>
        </w:rPr>
        <w:t xml:space="preserve"> effect size</w:t>
      </w:r>
      <w:r w:rsidR="007D5ACB">
        <w:rPr>
          <w:lang w:val="en-US"/>
        </w:rPr>
        <w:t>s</w:t>
      </w:r>
      <w:r w:rsidRPr="00A450AC">
        <w:rPr>
          <w:lang w:val="en-US"/>
        </w:rPr>
        <w:t xml:space="preserve"> from th</w:t>
      </w:r>
      <w:r w:rsidR="007D5ACB">
        <w:rPr>
          <w:lang w:val="en-US"/>
        </w:rPr>
        <w:t>e</w:t>
      </w:r>
      <w:r w:rsidRPr="00A450AC">
        <w:rPr>
          <w:lang w:val="en-US"/>
        </w:rPr>
        <w:t>s</w:t>
      </w:r>
      <w:r w:rsidR="007D5ACB">
        <w:rPr>
          <w:lang w:val="en-US"/>
        </w:rPr>
        <w:t>e</w:t>
      </w:r>
      <w:r w:rsidRPr="00A450AC">
        <w:rPr>
          <w:lang w:val="en-US"/>
        </w:rPr>
        <w:t xml:space="preserve"> analys</w:t>
      </w:r>
      <w:r w:rsidR="007D5ACB">
        <w:rPr>
          <w:lang w:val="en-US"/>
        </w:rPr>
        <w:t>e</w:t>
      </w:r>
      <w:r w:rsidRPr="00A450AC">
        <w:rPr>
          <w:lang w:val="en-US"/>
        </w:rPr>
        <w:t xml:space="preserve">s indicated no substantial color effect </w:t>
      </w:r>
      <w:r w:rsidR="001B3662">
        <w:rPr>
          <w:lang w:val="en-US"/>
        </w:rPr>
        <w:t>(</w:t>
      </w:r>
      <w:r w:rsidRPr="00A450AC">
        <w:rPr>
          <w:lang w:val="en-US"/>
        </w:rPr>
        <w:t>Δ = -0.0</w:t>
      </w:r>
      <w:r w:rsidR="001B3662">
        <w:rPr>
          <w:lang w:val="en-US"/>
        </w:rPr>
        <w:t>3</w:t>
      </w:r>
      <w:r w:rsidRPr="00A450AC">
        <w:rPr>
          <w:lang w:val="en-US"/>
        </w:rPr>
        <w:t xml:space="preserve">, </w:t>
      </w:r>
      <w:r w:rsidRPr="00A450AC">
        <w:rPr>
          <w:i/>
          <w:lang w:val="en-US"/>
        </w:rPr>
        <w:t>p</w:t>
      </w:r>
      <w:r w:rsidRPr="00A450AC">
        <w:rPr>
          <w:lang w:val="en-US"/>
        </w:rPr>
        <w:t xml:space="preserve"> = .</w:t>
      </w:r>
      <w:r w:rsidR="00E70D1E">
        <w:rPr>
          <w:lang w:val="en-US"/>
        </w:rPr>
        <w:t>494</w:t>
      </w:r>
      <w:r w:rsidR="001B3662">
        <w:rPr>
          <w:lang w:val="en-US"/>
        </w:rPr>
        <w:t xml:space="preserve">, and </w:t>
      </w:r>
      <w:r w:rsidR="001B3662" w:rsidRPr="00A450AC">
        <w:rPr>
          <w:lang w:val="en-US"/>
        </w:rPr>
        <w:t xml:space="preserve">Δ = </w:t>
      </w:r>
      <w:r w:rsidR="00E70D1E">
        <w:rPr>
          <w:lang w:val="en-US"/>
        </w:rPr>
        <w:t>-</w:t>
      </w:r>
      <w:r w:rsidR="001B3662" w:rsidRPr="00A450AC">
        <w:rPr>
          <w:lang w:val="en-US"/>
        </w:rPr>
        <w:t>0.0</w:t>
      </w:r>
      <w:r w:rsidR="00E70D1E">
        <w:rPr>
          <w:lang w:val="en-US"/>
        </w:rPr>
        <w:t>1</w:t>
      </w:r>
      <w:r w:rsidR="001B3662" w:rsidRPr="00A450AC">
        <w:rPr>
          <w:lang w:val="en-US"/>
        </w:rPr>
        <w:t xml:space="preserve">, </w:t>
      </w:r>
      <w:r w:rsidR="001B3662" w:rsidRPr="00A450AC">
        <w:rPr>
          <w:i/>
          <w:lang w:val="en-US"/>
        </w:rPr>
        <w:t>p</w:t>
      </w:r>
      <w:r w:rsidR="001B3662" w:rsidRPr="00A450AC">
        <w:rPr>
          <w:lang w:val="en-US"/>
        </w:rPr>
        <w:t xml:space="preserve"> = .</w:t>
      </w:r>
      <w:r w:rsidR="00E70D1E">
        <w:rPr>
          <w:lang w:val="en-US"/>
        </w:rPr>
        <w:t>850</w:t>
      </w:r>
      <w:r w:rsidR="001B3662">
        <w:rPr>
          <w:lang w:val="en-US"/>
        </w:rPr>
        <w:t>)</w:t>
      </w:r>
      <w:r w:rsidRPr="00A450AC">
        <w:rPr>
          <w:lang w:val="en-US"/>
        </w:rPr>
        <w:t xml:space="preserve">. In contrast, for the reasoning test </w:t>
      </w:r>
      <w:proofErr w:type="spellStart"/>
      <w:r w:rsidRPr="00A450AC">
        <w:rPr>
          <w:i/>
          <w:lang w:val="en-US"/>
        </w:rPr>
        <w:t>puniform</w:t>
      </w:r>
      <w:proofErr w:type="spellEnd"/>
      <w:r w:rsidRPr="00A450AC">
        <w:rPr>
          <w:i/>
          <w:lang w:val="en-US"/>
        </w:rPr>
        <w:t>*</w:t>
      </w:r>
      <w:r w:rsidRPr="00A450AC">
        <w:rPr>
          <w:lang w:val="en-US"/>
        </w:rPr>
        <w:t xml:space="preserve"> identified significant publication bias (</w:t>
      </w:r>
      <w:proofErr w:type="spellStart"/>
      <w:r w:rsidRPr="00A450AC">
        <w:rPr>
          <w:i/>
          <w:lang w:val="en-US"/>
        </w:rPr>
        <w:t>L</w:t>
      </w:r>
      <w:r w:rsidRPr="00A450AC">
        <w:rPr>
          <w:i/>
          <w:vertAlign w:val="subscript"/>
          <w:lang w:val="en-US"/>
        </w:rPr>
        <w:t>pb</w:t>
      </w:r>
      <w:proofErr w:type="spellEnd"/>
      <w:r w:rsidRPr="00A450AC">
        <w:rPr>
          <w:lang w:val="en-US"/>
        </w:rPr>
        <w:t xml:space="preserve"> = </w:t>
      </w:r>
      <w:r w:rsidR="001B3662">
        <w:rPr>
          <w:lang w:val="en-US"/>
        </w:rPr>
        <w:t>6</w:t>
      </w:r>
      <w:r w:rsidRPr="00A450AC">
        <w:rPr>
          <w:lang w:val="en-US"/>
        </w:rPr>
        <w:t>.</w:t>
      </w:r>
      <w:r w:rsidR="00E70D1E">
        <w:rPr>
          <w:lang w:val="en-US"/>
        </w:rPr>
        <w:t>78</w:t>
      </w:r>
      <w:r w:rsidRPr="00A450AC">
        <w:rPr>
          <w:lang w:val="en-US"/>
        </w:rPr>
        <w:t xml:space="preserve">, </w:t>
      </w:r>
      <w:r w:rsidRPr="00A450AC">
        <w:rPr>
          <w:i/>
          <w:lang w:val="en-US"/>
        </w:rPr>
        <w:t>p</w:t>
      </w:r>
      <w:r w:rsidRPr="00A450AC">
        <w:rPr>
          <w:lang w:val="en-US"/>
        </w:rPr>
        <w:t xml:space="preserve"> = .0</w:t>
      </w:r>
      <w:r>
        <w:rPr>
          <w:lang w:val="en-US"/>
        </w:rPr>
        <w:t>3</w:t>
      </w:r>
      <w:r w:rsidR="00E70D1E">
        <w:rPr>
          <w:lang w:val="en-US"/>
        </w:rPr>
        <w:t>4</w:t>
      </w:r>
      <w:r w:rsidRPr="00A450AC">
        <w:rPr>
          <w:lang w:val="en-US"/>
        </w:rPr>
        <w:t xml:space="preserve">). Again, the estimated effect size </w:t>
      </w:r>
      <w:r w:rsidR="007D5ACB">
        <w:rPr>
          <w:lang w:val="en-US"/>
        </w:rPr>
        <w:t>adjusted</w:t>
      </w:r>
      <w:r w:rsidRPr="00A450AC">
        <w:rPr>
          <w:lang w:val="en-US"/>
        </w:rPr>
        <w:t xml:space="preserve"> for publication bias indicated no substantial effect of red color, Δ = 0.0</w:t>
      </w:r>
      <w:r w:rsidR="00E70D1E">
        <w:rPr>
          <w:lang w:val="en-US"/>
        </w:rPr>
        <w:t>3</w:t>
      </w:r>
      <w:r w:rsidRPr="00A450AC">
        <w:rPr>
          <w:lang w:val="en-US"/>
        </w:rPr>
        <w:t xml:space="preserve">, </w:t>
      </w:r>
      <w:r w:rsidRPr="00A450AC">
        <w:rPr>
          <w:i/>
          <w:lang w:val="en-US"/>
        </w:rPr>
        <w:t>p</w:t>
      </w:r>
      <w:r w:rsidRPr="00A450AC">
        <w:rPr>
          <w:lang w:val="en-US"/>
        </w:rPr>
        <w:t xml:space="preserve"> = .</w:t>
      </w:r>
      <w:r w:rsidR="00E70D1E">
        <w:rPr>
          <w:lang w:val="en-US"/>
        </w:rPr>
        <w:t>70</w:t>
      </w:r>
      <w:r w:rsidR="001B3662">
        <w:rPr>
          <w:lang w:val="en-US"/>
        </w:rPr>
        <w:t>4</w:t>
      </w:r>
      <w:r w:rsidRPr="00A450AC">
        <w:rPr>
          <w:lang w:val="en-US"/>
        </w:rPr>
        <w:t>.</w:t>
      </w:r>
    </w:p>
    <w:p w14:paraId="0F04DD69" w14:textId="41C483B7" w:rsidR="00767A2C" w:rsidRDefault="00767A2C" w:rsidP="00767A2C">
      <w:pPr>
        <w:rPr>
          <w:lang w:val="en-US"/>
        </w:rPr>
      </w:pPr>
      <w:r w:rsidRPr="00A450AC">
        <w:rPr>
          <w:lang w:val="en-US"/>
        </w:rPr>
        <w:t>Taken together, the different analyses reported here suggest that publication bias seemed to have distorted the publicly available research findings on red color effects and reasoning. After taking into account publication bias, most analyses evidenced no effect of red color at all.</w:t>
      </w:r>
    </w:p>
    <w:p w14:paraId="48AEC7AE" w14:textId="77777777" w:rsidR="00767A2C" w:rsidRPr="00A450AC" w:rsidRDefault="00767A2C" w:rsidP="00767A2C">
      <w:pPr>
        <w:ind w:firstLine="0"/>
        <w:jc w:val="center"/>
        <w:rPr>
          <w:rFonts w:eastAsia="SimSun"/>
          <w:lang w:val="en-US"/>
        </w:rPr>
      </w:pPr>
      <w:r w:rsidRPr="00A450AC">
        <w:rPr>
          <w:rFonts w:eastAsia="SimSun"/>
          <w:lang w:val="en-US"/>
        </w:rPr>
        <w:lastRenderedPageBreak/>
        <w:t>References</w:t>
      </w:r>
    </w:p>
    <w:p w14:paraId="42EFDA6B" w14:textId="50377FCE" w:rsidR="00767A2C" w:rsidRPr="00A450AC" w:rsidRDefault="00767A2C" w:rsidP="00767A2C">
      <w:pPr>
        <w:pStyle w:val="Literatur"/>
      </w:pPr>
      <w:proofErr w:type="spellStart"/>
      <w:r w:rsidRPr="00F00F82">
        <w:rPr>
          <w:lang w:val="de-DE"/>
        </w:rPr>
        <w:t>Begg</w:t>
      </w:r>
      <w:proofErr w:type="spellEnd"/>
      <w:r w:rsidRPr="00F00F82">
        <w:rPr>
          <w:lang w:val="de-DE"/>
        </w:rPr>
        <w:t xml:space="preserve">, C. B., &amp; </w:t>
      </w:r>
      <w:proofErr w:type="spellStart"/>
      <w:r w:rsidRPr="00F00F82">
        <w:rPr>
          <w:lang w:val="de-DE"/>
        </w:rPr>
        <w:t>Mazumdar</w:t>
      </w:r>
      <w:proofErr w:type="spellEnd"/>
      <w:r w:rsidRPr="00F00F82">
        <w:rPr>
          <w:lang w:val="de-DE"/>
        </w:rPr>
        <w:t xml:space="preserve">, M. (1994). </w:t>
      </w:r>
      <w:r w:rsidRPr="00A450AC">
        <w:t xml:space="preserve">Operating characteristics of a rank correlation test for publication bias. </w:t>
      </w:r>
      <w:r w:rsidRPr="00A450AC">
        <w:rPr>
          <w:i/>
        </w:rPr>
        <w:t>Biometrics, 50</w:t>
      </w:r>
      <w:r w:rsidRPr="00A450AC">
        <w:t xml:space="preserve">, 1088-1101. </w:t>
      </w:r>
      <w:hyperlink r:id="rId9" w:history="1">
        <w:r w:rsidR="00630F78" w:rsidRPr="00590C71">
          <w:rPr>
            <w:rStyle w:val="Hyperlink"/>
          </w:rPr>
          <w:t>https://doi.org/10.2307/2533446</w:t>
        </w:r>
      </w:hyperlink>
      <w:r w:rsidR="00630F78">
        <w:t xml:space="preserve"> </w:t>
      </w:r>
    </w:p>
    <w:p w14:paraId="069B0055" w14:textId="6F0BECC0" w:rsidR="00767A2C" w:rsidRPr="00A450AC" w:rsidRDefault="00767A2C" w:rsidP="00767A2C">
      <w:pPr>
        <w:pStyle w:val="Literatur"/>
      </w:pPr>
      <w:r w:rsidRPr="00A450AC">
        <w:t xml:space="preserve">Coburn, K. M., &amp; </w:t>
      </w:r>
      <w:proofErr w:type="spellStart"/>
      <w:r w:rsidRPr="00A450AC">
        <w:t>Vevea</w:t>
      </w:r>
      <w:proofErr w:type="spellEnd"/>
      <w:r w:rsidRPr="00A450AC">
        <w:t xml:space="preserve">, J. L. (2017). </w:t>
      </w:r>
      <w:proofErr w:type="spellStart"/>
      <w:r w:rsidRPr="00A450AC">
        <w:rPr>
          <w:i/>
        </w:rPr>
        <w:t>weightr</w:t>
      </w:r>
      <w:proofErr w:type="spellEnd"/>
      <w:r w:rsidRPr="00A450AC">
        <w:rPr>
          <w:i/>
        </w:rPr>
        <w:t xml:space="preserve">: </w:t>
      </w:r>
      <w:proofErr w:type="spellStart"/>
      <w:r w:rsidRPr="00A450AC">
        <w:rPr>
          <w:i/>
        </w:rPr>
        <w:t>EstimatingWeight</w:t>
      </w:r>
      <w:proofErr w:type="spellEnd"/>
      <w:r w:rsidRPr="00A450AC">
        <w:rPr>
          <w:i/>
        </w:rPr>
        <w:t>-Function Models for Publication Bias</w:t>
      </w:r>
      <w:r w:rsidRPr="00A450AC">
        <w:t xml:space="preserve"> (R package version 1.1.2). URL: </w:t>
      </w:r>
      <w:hyperlink r:id="rId10" w:history="1">
        <w:r w:rsidR="00630F78" w:rsidRPr="00590C71">
          <w:rPr>
            <w:rStyle w:val="Hyperlink"/>
          </w:rPr>
          <w:t>https://CRAN.R-project.org/package=weightr</w:t>
        </w:r>
      </w:hyperlink>
      <w:r w:rsidR="00630F78">
        <w:t xml:space="preserve"> </w:t>
      </w:r>
    </w:p>
    <w:p w14:paraId="03687EF8" w14:textId="30599542" w:rsidR="00767A2C" w:rsidRPr="00A450AC" w:rsidRDefault="00767A2C" w:rsidP="00767A2C">
      <w:pPr>
        <w:pStyle w:val="Literatur"/>
      </w:pPr>
      <w:r w:rsidRPr="00A450AC">
        <w:t xml:space="preserve">Lau, J., Ioannidis, J. P. A., </w:t>
      </w:r>
      <w:proofErr w:type="spellStart"/>
      <w:r w:rsidRPr="00A450AC">
        <w:t>Terrin</w:t>
      </w:r>
      <w:proofErr w:type="spellEnd"/>
      <w:r w:rsidRPr="00A450AC">
        <w:t xml:space="preserve">, N., Schmid, C. H., &amp; Olkin, I. (2006). Evidence based medicine: The case of the misleading funnel plot. </w:t>
      </w:r>
      <w:r w:rsidRPr="00A450AC">
        <w:rPr>
          <w:i/>
        </w:rPr>
        <w:t>BMJ: British Medical Journal, 333</w:t>
      </w:r>
      <w:r w:rsidRPr="00A450AC">
        <w:t xml:space="preserve">, 597-600. </w:t>
      </w:r>
      <w:hyperlink r:id="rId11" w:history="1">
        <w:r w:rsidR="00630F78" w:rsidRPr="00590C71">
          <w:rPr>
            <w:rStyle w:val="Hyperlink"/>
          </w:rPr>
          <w:t>https://doi.org/10.1136/bmj.333.7568.597</w:t>
        </w:r>
      </w:hyperlink>
      <w:r w:rsidR="00630F78">
        <w:t xml:space="preserve"> </w:t>
      </w:r>
    </w:p>
    <w:p w14:paraId="5ADBAB83" w14:textId="58FA5841" w:rsidR="00767A2C" w:rsidRPr="00A450AC" w:rsidRDefault="00767A2C" w:rsidP="00767A2C">
      <w:pPr>
        <w:pStyle w:val="Literatur"/>
      </w:pPr>
      <w:r w:rsidRPr="00004FEF">
        <w:t xml:space="preserve">McShane, B. B., </w:t>
      </w:r>
      <w:proofErr w:type="spellStart"/>
      <w:r w:rsidRPr="00004FEF">
        <w:t>Böckenholt</w:t>
      </w:r>
      <w:proofErr w:type="spellEnd"/>
      <w:r w:rsidRPr="00004FEF">
        <w:t xml:space="preserve">, U., &amp; Hansen, K. T. (2016). </w:t>
      </w:r>
      <w:r w:rsidRPr="00A450AC">
        <w:t xml:space="preserve">Adjusting for publication bias in meta-analysis: An evaluation of selection methods and some cautionary notes. </w:t>
      </w:r>
      <w:r w:rsidRPr="00A450AC">
        <w:rPr>
          <w:i/>
        </w:rPr>
        <w:t>Perspectives on Psychological Science, 11</w:t>
      </w:r>
      <w:r w:rsidRPr="00A450AC">
        <w:t xml:space="preserve">, 730-749. </w:t>
      </w:r>
      <w:hyperlink r:id="rId12" w:history="1">
        <w:r w:rsidR="00630F78" w:rsidRPr="00590C71">
          <w:rPr>
            <w:rStyle w:val="Hyperlink"/>
          </w:rPr>
          <w:t>https://doi.org/10.1177/1745691616662243</w:t>
        </w:r>
      </w:hyperlink>
      <w:r w:rsidR="00630F78">
        <w:t xml:space="preserve"> </w:t>
      </w:r>
    </w:p>
    <w:p w14:paraId="384F9C01" w14:textId="1E44D270" w:rsidR="00767A2C" w:rsidRPr="00004FEF" w:rsidRDefault="00767A2C" w:rsidP="00767A2C">
      <w:pPr>
        <w:pStyle w:val="Literatur"/>
        <w:rPr>
          <w:lang w:val="de-DE"/>
        </w:rPr>
      </w:pPr>
      <w:r w:rsidRPr="00A450AC">
        <w:t xml:space="preserve">Peters, J. L., Sutton, A. J., Jones, D. R., Abrams, K. R., &amp; Rushton, L. (2006). Comparison of two methods to detect publication bias in meta-analysis. </w:t>
      </w:r>
      <w:proofErr w:type="spellStart"/>
      <w:r w:rsidRPr="00004FEF">
        <w:rPr>
          <w:i/>
          <w:lang w:val="de-DE"/>
        </w:rPr>
        <w:t>Jama</w:t>
      </w:r>
      <w:proofErr w:type="spellEnd"/>
      <w:r w:rsidRPr="00004FEF">
        <w:rPr>
          <w:i/>
          <w:lang w:val="de-DE"/>
        </w:rPr>
        <w:t>, 295</w:t>
      </w:r>
      <w:r w:rsidRPr="00004FEF">
        <w:rPr>
          <w:lang w:val="de-DE"/>
        </w:rPr>
        <w:t xml:space="preserve">, 676-680. </w:t>
      </w:r>
      <w:hyperlink r:id="rId13" w:history="1">
        <w:r w:rsidR="00630F78" w:rsidRPr="00590C71">
          <w:rPr>
            <w:rStyle w:val="Hyperlink"/>
            <w:lang w:val="de-DE"/>
          </w:rPr>
          <w:t>https://doi.org/10.1001/jama.295.6.676</w:t>
        </w:r>
      </w:hyperlink>
      <w:r w:rsidR="00630F78">
        <w:rPr>
          <w:lang w:val="de-DE"/>
        </w:rPr>
        <w:t xml:space="preserve"> </w:t>
      </w:r>
    </w:p>
    <w:p w14:paraId="61209CEA" w14:textId="77777777" w:rsidR="00767A2C" w:rsidRPr="00A450AC" w:rsidRDefault="00767A2C" w:rsidP="00767A2C">
      <w:pPr>
        <w:pStyle w:val="Literatur"/>
      </w:pPr>
      <w:r w:rsidRPr="00747EB8">
        <w:rPr>
          <w:lang w:val="de-DE"/>
        </w:rPr>
        <w:t xml:space="preserve">Rothstein, H. R., Sutton, A. J., &amp; </w:t>
      </w:r>
      <w:proofErr w:type="spellStart"/>
      <w:r w:rsidRPr="00747EB8">
        <w:rPr>
          <w:lang w:val="de-DE"/>
        </w:rPr>
        <w:t>Borenstein</w:t>
      </w:r>
      <w:proofErr w:type="spellEnd"/>
      <w:r w:rsidRPr="00747EB8">
        <w:rPr>
          <w:lang w:val="de-DE"/>
        </w:rPr>
        <w:t xml:space="preserve">, M. (2005). </w:t>
      </w:r>
      <w:r w:rsidRPr="00A450AC">
        <w:t xml:space="preserve">Publication bias in meta-analysis. In H. R. Rothstein, A. J. Sutton, &amp; M. </w:t>
      </w:r>
      <w:proofErr w:type="spellStart"/>
      <w:r w:rsidRPr="00A450AC">
        <w:t>Borenstein</w:t>
      </w:r>
      <w:proofErr w:type="spellEnd"/>
      <w:r w:rsidRPr="00A450AC">
        <w:t xml:space="preserve"> (Eds.), </w:t>
      </w:r>
      <w:r w:rsidRPr="00A450AC">
        <w:rPr>
          <w:i/>
        </w:rPr>
        <w:t>Publication bias in meta- analysis: Prevention, assessment, and adjustments</w:t>
      </w:r>
      <w:r w:rsidRPr="00A450AC">
        <w:t xml:space="preserve"> (pp. 1-8). West Sussex, England: John Wiley &amp; Sons.</w:t>
      </w:r>
    </w:p>
    <w:p w14:paraId="3B30B2F2" w14:textId="21C9F847" w:rsidR="00767A2C" w:rsidRPr="00A450AC" w:rsidRDefault="00767A2C" w:rsidP="00767A2C">
      <w:pPr>
        <w:pStyle w:val="Literatur"/>
      </w:pPr>
      <w:proofErr w:type="spellStart"/>
      <w:r w:rsidRPr="00A450AC">
        <w:t>Simonsohn</w:t>
      </w:r>
      <w:proofErr w:type="spellEnd"/>
      <w:r w:rsidRPr="00A450AC">
        <w:t xml:space="preserve">, U., Simmons, J. P., &amp; Nelson, L. D. (2015). Better p-curves: Making p-curve analysis more robust to errors, fraud, and ambitious p-hacking, a reply to Ulrich and Miller (2015). </w:t>
      </w:r>
      <w:r w:rsidRPr="00A450AC">
        <w:rPr>
          <w:i/>
        </w:rPr>
        <w:t>Journal of Experimental Psychology: General, 144</w:t>
      </w:r>
      <w:r w:rsidRPr="00A450AC">
        <w:t xml:space="preserve">, 1146-1152. </w:t>
      </w:r>
      <w:hyperlink r:id="rId14" w:history="1">
        <w:r w:rsidR="00630F78" w:rsidRPr="00590C71">
          <w:rPr>
            <w:rStyle w:val="Hyperlink"/>
          </w:rPr>
          <w:t>https://doi.org/10.1037/xge0000104</w:t>
        </w:r>
      </w:hyperlink>
      <w:r w:rsidR="00630F78">
        <w:t xml:space="preserve"> </w:t>
      </w:r>
    </w:p>
    <w:p w14:paraId="564DC401" w14:textId="4F2A8656" w:rsidR="00767A2C" w:rsidRPr="00A450AC" w:rsidRDefault="00767A2C" w:rsidP="00767A2C">
      <w:pPr>
        <w:pStyle w:val="Literatur"/>
      </w:pPr>
      <w:proofErr w:type="spellStart"/>
      <w:r w:rsidRPr="00A450AC">
        <w:lastRenderedPageBreak/>
        <w:t>Simonsohn</w:t>
      </w:r>
      <w:proofErr w:type="spellEnd"/>
      <w:r w:rsidRPr="00A450AC">
        <w:t xml:space="preserve">, U., Nelson, L. D., &amp; Simmons, J. P. (2014). P-curve: A key to the file-drawer. </w:t>
      </w:r>
      <w:r w:rsidRPr="00A450AC">
        <w:rPr>
          <w:i/>
        </w:rPr>
        <w:t>Journal of Experimental Psychology. General, 143</w:t>
      </w:r>
      <w:r w:rsidRPr="00A450AC">
        <w:t xml:space="preserve">, 534-547. </w:t>
      </w:r>
      <w:hyperlink r:id="rId15" w:history="1">
        <w:r w:rsidR="00630F78" w:rsidRPr="00590C71">
          <w:rPr>
            <w:rStyle w:val="Hyperlink"/>
          </w:rPr>
          <w:t>https://doi.org/10.1037/a0033242</w:t>
        </w:r>
      </w:hyperlink>
      <w:r w:rsidR="00630F78">
        <w:t xml:space="preserve"> </w:t>
      </w:r>
    </w:p>
    <w:p w14:paraId="00654F41" w14:textId="08DE8CFD" w:rsidR="00767A2C" w:rsidRPr="00A450AC" w:rsidRDefault="00767A2C" w:rsidP="00767A2C">
      <w:pPr>
        <w:pStyle w:val="Literatur"/>
      </w:pPr>
      <w:r w:rsidRPr="00A450AC">
        <w:t xml:space="preserve">Sterne, J. A. C., &amp; Egger, M. (2001). Funnel plots for detecting bias in meta-analysis: Guidelines on choice of axis. </w:t>
      </w:r>
      <w:r w:rsidRPr="00A450AC">
        <w:rPr>
          <w:i/>
        </w:rPr>
        <w:t>Journal of Clinical Epidemiology, 54</w:t>
      </w:r>
      <w:r w:rsidRPr="00A450AC">
        <w:t xml:space="preserve">, 1046–1055. </w:t>
      </w:r>
      <w:hyperlink r:id="rId16" w:history="1">
        <w:r w:rsidR="00630F78" w:rsidRPr="00590C71">
          <w:rPr>
            <w:rStyle w:val="Hyperlink"/>
          </w:rPr>
          <w:t>https://doi.org/10.1016/S0895-4356(01)00377-8</w:t>
        </w:r>
      </w:hyperlink>
      <w:r w:rsidR="00630F78">
        <w:t xml:space="preserve"> </w:t>
      </w:r>
    </w:p>
    <w:p w14:paraId="29463972" w14:textId="7AA9F83B" w:rsidR="00F00F82" w:rsidRPr="00A450AC" w:rsidRDefault="00F00F82" w:rsidP="00F00F82">
      <w:pPr>
        <w:pStyle w:val="Literatur"/>
      </w:pPr>
      <w:r>
        <w:t>V</w:t>
      </w:r>
      <w:r w:rsidRPr="00A450AC">
        <w:t xml:space="preserve">an </w:t>
      </w:r>
      <w:proofErr w:type="spellStart"/>
      <w:r w:rsidRPr="00A450AC">
        <w:t>Aert</w:t>
      </w:r>
      <w:proofErr w:type="spellEnd"/>
      <w:r w:rsidRPr="00A450AC">
        <w:t>, R. C. M., &amp; v</w:t>
      </w:r>
      <w:r>
        <w:t>an Assen, M. A. L. M. (2020</w:t>
      </w:r>
      <w:r w:rsidRPr="00A450AC">
        <w:t xml:space="preserve">). Correcting for publication bias in a meta-analysis with the p-uniform* method. </w:t>
      </w:r>
      <w:r w:rsidRPr="00A450AC">
        <w:rPr>
          <w:i/>
        </w:rPr>
        <w:t>BITSS Preprints</w:t>
      </w:r>
      <w:r w:rsidRPr="00A450AC">
        <w:t xml:space="preserve">. </w:t>
      </w:r>
      <w:hyperlink r:id="rId17" w:history="1">
        <w:r w:rsidRPr="00590C71">
          <w:rPr>
            <w:rStyle w:val="Hyperlink"/>
          </w:rPr>
          <w:t>https://doi.org/10.31222/osf.io/zqjr9</w:t>
        </w:r>
      </w:hyperlink>
      <w:r>
        <w:t xml:space="preserve"> </w:t>
      </w:r>
    </w:p>
    <w:p w14:paraId="06168C48" w14:textId="464C1F32" w:rsidR="00F00F82" w:rsidRPr="00A450AC" w:rsidRDefault="00F00F82" w:rsidP="00F00F82">
      <w:pPr>
        <w:pStyle w:val="Literatur"/>
      </w:pPr>
      <w:r w:rsidRPr="00F00F82">
        <w:rPr>
          <w:lang w:val="de-DE"/>
        </w:rPr>
        <w:t>V</w:t>
      </w:r>
      <w:r w:rsidRPr="00F00F82">
        <w:rPr>
          <w:lang w:val="de-DE"/>
        </w:rPr>
        <w:t xml:space="preserve">an </w:t>
      </w:r>
      <w:proofErr w:type="spellStart"/>
      <w:r w:rsidRPr="00F00F82">
        <w:rPr>
          <w:lang w:val="de-DE"/>
        </w:rPr>
        <w:t>Aert</w:t>
      </w:r>
      <w:proofErr w:type="spellEnd"/>
      <w:r w:rsidRPr="00F00F82">
        <w:rPr>
          <w:lang w:val="de-DE"/>
        </w:rPr>
        <w:t xml:space="preserve">, R. C. M., Wicherts, J. M., &amp; van Assen, M. A. L. M. (2016). </w:t>
      </w:r>
      <w:r w:rsidRPr="00A450AC">
        <w:t xml:space="preserve">Conducting meta-analyses on p-values: Reservations and recommendations for applying p-uniform and p-curve. </w:t>
      </w:r>
      <w:r w:rsidRPr="00A450AC">
        <w:rPr>
          <w:i/>
        </w:rPr>
        <w:t>Perspectives on Psychological Science, 11</w:t>
      </w:r>
      <w:r w:rsidRPr="00A450AC">
        <w:t xml:space="preserve">, 713-729. </w:t>
      </w:r>
      <w:hyperlink r:id="rId18" w:history="1">
        <w:r w:rsidRPr="00590C71">
          <w:rPr>
            <w:rStyle w:val="Hyperlink"/>
          </w:rPr>
          <w:t>https://doi.org/10.1177/1745691616650874</w:t>
        </w:r>
      </w:hyperlink>
      <w:r>
        <w:t xml:space="preserve"> </w:t>
      </w:r>
    </w:p>
    <w:p w14:paraId="2A104CAC" w14:textId="731FF7FB" w:rsidR="00F00F82" w:rsidRPr="00A450AC" w:rsidRDefault="00F00F82" w:rsidP="00F00F82">
      <w:pPr>
        <w:pStyle w:val="Literatur"/>
      </w:pPr>
      <w:r w:rsidRPr="00F00F82">
        <w:rPr>
          <w:lang w:val="de-DE"/>
        </w:rPr>
        <w:t>V</w:t>
      </w:r>
      <w:r w:rsidRPr="00F00F82">
        <w:rPr>
          <w:lang w:val="de-DE"/>
        </w:rPr>
        <w:t xml:space="preserve">an Assen, M. A. L. M., van </w:t>
      </w:r>
      <w:proofErr w:type="spellStart"/>
      <w:r w:rsidRPr="00F00F82">
        <w:rPr>
          <w:lang w:val="de-DE"/>
        </w:rPr>
        <w:t>Aert</w:t>
      </w:r>
      <w:proofErr w:type="spellEnd"/>
      <w:r w:rsidRPr="00F00F82">
        <w:rPr>
          <w:lang w:val="de-DE"/>
        </w:rPr>
        <w:t xml:space="preserve">, R. C. M., &amp; Wicherts, J. M. (2015). </w:t>
      </w:r>
      <w:r w:rsidRPr="00A450AC">
        <w:t xml:space="preserve">Meta-analysis using effect size distributions of only statistically significant studies. </w:t>
      </w:r>
      <w:r w:rsidRPr="00A450AC">
        <w:rPr>
          <w:i/>
        </w:rPr>
        <w:t>Psychological Methods, 20</w:t>
      </w:r>
      <w:r w:rsidRPr="00A450AC">
        <w:t xml:space="preserve">, 293-309. </w:t>
      </w:r>
      <w:hyperlink r:id="rId19" w:history="1">
        <w:r w:rsidRPr="00590C71">
          <w:rPr>
            <w:rStyle w:val="Hyperlink"/>
          </w:rPr>
          <w:t>https://doi.org/10.1037/met0000025</w:t>
        </w:r>
      </w:hyperlink>
      <w:r>
        <w:t xml:space="preserve"> </w:t>
      </w:r>
    </w:p>
    <w:p w14:paraId="34F86CA7" w14:textId="65A4FA46" w:rsidR="008B7841" w:rsidRPr="00767A2C" w:rsidRDefault="00767A2C" w:rsidP="00F00F82">
      <w:pPr>
        <w:pStyle w:val="Literatur"/>
      </w:pPr>
      <w:proofErr w:type="spellStart"/>
      <w:r w:rsidRPr="00A450AC">
        <w:t>Vevea</w:t>
      </w:r>
      <w:proofErr w:type="spellEnd"/>
      <w:r w:rsidRPr="00A450AC">
        <w:t xml:space="preserve">, J. L., &amp; Woods, C. M. (2005). Publication bias in research synthesis: Sensitivity analysis using a priori weight functions. </w:t>
      </w:r>
      <w:r w:rsidRPr="00A450AC">
        <w:rPr>
          <w:i/>
        </w:rPr>
        <w:t>Psychological Methods, 10</w:t>
      </w:r>
      <w:r w:rsidRPr="00A450AC">
        <w:t xml:space="preserve">, 428-443. </w:t>
      </w:r>
      <w:hyperlink r:id="rId20" w:history="1">
        <w:r w:rsidR="00630F78" w:rsidRPr="00590C71">
          <w:rPr>
            <w:rStyle w:val="Hyperlink"/>
          </w:rPr>
          <w:t>https://doi.org/10.1037/1082-989X.10.4.428</w:t>
        </w:r>
      </w:hyperlink>
      <w:r w:rsidR="00630F78">
        <w:t xml:space="preserve"> </w:t>
      </w:r>
    </w:p>
    <w:sectPr w:rsidR="008B7841" w:rsidRPr="00767A2C" w:rsidSect="00833DD6">
      <w:headerReference w:type="default" r:id="rId21"/>
      <w:headerReference w:type="first" r:id="rId22"/>
      <w:pgSz w:w="11906" w:h="16838"/>
      <w:pgMar w:top="1134" w:right="1418"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D95051" w14:textId="77777777" w:rsidR="002D0D3A" w:rsidRDefault="002D0D3A">
      <w:r>
        <w:separator/>
      </w:r>
    </w:p>
  </w:endnote>
  <w:endnote w:type="continuationSeparator" w:id="0">
    <w:p w14:paraId="110C687F" w14:textId="77777777" w:rsidR="002D0D3A" w:rsidRDefault="002D0D3A">
      <w:r>
        <w:continuationSeparator/>
      </w:r>
    </w:p>
  </w:endnote>
  <w:endnote w:type="continuationNotice" w:id="1">
    <w:p w14:paraId="50B35B88" w14:textId="77777777" w:rsidR="002D0D3A" w:rsidRDefault="002D0D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B0502040204020203"/>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B0500000000000000"/>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1CE04" w14:textId="77777777" w:rsidR="002D0D3A" w:rsidRDefault="002D0D3A">
      <w:r>
        <w:separator/>
      </w:r>
    </w:p>
  </w:footnote>
  <w:footnote w:type="continuationSeparator" w:id="0">
    <w:p w14:paraId="0B797093" w14:textId="77777777" w:rsidR="002D0D3A" w:rsidRDefault="002D0D3A">
      <w:r>
        <w:continuationSeparator/>
      </w:r>
    </w:p>
  </w:footnote>
  <w:footnote w:type="continuationNotice" w:id="1">
    <w:p w14:paraId="5A9052F7" w14:textId="77777777" w:rsidR="002D0D3A" w:rsidRDefault="002D0D3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93592" w14:textId="70E189B1" w:rsidR="00833DD6" w:rsidRPr="009354E8" w:rsidRDefault="00833DD6" w:rsidP="00833DD6">
    <w:pPr>
      <w:ind w:firstLine="0"/>
      <w:rPr>
        <w:lang w:val="en-US"/>
      </w:rPr>
    </w:pPr>
    <w:r>
      <w:rPr>
        <w:lang w:val="en-US"/>
      </w:rPr>
      <w:t>RED COLOR AND COGNITIVE PERFORMANCE</w:t>
    </w:r>
    <w:r>
      <w:rPr>
        <w:rFonts w:eastAsia="SimSun"/>
        <w:lang w:val="en-US"/>
      </w:rPr>
      <w:t xml:space="preserve"> (SUPPLEMENT E)</w:t>
    </w:r>
    <w:r>
      <w:rPr>
        <w:lang w:val="en-US"/>
      </w:rPr>
      <w:tab/>
    </w:r>
    <w:sdt>
      <w:sdtPr>
        <w:id w:val="-1251281537"/>
        <w:docPartObj>
          <w:docPartGallery w:val="Page Numbers (Top of Page)"/>
          <w:docPartUnique/>
        </w:docPartObj>
      </w:sdtPr>
      <w:sdtEndPr/>
      <w:sdtContent>
        <w:r w:rsidRPr="00EF3681">
          <w:rPr>
            <w:lang w:val="en-US"/>
          </w:rPr>
          <w:tab/>
        </w:r>
        <w:r>
          <w:fldChar w:fldCharType="begin"/>
        </w:r>
        <w:r w:rsidRPr="002C484B">
          <w:rPr>
            <w:lang w:val="en-US"/>
          </w:rPr>
          <w:instrText>PAGE   \* MERGEFORMAT</w:instrText>
        </w:r>
        <w:r>
          <w:fldChar w:fldCharType="separate"/>
        </w:r>
        <w:r w:rsidR="00413CFC">
          <w:rPr>
            <w:noProof/>
            <w:lang w:val="en-US"/>
          </w:rPr>
          <w:t>6</w:t>
        </w:r>
        <w:r>
          <w:fldChar w:fldCharType="end"/>
        </w:r>
      </w:sdtContent>
    </w:sdt>
  </w:p>
  <w:p w14:paraId="0ECF8CB6" w14:textId="77777777" w:rsidR="00833DD6" w:rsidRPr="00833DD6" w:rsidRDefault="00833DD6" w:rsidP="00833DD6">
    <w:pPr>
      <w:pStyle w:val="Kopfzeile"/>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AA070" w14:textId="69142086" w:rsidR="00833DD6" w:rsidRDefault="00833DD6" w:rsidP="00833DD6">
    <w:pPr>
      <w:ind w:firstLine="0"/>
      <w:rPr>
        <w:rFonts w:eastAsia="SimSun"/>
        <w:lang w:val="en-US"/>
      </w:rPr>
    </w:pPr>
    <w:r w:rsidRPr="00737223">
      <w:rPr>
        <w:lang w:val="en-US"/>
      </w:rPr>
      <w:t>Red Color and C</w:t>
    </w:r>
    <w:r>
      <w:rPr>
        <w:lang w:val="en-US"/>
      </w:rPr>
      <w:t>ognitive Performance</w:t>
    </w:r>
    <w:r>
      <w:rPr>
        <w:rFonts w:eastAsia="SimSun"/>
        <w:lang w:val="en-US"/>
      </w:rPr>
      <w:t>: A Meta-Analysis (Supplement E)</w:t>
    </w:r>
  </w:p>
  <w:p w14:paraId="4CE31277" w14:textId="53719C00" w:rsidR="003F1876" w:rsidRPr="00833DD6" w:rsidRDefault="003F1876" w:rsidP="00833DD6">
    <w:pPr>
      <w:pStyle w:val="Kopfzeile"/>
      <w:ind w:firstLine="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F0CAA5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E925FD"/>
    <w:multiLevelType w:val="multilevel"/>
    <w:tmpl w:val="88F45F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6B33EE"/>
    <w:multiLevelType w:val="hybridMultilevel"/>
    <w:tmpl w:val="0302A274"/>
    <w:lvl w:ilvl="0" w:tplc="B0DC9742">
      <w:start w:val="1"/>
      <w:numFmt w:val="bullet"/>
      <w:lvlText w:val=""/>
      <w:lvlJc w:val="left"/>
      <w:pPr>
        <w:tabs>
          <w:tab w:val="num" w:pos="720"/>
        </w:tabs>
        <w:ind w:left="720" w:hanging="360"/>
      </w:pPr>
      <w:rPr>
        <w:rFonts w:ascii="Wingdings" w:hAnsi="Wingdings" w:hint="default"/>
      </w:rPr>
    </w:lvl>
    <w:lvl w:ilvl="1" w:tplc="47C4C0C2" w:tentative="1">
      <w:start w:val="1"/>
      <w:numFmt w:val="bullet"/>
      <w:lvlText w:val=""/>
      <w:lvlJc w:val="left"/>
      <w:pPr>
        <w:tabs>
          <w:tab w:val="num" w:pos="1440"/>
        </w:tabs>
        <w:ind w:left="1440" w:hanging="360"/>
      </w:pPr>
      <w:rPr>
        <w:rFonts w:ascii="Wingdings" w:hAnsi="Wingdings" w:hint="default"/>
      </w:rPr>
    </w:lvl>
    <w:lvl w:ilvl="2" w:tplc="85E6441E" w:tentative="1">
      <w:start w:val="1"/>
      <w:numFmt w:val="bullet"/>
      <w:lvlText w:val=""/>
      <w:lvlJc w:val="left"/>
      <w:pPr>
        <w:tabs>
          <w:tab w:val="num" w:pos="2160"/>
        </w:tabs>
        <w:ind w:left="2160" w:hanging="360"/>
      </w:pPr>
      <w:rPr>
        <w:rFonts w:ascii="Wingdings" w:hAnsi="Wingdings" w:hint="default"/>
      </w:rPr>
    </w:lvl>
    <w:lvl w:ilvl="3" w:tplc="C7B06042" w:tentative="1">
      <w:start w:val="1"/>
      <w:numFmt w:val="bullet"/>
      <w:lvlText w:val=""/>
      <w:lvlJc w:val="left"/>
      <w:pPr>
        <w:tabs>
          <w:tab w:val="num" w:pos="2880"/>
        </w:tabs>
        <w:ind w:left="2880" w:hanging="360"/>
      </w:pPr>
      <w:rPr>
        <w:rFonts w:ascii="Wingdings" w:hAnsi="Wingdings" w:hint="default"/>
      </w:rPr>
    </w:lvl>
    <w:lvl w:ilvl="4" w:tplc="5EC8A0AE" w:tentative="1">
      <w:start w:val="1"/>
      <w:numFmt w:val="bullet"/>
      <w:lvlText w:val=""/>
      <w:lvlJc w:val="left"/>
      <w:pPr>
        <w:tabs>
          <w:tab w:val="num" w:pos="3600"/>
        </w:tabs>
        <w:ind w:left="3600" w:hanging="360"/>
      </w:pPr>
      <w:rPr>
        <w:rFonts w:ascii="Wingdings" w:hAnsi="Wingdings" w:hint="default"/>
      </w:rPr>
    </w:lvl>
    <w:lvl w:ilvl="5" w:tplc="C5640242" w:tentative="1">
      <w:start w:val="1"/>
      <w:numFmt w:val="bullet"/>
      <w:lvlText w:val=""/>
      <w:lvlJc w:val="left"/>
      <w:pPr>
        <w:tabs>
          <w:tab w:val="num" w:pos="4320"/>
        </w:tabs>
        <w:ind w:left="4320" w:hanging="360"/>
      </w:pPr>
      <w:rPr>
        <w:rFonts w:ascii="Wingdings" w:hAnsi="Wingdings" w:hint="default"/>
      </w:rPr>
    </w:lvl>
    <w:lvl w:ilvl="6" w:tplc="0D22110C" w:tentative="1">
      <w:start w:val="1"/>
      <w:numFmt w:val="bullet"/>
      <w:lvlText w:val=""/>
      <w:lvlJc w:val="left"/>
      <w:pPr>
        <w:tabs>
          <w:tab w:val="num" w:pos="5040"/>
        </w:tabs>
        <w:ind w:left="5040" w:hanging="360"/>
      </w:pPr>
      <w:rPr>
        <w:rFonts w:ascii="Wingdings" w:hAnsi="Wingdings" w:hint="default"/>
      </w:rPr>
    </w:lvl>
    <w:lvl w:ilvl="7" w:tplc="48A41D56" w:tentative="1">
      <w:start w:val="1"/>
      <w:numFmt w:val="bullet"/>
      <w:lvlText w:val=""/>
      <w:lvlJc w:val="left"/>
      <w:pPr>
        <w:tabs>
          <w:tab w:val="num" w:pos="5760"/>
        </w:tabs>
        <w:ind w:left="5760" w:hanging="360"/>
      </w:pPr>
      <w:rPr>
        <w:rFonts w:ascii="Wingdings" w:hAnsi="Wingdings" w:hint="default"/>
      </w:rPr>
    </w:lvl>
    <w:lvl w:ilvl="8" w:tplc="C922AC6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63823"/>
    <w:multiLevelType w:val="hybridMultilevel"/>
    <w:tmpl w:val="14624E44"/>
    <w:lvl w:ilvl="0" w:tplc="B5089E9A">
      <w:start w:val="1"/>
      <w:numFmt w:val="lowerLetter"/>
      <w:lvlText w:val="%1)"/>
      <w:lvlJc w:val="left"/>
      <w:pPr>
        <w:ind w:left="1069" w:hanging="360"/>
      </w:pPr>
      <w:rPr>
        <w:rFonts w:cs="Times New Roman" w:hint="default"/>
      </w:rPr>
    </w:lvl>
    <w:lvl w:ilvl="1" w:tplc="04070019" w:tentative="1">
      <w:start w:val="1"/>
      <w:numFmt w:val="lowerLetter"/>
      <w:lvlText w:val="%2."/>
      <w:lvlJc w:val="left"/>
      <w:pPr>
        <w:ind w:left="1789" w:hanging="360"/>
      </w:pPr>
      <w:rPr>
        <w:rFonts w:cs="Times New Roman"/>
      </w:rPr>
    </w:lvl>
    <w:lvl w:ilvl="2" w:tplc="0407001B" w:tentative="1">
      <w:start w:val="1"/>
      <w:numFmt w:val="lowerRoman"/>
      <w:lvlText w:val="%3."/>
      <w:lvlJc w:val="right"/>
      <w:pPr>
        <w:ind w:left="2509" w:hanging="180"/>
      </w:pPr>
      <w:rPr>
        <w:rFonts w:cs="Times New Roman"/>
      </w:rPr>
    </w:lvl>
    <w:lvl w:ilvl="3" w:tplc="0407000F" w:tentative="1">
      <w:start w:val="1"/>
      <w:numFmt w:val="decimal"/>
      <w:lvlText w:val="%4."/>
      <w:lvlJc w:val="left"/>
      <w:pPr>
        <w:ind w:left="3229" w:hanging="360"/>
      </w:pPr>
      <w:rPr>
        <w:rFonts w:cs="Times New Roman"/>
      </w:rPr>
    </w:lvl>
    <w:lvl w:ilvl="4" w:tplc="04070019" w:tentative="1">
      <w:start w:val="1"/>
      <w:numFmt w:val="lowerLetter"/>
      <w:lvlText w:val="%5."/>
      <w:lvlJc w:val="left"/>
      <w:pPr>
        <w:ind w:left="3949" w:hanging="360"/>
      </w:pPr>
      <w:rPr>
        <w:rFonts w:cs="Times New Roman"/>
      </w:rPr>
    </w:lvl>
    <w:lvl w:ilvl="5" w:tplc="0407001B" w:tentative="1">
      <w:start w:val="1"/>
      <w:numFmt w:val="lowerRoman"/>
      <w:lvlText w:val="%6."/>
      <w:lvlJc w:val="right"/>
      <w:pPr>
        <w:ind w:left="4669" w:hanging="180"/>
      </w:pPr>
      <w:rPr>
        <w:rFonts w:cs="Times New Roman"/>
      </w:rPr>
    </w:lvl>
    <w:lvl w:ilvl="6" w:tplc="0407000F" w:tentative="1">
      <w:start w:val="1"/>
      <w:numFmt w:val="decimal"/>
      <w:lvlText w:val="%7."/>
      <w:lvlJc w:val="left"/>
      <w:pPr>
        <w:ind w:left="5389" w:hanging="360"/>
      </w:pPr>
      <w:rPr>
        <w:rFonts w:cs="Times New Roman"/>
      </w:rPr>
    </w:lvl>
    <w:lvl w:ilvl="7" w:tplc="04070019" w:tentative="1">
      <w:start w:val="1"/>
      <w:numFmt w:val="lowerLetter"/>
      <w:lvlText w:val="%8."/>
      <w:lvlJc w:val="left"/>
      <w:pPr>
        <w:ind w:left="6109" w:hanging="360"/>
      </w:pPr>
      <w:rPr>
        <w:rFonts w:cs="Times New Roman"/>
      </w:rPr>
    </w:lvl>
    <w:lvl w:ilvl="8" w:tplc="0407001B" w:tentative="1">
      <w:start w:val="1"/>
      <w:numFmt w:val="lowerRoman"/>
      <w:lvlText w:val="%9."/>
      <w:lvlJc w:val="right"/>
      <w:pPr>
        <w:ind w:left="6829" w:hanging="180"/>
      </w:pPr>
      <w:rPr>
        <w:rFonts w:cs="Times New Roman"/>
      </w:rPr>
    </w:lvl>
  </w:abstractNum>
  <w:abstractNum w:abstractNumId="4" w15:restartNumberingAfterBreak="0">
    <w:nsid w:val="138D4F1B"/>
    <w:multiLevelType w:val="hybridMultilevel"/>
    <w:tmpl w:val="EBF80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0024F"/>
    <w:multiLevelType w:val="hybridMultilevel"/>
    <w:tmpl w:val="6914C60E"/>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7A2649"/>
    <w:multiLevelType w:val="hybridMultilevel"/>
    <w:tmpl w:val="06CE5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9C72D7"/>
    <w:multiLevelType w:val="hybridMultilevel"/>
    <w:tmpl w:val="48429578"/>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8572E"/>
    <w:multiLevelType w:val="hybridMultilevel"/>
    <w:tmpl w:val="69F41948"/>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764189C"/>
    <w:multiLevelType w:val="hybridMultilevel"/>
    <w:tmpl w:val="9192F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F062BA"/>
    <w:multiLevelType w:val="hybridMultilevel"/>
    <w:tmpl w:val="94983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862947"/>
    <w:multiLevelType w:val="hybridMultilevel"/>
    <w:tmpl w:val="3E583272"/>
    <w:lvl w:ilvl="0" w:tplc="6BA0688C">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3"/>
  </w:num>
  <w:num w:numId="3">
    <w:abstractNumId w:val="3"/>
  </w:num>
  <w:num w:numId="4">
    <w:abstractNumId w:val="0"/>
  </w:num>
  <w:num w:numId="5">
    <w:abstractNumId w:val="9"/>
  </w:num>
  <w:num w:numId="6">
    <w:abstractNumId w:val="8"/>
  </w:num>
  <w:num w:numId="7">
    <w:abstractNumId w:val="5"/>
  </w:num>
  <w:num w:numId="8">
    <w:abstractNumId w:val="7"/>
  </w:num>
  <w:num w:numId="9">
    <w:abstractNumId w:val="6"/>
  </w:num>
  <w:num w:numId="10">
    <w:abstractNumId w:val="11"/>
  </w:num>
  <w:num w:numId="11">
    <w:abstractNumId w:val="4"/>
  </w:num>
  <w:num w:numId="12">
    <w:abstractNumId w:val="1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SzsDCwMDY1MzUyszRT0lEKTi0uzszPAykwrwUA90Z4FSwAAAA="/>
  </w:docVars>
  <w:rsids>
    <w:rsidRoot w:val="00521D8F"/>
    <w:rsid w:val="0000023F"/>
    <w:rsid w:val="0000049C"/>
    <w:rsid w:val="00000E2B"/>
    <w:rsid w:val="000013F3"/>
    <w:rsid w:val="0000228D"/>
    <w:rsid w:val="0000252D"/>
    <w:rsid w:val="000026E2"/>
    <w:rsid w:val="00002A48"/>
    <w:rsid w:val="00002A7E"/>
    <w:rsid w:val="000037EE"/>
    <w:rsid w:val="00004AB5"/>
    <w:rsid w:val="00004EBE"/>
    <w:rsid w:val="00004FEF"/>
    <w:rsid w:val="000053E5"/>
    <w:rsid w:val="00005940"/>
    <w:rsid w:val="00005CFE"/>
    <w:rsid w:val="0000612F"/>
    <w:rsid w:val="000061C1"/>
    <w:rsid w:val="00006695"/>
    <w:rsid w:val="00006913"/>
    <w:rsid w:val="00007A2F"/>
    <w:rsid w:val="000101B4"/>
    <w:rsid w:val="00010DA5"/>
    <w:rsid w:val="00011691"/>
    <w:rsid w:val="0001289B"/>
    <w:rsid w:val="00012F12"/>
    <w:rsid w:val="0001315F"/>
    <w:rsid w:val="000131EB"/>
    <w:rsid w:val="000133E7"/>
    <w:rsid w:val="00013511"/>
    <w:rsid w:val="000135F1"/>
    <w:rsid w:val="00014097"/>
    <w:rsid w:val="00014AC9"/>
    <w:rsid w:val="000153D0"/>
    <w:rsid w:val="000156E2"/>
    <w:rsid w:val="000158BB"/>
    <w:rsid w:val="00016CF0"/>
    <w:rsid w:val="00016F05"/>
    <w:rsid w:val="0001729C"/>
    <w:rsid w:val="0001731C"/>
    <w:rsid w:val="0001752F"/>
    <w:rsid w:val="00017D43"/>
    <w:rsid w:val="00017EC2"/>
    <w:rsid w:val="00020A6B"/>
    <w:rsid w:val="0002151E"/>
    <w:rsid w:val="00021629"/>
    <w:rsid w:val="00022D67"/>
    <w:rsid w:val="00023013"/>
    <w:rsid w:val="000231A0"/>
    <w:rsid w:val="000241E4"/>
    <w:rsid w:val="0002473F"/>
    <w:rsid w:val="00024C7A"/>
    <w:rsid w:val="000257CD"/>
    <w:rsid w:val="00026AE3"/>
    <w:rsid w:val="0002762C"/>
    <w:rsid w:val="000276B9"/>
    <w:rsid w:val="00027D26"/>
    <w:rsid w:val="00030463"/>
    <w:rsid w:val="00030724"/>
    <w:rsid w:val="00030A46"/>
    <w:rsid w:val="00031971"/>
    <w:rsid w:val="00031BDF"/>
    <w:rsid w:val="00031E7B"/>
    <w:rsid w:val="000326BF"/>
    <w:rsid w:val="000336E5"/>
    <w:rsid w:val="000341B2"/>
    <w:rsid w:val="00034458"/>
    <w:rsid w:val="00035109"/>
    <w:rsid w:val="000358F8"/>
    <w:rsid w:val="000358FE"/>
    <w:rsid w:val="000362B6"/>
    <w:rsid w:val="000377F9"/>
    <w:rsid w:val="00040186"/>
    <w:rsid w:val="000402FD"/>
    <w:rsid w:val="00040319"/>
    <w:rsid w:val="0004036B"/>
    <w:rsid w:val="000409DC"/>
    <w:rsid w:val="0004175F"/>
    <w:rsid w:val="00041A51"/>
    <w:rsid w:val="00041B93"/>
    <w:rsid w:val="00041BFE"/>
    <w:rsid w:val="00041CEF"/>
    <w:rsid w:val="00041E48"/>
    <w:rsid w:val="0004201C"/>
    <w:rsid w:val="00042CFF"/>
    <w:rsid w:val="00043151"/>
    <w:rsid w:val="00043A97"/>
    <w:rsid w:val="00043FD5"/>
    <w:rsid w:val="000443B0"/>
    <w:rsid w:val="000449E7"/>
    <w:rsid w:val="00044CC0"/>
    <w:rsid w:val="0004505E"/>
    <w:rsid w:val="0004542A"/>
    <w:rsid w:val="00045C99"/>
    <w:rsid w:val="00046AE5"/>
    <w:rsid w:val="00050092"/>
    <w:rsid w:val="000504A0"/>
    <w:rsid w:val="00050543"/>
    <w:rsid w:val="00050F1C"/>
    <w:rsid w:val="000516C4"/>
    <w:rsid w:val="000518A7"/>
    <w:rsid w:val="00051A5A"/>
    <w:rsid w:val="000521CA"/>
    <w:rsid w:val="00052507"/>
    <w:rsid w:val="00053247"/>
    <w:rsid w:val="00053996"/>
    <w:rsid w:val="0005402C"/>
    <w:rsid w:val="00054469"/>
    <w:rsid w:val="00054E16"/>
    <w:rsid w:val="00055200"/>
    <w:rsid w:val="00055448"/>
    <w:rsid w:val="00055F4B"/>
    <w:rsid w:val="00056A55"/>
    <w:rsid w:val="00056AAE"/>
    <w:rsid w:val="00057802"/>
    <w:rsid w:val="00057BB7"/>
    <w:rsid w:val="000600EC"/>
    <w:rsid w:val="00060821"/>
    <w:rsid w:val="00061C54"/>
    <w:rsid w:val="00061EFD"/>
    <w:rsid w:val="000624D6"/>
    <w:rsid w:val="00062B14"/>
    <w:rsid w:val="00063B28"/>
    <w:rsid w:val="00064F3A"/>
    <w:rsid w:val="0006547F"/>
    <w:rsid w:val="0006557B"/>
    <w:rsid w:val="0006575C"/>
    <w:rsid w:val="00065F80"/>
    <w:rsid w:val="000664A2"/>
    <w:rsid w:val="000669C0"/>
    <w:rsid w:val="00066AFF"/>
    <w:rsid w:val="000674C7"/>
    <w:rsid w:val="00067A20"/>
    <w:rsid w:val="00067C55"/>
    <w:rsid w:val="00067CE9"/>
    <w:rsid w:val="00067E42"/>
    <w:rsid w:val="00067FB7"/>
    <w:rsid w:val="000707C5"/>
    <w:rsid w:val="000707EF"/>
    <w:rsid w:val="00070908"/>
    <w:rsid w:val="00071144"/>
    <w:rsid w:val="00072B5C"/>
    <w:rsid w:val="00072E95"/>
    <w:rsid w:val="00073A66"/>
    <w:rsid w:val="00074A69"/>
    <w:rsid w:val="000763D8"/>
    <w:rsid w:val="00076848"/>
    <w:rsid w:val="00076A49"/>
    <w:rsid w:val="000779EE"/>
    <w:rsid w:val="00077FB8"/>
    <w:rsid w:val="000801A3"/>
    <w:rsid w:val="000801FB"/>
    <w:rsid w:val="0008096A"/>
    <w:rsid w:val="00080BF5"/>
    <w:rsid w:val="00081229"/>
    <w:rsid w:val="000815A4"/>
    <w:rsid w:val="000815C7"/>
    <w:rsid w:val="00081DB6"/>
    <w:rsid w:val="00081EB9"/>
    <w:rsid w:val="0008234A"/>
    <w:rsid w:val="0008295C"/>
    <w:rsid w:val="00082B51"/>
    <w:rsid w:val="00082D38"/>
    <w:rsid w:val="000844B7"/>
    <w:rsid w:val="000845FD"/>
    <w:rsid w:val="00084C24"/>
    <w:rsid w:val="00084D78"/>
    <w:rsid w:val="0008505C"/>
    <w:rsid w:val="000855B1"/>
    <w:rsid w:val="00085736"/>
    <w:rsid w:val="00085846"/>
    <w:rsid w:val="0008597D"/>
    <w:rsid w:val="00085A54"/>
    <w:rsid w:val="00085A89"/>
    <w:rsid w:val="00085DDF"/>
    <w:rsid w:val="00086342"/>
    <w:rsid w:val="000864CF"/>
    <w:rsid w:val="000869CC"/>
    <w:rsid w:val="00086DEC"/>
    <w:rsid w:val="00086EF8"/>
    <w:rsid w:val="0008704E"/>
    <w:rsid w:val="0008709D"/>
    <w:rsid w:val="0008736D"/>
    <w:rsid w:val="0008773C"/>
    <w:rsid w:val="00087A07"/>
    <w:rsid w:val="00087D1A"/>
    <w:rsid w:val="00087FC6"/>
    <w:rsid w:val="0009008D"/>
    <w:rsid w:val="000905E4"/>
    <w:rsid w:val="00090883"/>
    <w:rsid w:val="000928F7"/>
    <w:rsid w:val="00092E21"/>
    <w:rsid w:val="00092F72"/>
    <w:rsid w:val="000931EC"/>
    <w:rsid w:val="00093865"/>
    <w:rsid w:val="00093A21"/>
    <w:rsid w:val="00093B03"/>
    <w:rsid w:val="00093F0D"/>
    <w:rsid w:val="00094237"/>
    <w:rsid w:val="00094523"/>
    <w:rsid w:val="00094D3B"/>
    <w:rsid w:val="000951A1"/>
    <w:rsid w:val="00095D39"/>
    <w:rsid w:val="00096111"/>
    <w:rsid w:val="000963C2"/>
    <w:rsid w:val="00096686"/>
    <w:rsid w:val="00096786"/>
    <w:rsid w:val="00096812"/>
    <w:rsid w:val="00096905"/>
    <w:rsid w:val="000976BA"/>
    <w:rsid w:val="00097C0A"/>
    <w:rsid w:val="000A08F5"/>
    <w:rsid w:val="000A0F01"/>
    <w:rsid w:val="000A0F1E"/>
    <w:rsid w:val="000A122F"/>
    <w:rsid w:val="000A14A2"/>
    <w:rsid w:val="000A14CC"/>
    <w:rsid w:val="000A29BF"/>
    <w:rsid w:val="000A341A"/>
    <w:rsid w:val="000A3953"/>
    <w:rsid w:val="000A3A17"/>
    <w:rsid w:val="000A3D30"/>
    <w:rsid w:val="000A5A6E"/>
    <w:rsid w:val="000A5F47"/>
    <w:rsid w:val="000A63E3"/>
    <w:rsid w:val="000A65BF"/>
    <w:rsid w:val="000A6C32"/>
    <w:rsid w:val="000A6C8B"/>
    <w:rsid w:val="000A6E16"/>
    <w:rsid w:val="000A6F46"/>
    <w:rsid w:val="000A6FEA"/>
    <w:rsid w:val="000B0E4A"/>
    <w:rsid w:val="000B2201"/>
    <w:rsid w:val="000B2A91"/>
    <w:rsid w:val="000B2E06"/>
    <w:rsid w:val="000B33BE"/>
    <w:rsid w:val="000B3CDF"/>
    <w:rsid w:val="000B4843"/>
    <w:rsid w:val="000B5202"/>
    <w:rsid w:val="000B52D2"/>
    <w:rsid w:val="000B6ABB"/>
    <w:rsid w:val="000B751E"/>
    <w:rsid w:val="000B7E6B"/>
    <w:rsid w:val="000C0864"/>
    <w:rsid w:val="000C0AE5"/>
    <w:rsid w:val="000C0C6D"/>
    <w:rsid w:val="000C1138"/>
    <w:rsid w:val="000C14D5"/>
    <w:rsid w:val="000C1CD0"/>
    <w:rsid w:val="000C2042"/>
    <w:rsid w:val="000C20C5"/>
    <w:rsid w:val="000C2208"/>
    <w:rsid w:val="000C22EC"/>
    <w:rsid w:val="000C22F6"/>
    <w:rsid w:val="000C3048"/>
    <w:rsid w:val="000C31AA"/>
    <w:rsid w:val="000C3308"/>
    <w:rsid w:val="000C3311"/>
    <w:rsid w:val="000C4732"/>
    <w:rsid w:val="000C49B6"/>
    <w:rsid w:val="000C516C"/>
    <w:rsid w:val="000C5380"/>
    <w:rsid w:val="000C574A"/>
    <w:rsid w:val="000C6696"/>
    <w:rsid w:val="000C7AAC"/>
    <w:rsid w:val="000D057A"/>
    <w:rsid w:val="000D07D2"/>
    <w:rsid w:val="000D0A79"/>
    <w:rsid w:val="000D0BF7"/>
    <w:rsid w:val="000D0EBC"/>
    <w:rsid w:val="000D0F13"/>
    <w:rsid w:val="000D1471"/>
    <w:rsid w:val="000D14B3"/>
    <w:rsid w:val="000D1E2E"/>
    <w:rsid w:val="000D3638"/>
    <w:rsid w:val="000D3D71"/>
    <w:rsid w:val="000D450C"/>
    <w:rsid w:val="000D47D5"/>
    <w:rsid w:val="000D533B"/>
    <w:rsid w:val="000D635C"/>
    <w:rsid w:val="000D721E"/>
    <w:rsid w:val="000E0129"/>
    <w:rsid w:val="000E1402"/>
    <w:rsid w:val="000E1BB5"/>
    <w:rsid w:val="000E2521"/>
    <w:rsid w:val="000E2B2D"/>
    <w:rsid w:val="000E3615"/>
    <w:rsid w:val="000E3748"/>
    <w:rsid w:val="000E39F6"/>
    <w:rsid w:val="000E47EE"/>
    <w:rsid w:val="000E526F"/>
    <w:rsid w:val="000E5A53"/>
    <w:rsid w:val="000E5E0C"/>
    <w:rsid w:val="000E604F"/>
    <w:rsid w:val="000E61AA"/>
    <w:rsid w:val="000E62FC"/>
    <w:rsid w:val="000E69BF"/>
    <w:rsid w:val="000E6B8A"/>
    <w:rsid w:val="000E7525"/>
    <w:rsid w:val="000E7D2D"/>
    <w:rsid w:val="000F01E2"/>
    <w:rsid w:val="000F032D"/>
    <w:rsid w:val="000F17A4"/>
    <w:rsid w:val="000F20A1"/>
    <w:rsid w:val="000F22BE"/>
    <w:rsid w:val="000F23E6"/>
    <w:rsid w:val="000F2604"/>
    <w:rsid w:val="000F2D16"/>
    <w:rsid w:val="000F3092"/>
    <w:rsid w:val="000F30B6"/>
    <w:rsid w:val="000F34A4"/>
    <w:rsid w:val="000F4C6B"/>
    <w:rsid w:val="000F4D15"/>
    <w:rsid w:val="000F4F6D"/>
    <w:rsid w:val="000F61D9"/>
    <w:rsid w:val="000F6447"/>
    <w:rsid w:val="000F6DF1"/>
    <w:rsid w:val="000F6FEF"/>
    <w:rsid w:val="000F7617"/>
    <w:rsid w:val="000F7834"/>
    <w:rsid w:val="000F79F3"/>
    <w:rsid w:val="000F7DD3"/>
    <w:rsid w:val="000F7E86"/>
    <w:rsid w:val="0010078C"/>
    <w:rsid w:val="001007EE"/>
    <w:rsid w:val="00101329"/>
    <w:rsid w:val="00102005"/>
    <w:rsid w:val="001027F6"/>
    <w:rsid w:val="00102D6B"/>
    <w:rsid w:val="00103036"/>
    <w:rsid w:val="00103399"/>
    <w:rsid w:val="00103AC1"/>
    <w:rsid w:val="001047A8"/>
    <w:rsid w:val="00104F4A"/>
    <w:rsid w:val="001054B3"/>
    <w:rsid w:val="001055EB"/>
    <w:rsid w:val="0010581C"/>
    <w:rsid w:val="00105C7C"/>
    <w:rsid w:val="00105FEA"/>
    <w:rsid w:val="0010603D"/>
    <w:rsid w:val="001063AB"/>
    <w:rsid w:val="00110AB2"/>
    <w:rsid w:val="00110DE3"/>
    <w:rsid w:val="001113E0"/>
    <w:rsid w:val="00112D05"/>
    <w:rsid w:val="001135D8"/>
    <w:rsid w:val="00113A68"/>
    <w:rsid w:val="00114581"/>
    <w:rsid w:val="00114838"/>
    <w:rsid w:val="00114851"/>
    <w:rsid w:val="00114973"/>
    <w:rsid w:val="0011577E"/>
    <w:rsid w:val="001157DB"/>
    <w:rsid w:val="00116E7B"/>
    <w:rsid w:val="00117220"/>
    <w:rsid w:val="00117F0F"/>
    <w:rsid w:val="0012058B"/>
    <w:rsid w:val="00120977"/>
    <w:rsid w:val="001218DC"/>
    <w:rsid w:val="00121AE1"/>
    <w:rsid w:val="0012221B"/>
    <w:rsid w:val="00122DA3"/>
    <w:rsid w:val="001243F0"/>
    <w:rsid w:val="0012452C"/>
    <w:rsid w:val="00124EBE"/>
    <w:rsid w:val="001258D5"/>
    <w:rsid w:val="00125BE2"/>
    <w:rsid w:val="00125DAF"/>
    <w:rsid w:val="0012689F"/>
    <w:rsid w:val="00126A51"/>
    <w:rsid w:val="00126DCC"/>
    <w:rsid w:val="001271E6"/>
    <w:rsid w:val="001278B2"/>
    <w:rsid w:val="00130797"/>
    <w:rsid w:val="00132533"/>
    <w:rsid w:val="001330ED"/>
    <w:rsid w:val="00133344"/>
    <w:rsid w:val="00133513"/>
    <w:rsid w:val="0013391C"/>
    <w:rsid w:val="0013443B"/>
    <w:rsid w:val="00134AFB"/>
    <w:rsid w:val="00134B72"/>
    <w:rsid w:val="001365A0"/>
    <w:rsid w:val="00137A2D"/>
    <w:rsid w:val="00137EBB"/>
    <w:rsid w:val="0014040F"/>
    <w:rsid w:val="00140B9F"/>
    <w:rsid w:val="00141848"/>
    <w:rsid w:val="00141B34"/>
    <w:rsid w:val="00142337"/>
    <w:rsid w:val="0014247C"/>
    <w:rsid w:val="00142C81"/>
    <w:rsid w:val="00143700"/>
    <w:rsid w:val="00143EB0"/>
    <w:rsid w:val="00144DF9"/>
    <w:rsid w:val="00144FAA"/>
    <w:rsid w:val="00145B57"/>
    <w:rsid w:val="00145DB9"/>
    <w:rsid w:val="00146D8B"/>
    <w:rsid w:val="00147663"/>
    <w:rsid w:val="00150396"/>
    <w:rsid w:val="00150E1D"/>
    <w:rsid w:val="00151971"/>
    <w:rsid w:val="001519E4"/>
    <w:rsid w:val="00151A47"/>
    <w:rsid w:val="0015276A"/>
    <w:rsid w:val="001539CC"/>
    <w:rsid w:val="00153C39"/>
    <w:rsid w:val="00153DB1"/>
    <w:rsid w:val="00154FE6"/>
    <w:rsid w:val="00156379"/>
    <w:rsid w:val="00156404"/>
    <w:rsid w:val="001566DC"/>
    <w:rsid w:val="00156C48"/>
    <w:rsid w:val="00157EF9"/>
    <w:rsid w:val="00160347"/>
    <w:rsid w:val="001604B7"/>
    <w:rsid w:val="0016064A"/>
    <w:rsid w:val="001606EB"/>
    <w:rsid w:val="0016076E"/>
    <w:rsid w:val="00160B4A"/>
    <w:rsid w:val="00163192"/>
    <w:rsid w:val="0016325F"/>
    <w:rsid w:val="00163A98"/>
    <w:rsid w:val="00163AD4"/>
    <w:rsid w:val="00164095"/>
    <w:rsid w:val="001643E5"/>
    <w:rsid w:val="00164788"/>
    <w:rsid w:val="00164BBA"/>
    <w:rsid w:val="00164F97"/>
    <w:rsid w:val="00165CB3"/>
    <w:rsid w:val="00166299"/>
    <w:rsid w:val="00166323"/>
    <w:rsid w:val="00166813"/>
    <w:rsid w:val="0016754C"/>
    <w:rsid w:val="0016795A"/>
    <w:rsid w:val="00167A3F"/>
    <w:rsid w:val="00170057"/>
    <w:rsid w:val="001700DF"/>
    <w:rsid w:val="00170999"/>
    <w:rsid w:val="00170EE5"/>
    <w:rsid w:val="0017103C"/>
    <w:rsid w:val="0017117C"/>
    <w:rsid w:val="0017153E"/>
    <w:rsid w:val="00171DBA"/>
    <w:rsid w:val="00172391"/>
    <w:rsid w:val="0017284E"/>
    <w:rsid w:val="00173568"/>
    <w:rsid w:val="0017416F"/>
    <w:rsid w:val="0017439A"/>
    <w:rsid w:val="001749BB"/>
    <w:rsid w:val="00175107"/>
    <w:rsid w:val="001751E2"/>
    <w:rsid w:val="00175E67"/>
    <w:rsid w:val="00176632"/>
    <w:rsid w:val="00176841"/>
    <w:rsid w:val="00177233"/>
    <w:rsid w:val="001772D0"/>
    <w:rsid w:val="00177A21"/>
    <w:rsid w:val="0018082C"/>
    <w:rsid w:val="0018128A"/>
    <w:rsid w:val="001817F1"/>
    <w:rsid w:val="001824AC"/>
    <w:rsid w:val="001828A8"/>
    <w:rsid w:val="00182FD8"/>
    <w:rsid w:val="00183114"/>
    <w:rsid w:val="0018329D"/>
    <w:rsid w:val="0018483F"/>
    <w:rsid w:val="00184AD3"/>
    <w:rsid w:val="00184C01"/>
    <w:rsid w:val="001855B1"/>
    <w:rsid w:val="00185CED"/>
    <w:rsid w:val="00186357"/>
    <w:rsid w:val="00186AD0"/>
    <w:rsid w:val="00186BD1"/>
    <w:rsid w:val="00186E8D"/>
    <w:rsid w:val="00186ECD"/>
    <w:rsid w:val="001873E6"/>
    <w:rsid w:val="00187E2A"/>
    <w:rsid w:val="0019014B"/>
    <w:rsid w:val="00191709"/>
    <w:rsid w:val="00192463"/>
    <w:rsid w:val="00192B69"/>
    <w:rsid w:val="001946C8"/>
    <w:rsid w:val="001953C8"/>
    <w:rsid w:val="001954B0"/>
    <w:rsid w:val="00195BBC"/>
    <w:rsid w:val="001960CF"/>
    <w:rsid w:val="00196A52"/>
    <w:rsid w:val="00196BCA"/>
    <w:rsid w:val="001975CD"/>
    <w:rsid w:val="001A1700"/>
    <w:rsid w:val="001A345A"/>
    <w:rsid w:val="001A35B9"/>
    <w:rsid w:val="001A39FB"/>
    <w:rsid w:val="001A3C59"/>
    <w:rsid w:val="001A4EAA"/>
    <w:rsid w:val="001A508A"/>
    <w:rsid w:val="001A51E5"/>
    <w:rsid w:val="001A53C4"/>
    <w:rsid w:val="001A61BE"/>
    <w:rsid w:val="001A64E4"/>
    <w:rsid w:val="001A66C6"/>
    <w:rsid w:val="001A6C3C"/>
    <w:rsid w:val="001A6E80"/>
    <w:rsid w:val="001A6EE7"/>
    <w:rsid w:val="001A6F31"/>
    <w:rsid w:val="001A7047"/>
    <w:rsid w:val="001B03AD"/>
    <w:rsid w:val="001B1073"/>
    <w:rsid w:val="001B15CB"/>
    <w:rsid w:val="001B1853"/>
    <w:rsid w:val="001B19D1"/>
    <w:rsid w:val="001B22E0"/>
    <w:rsid w:val="001B25BB"/>
    <w:rsid w:val="001B3662"/>
    <w:rsid w:val="001B3703"/>
    <w:rsid w:val="001B426E"/>
    <w:rsid w:val="001B5F56"/>
    <w:rsid w:val="001B61B9"/>
    <w:rsid w:val="001B7038"/>
    <w:rsid w:val="001C0E1B"/>
    <w:rsid w:val="001C10E7"/>
    <w:rsid w:val="001C14A0"/>
    <w:rsid w:val="001C197D"/>
    <w:rsid w:val="001C235B"/>
    <w:rsid w:val="001C28BE"/>
    <w:rsid w:val="001C2D16"/>
    <w:rsid w:val="001C2E1E"/>
    <w:rsid w:val="001C3504"/>
    <w:rsid w:val="001C4838"/>
    <w:rsid w:val="001C4D4F"/>
    <w:rsid w:val="001C4F3A"/>
    <w:rsid w:val="001C5AB2"/>
    <w:rsid w:val="001C61AA"/>
    <w:rsid w:val="001C6F8B"/>
    <w:rsid w:val="001C6FD4"/>
    <w:rsid w:val="001C76AF"/>
    <w:rsid w:val="001D0007"/>
    <w:rsid w:val="001D04B5"/>
    <w:rsid w:val="001D0616"/>
    <w:rsid w:val="001D076D"/>
    <w:rsid w:val="001D08AA"/>
    <w:rsid w:val="001D15D8"/>
    <w:rsid w:val="001D302E"/>
    <w:rsid w:val="001D350E"/>
    <w:rsid w:val="001D3A4F"/>
    <w:rsid w:val="001D4560"/>
    <w:rsid w:val="001D5670"/>
    <w:rsid w:val="001D58B8"/>
    <w:rsid w:val="001D59AC"/>
    <w:rsid w:val="001D5B00"/>
    <w:rsid w:val="001D6042"/>
    <w:rsid w:val="001D6437"/>
    <w:rsid w:val="001D6770"/>
    <w:rsid w:val="001D685F"/>
    <w:rsid w:val="001D718F"/>
    <w:rsid w:val="001D756D"/>
    <w:rsid w:val="001D794A"/>
    <w:rsid w:val="001D79E2"/>
    <w:rsid w:val="001D7BCC"/>
    <w:rsid w:val="001D7C91"/>
    <w:rsid w:val="001E08D6"/>
    <w:rsid w:val="001E0ABE"/>
    <w:rsid w:val="001E0F98"/>
    <w:rsid w:val="001E1157"/>
    <w:rsid w:val="001E1C2F"/>
    <w:rsid w:val="001E20FC"/>
    <w:rsid w:val="001E22AA"/>
    <w:rsid w:val="001E2776"/>
    <w:rsid w:val="001E297D"/>
    <w:rsid w:val="001E2BF4"/>
    <w:rsid w:val="001E30DA"/>
    <w:rsid w:val="001E350B"/>
    <w:rsid w:val="001E3FFD"/>
    <w:rsid w:val="001E469F"/>
    <w:rsid w:val="001E485D"/>
    <w:rsid w:val="001E61E9"/>
    <w:rsid w:val="001E624E"/>
    <w:rsid w:val="001E6380"/>
    <w:rsid w:val="001E63CC"/>
    <w:rsid w:val="001E6594"/>
    <w:rsid w:val="001E7BBE"/>
    <w:rsid w:val="001E7E1B"/>
    <w:rsid w:val="001F0071"/>
    <w:rsid w:val="001F094D"/>
    <w:rsid w:val="001F0C8B"/>
    <w:rsid w:val="001F1027"/>
    <w:rsid w:val="001F18B1"/>
    <w:rsid w:val="001F1902"/>
    <w:rsid w:val="001F1F55"/>
    <w:rsid w:val="001F231D"/>
    <w:rsid w:val="001F296B"/>
    <w:rsid w:val="001F364F"/>
    <w:rsid w:val="001F3894"/>
    <w:rsid w:val="001F3EDD"/>
    <w:rsid w:val="001F47CD"/>
    <w:rsid w:val="001F5161"/>
    <w:rsid w:val="001F54D1"/>
    <w:rsid w:val="001F5E35"/>
    <w:rsid w:val="001F64D0"/>
    <w:rsid w:val="001F665E"/>
    <w:rsid w:val="001F6FCD"/>
    <w:rsid w:val="001F7048"/>
    <w:rsid w:val="001F72E8"/>
    <w:rsid w:val="00200BA0"/>
    <w:rsid w:val="00200D28"/>
    <w:rsid w:val="00200F49"/>
    <w:rsid w:val="002027AF"/>
    <w:rsid w:val="002027D7"/>
    <w:rsid w:val="002032FF"/>
    <w:rsid w:val="00203A5F"/>
    <w:rsid w:val="00203C9E"/>
    <w:rsid w:val="00203D60"/>
    <w:rsid w:val="00204819"/>
    <w:rsid w:val="00204F46"/>
    <w:rsid w:val="002050C6"/>
    <w:rsid w:val="00205428"/>
    <w:rsid w:val="002054DA"/>
    <w:rsid w:val="00205589"/>
    <w:rsid w:val="00205D9E"/>
    <w:rsid w:val="0020614A"/>
    <w:rsid w:val="00206857"/>
    <w:rsid w:val="00206AC3"/>
    <w:rsid w:val="00206CEE"/>
    <w:rsid w:val="00207366"/>
    <w:rsid w:val="002075D0"/>
    <w:rsid w:val="00207CB6"/>
    <w:rsid w:val="0021065A"/>
    <w:rsid w:val="00210687"/>
    <w:rsid w:val="00211450"/>
    <w:rsid w:val="00211692"/>
    <w:rsid w:val="00212FD7"/>
    <w:rsid w:val="00213147"/>
    <w:rsid w:val="00214B3B"/>
    <w:rsid w:val="00215613"/>
    <w:rsid w:val="00215FB1"/>
    <w:rsid w:val="00216514"/>
    <w:rsid w:val="00216540"/>
    <w:rsid w:val="002177E8"/>
    <w:rsid w:val="0022029F"/>
    <w:rsid w:val="00220ED3"/>
    <w:rsid w:val="002223F7"/>
    <w:rsid w:val="0022273D"/>
    <w:rsid w:val="0022275B"/>
    <w:rsid w:val="00222B6A"/>
    <w:rsid w:val="00223198"/>
    <w:rsid w:val="00223D83"/>
    <w:rsid w:val="00224AA4"/>
    <w:rsid w:val="002254C7"/>
    <w:rsid w:val="0022561E"/>
    <w:rsid w:val="0022581C"/>
    <w:rsid w:val="00225948"/>
    <w:rsid w:val="00225AE7"/>
    <w:rsid w:val="00225F97"/>
    <w:rsid w:val="002260DC"/>
    <w:rsid w:val="00227534"/>
    <w:rsid w:val="00227791"/>
    <w:rsid w:val="00230098"/>
    <w:rsid w:val="002302A5"/>
    <w:rsid w:val="0023055A"/>
    <w:rsid w:val="002326A8"/>
    <w:rsid w:val="00232707"/>
    <w:rsid w:val="002336FC"/>
    <w:rsid w:val="002337A7"/>
    <w:rsid w:val="002343B0"/>
    <w:rsid w:val="0023478E"/>
    <w:rsid w:val="0023505A"/>
    <w:rsid w:val="002355D4"/>
    <w:rsid w:val="00235FDB"/>
    <w:rsid w:val="002360ED"/>
    <w:rsid w:val="00236162"/>
    <w:rsid w:val="002364E5"/>
    <w:rsid w:val="00236C5C"/>
    <w:rsid w:val="00236DA6"/>
    <w:rsid w:val="00237C8E"/>
    <w:rsid w:val="00237E3C"/>
    <w:rsid w:val="00237F10"/>
    <w:rsid w:val="0024002F"/>
    <w:rsid w:val="00240383"/>
    <w:rsid w:val="002403D9"/>
    <w:rsid w:val="0024043B"/>
    <w:rsid w:val="002406E1"/>
    <w:rsid w:val="00240AC9"/>
    <w:rsid w:val="002412BF"/>
    <w:rsid w:val="0024154A"/>
    <w:rsid w:val="00241E8A"/>
    <w:rsid w:val="002422FD"/>
    <w:rsid w:val="00243425"/>
    <w:rsid w:val="00243D77"/>
    <w:rsid w:val="00244335"/>
    <w:rsid w:val="002444AE"/>
    <w:rsid w:val="002445DB"/>
    <w:rsid w:val="00244D7B"/>
    <w:rsid w:val="00244FA1"/>
    <w:rsid w:val="00245ACA"/>
    <w:rsid w:val="00245BC7"/>
    <w:rsid w:val="00246441"/>
    <w:rsid w:val="00246540"/>
    <w:rsid w:val="00246859"/>
    <w:rsid w:val="002473FB"/>
    <w:rsid w:val="002476B2"/>
    <w:rsid w:val="00250032"/>
    <w:rsid w:val="002514A3"/>
    <w:rsid w:val="002514F8"/>
    <w:rsid w:val="00251DFA"/>
    <w:rsid w:val="002521D9"/>
    <w:rsid w:val="0025286F"/>
    <w:rsid w:val="00252ADA"/>
    <w:rsid w:val="002530F7"/>
    <w:rsid w:val="0025363C"/>
    <w:rsid w:val="002536AC"/>
    <w:rsid w:val="00253A6B"/>
    <w:rsid w:val="00253D85"/>
    <w:rsid w:val="00254505"/>
    <w:rsid w:val="0025468D"/>
    <w:rsid w:val="002547B9"/>
    <w:rsid w:val="00254EE8"/>
    <w:rsid w:val="0025568A"/>
    <w:rsid w:val="0025583D"/>
    <w:rsid w:val="002561DC"/>
    <w:rsid w:val="002562EA"/>
    <w:rsid w:val="0025664A"/>
    <w:rsid w:val="00256C71"/>
    <w:rsid w:val="002576A9"/>
    <w:rsid w:val="0025784B"/>
    <w:rsid w:val="002618EA"/>
    <w:rsid w:val="00261BF1"/>
    <w:rsid w:val="00261C2E"/>
    <w:rsid w:val="002621F8"/>
    <w:rsid w:val="00263E98"/>
    <w:rsid w:val="00264423"/>
    <w:rsid w:val="002646FE"/>
    <w:rsid w:val="00264EB8"/>
    <w:rsid w:val="00265DA6"/>
    <w:rsid w:val="00265FDB"/>
    <w:rsid w:val="002660CD"/>
    <w:rsid w:val="00266D35"/>
    <w:rsid w:val="0026706D"/>
    <w:rsid w:val="00267658"/>
    <w:rsid w:val="00267EBD"/>
    <w:rsid w:val="002715DA"/>
    <w:rsid w:val="002733AF"/>
    <w:rsid w:val="00273BFA"/>
    <w:rsid w:val="00274817"/>
    <w:rsid w:val="002752F1"/>
    <w:rsid w:val="0027544F"/>
    <w:rsid w:val="00275704"/>
    <w:rsid w:val="00276399"/>
    <w:rsid w:val="00276907"/>
    <w:rsid w:val="00277014"/>
    <w:rsid w:val="002776E6"/>
    <w:rsid w:val="00277935"/>
    <w:rsid w:val="00277C92"/>
    <w:rsid w:val="00280AA9"/>
    <w:rsid w:val="00280F90"/>
    <w:rsid w:val="002816EE"/>
    <w:rsid w:val="00281BD9"/>
    <w:rsid w:val="00281CE9"/>
    <w:rsid w:val="00282195"/>
    <w:rsid w:val="002833F9"/>
    <w:rsid w:val="00285452"/>
    <w:rsid w:val="002854AF"/>
    <w:rsid w:val="002856BE"/>
    <w:rsid w:val="00285B56"/>
    <w:rsid w:val="00285F2F"/>
    <w:rsid w:val="00285F35"/>
    <w:rsid w:val="00286442"/>
    <w:rsid w:val="002866F8"/>
    <w:rsid w:val="00286DAA"/>
    <w:rsid w:val="00287006"/>
    <w:rsid w:val="002872D2"/>
    <w:rsid w:val="002878CC"/>
    <w:rsid w:val="00287A31"/>
    <w:rsid w:val="002905BF"/>
    <w:rsid w:val="002906E9"/>
    <w:rsid w:val="00290E52"/>
    <w:rsid w:val="00291677"/>
    <w:rsid w:val="0029190F"/>
    <w:rsid w:val="00291AED"/>
    <w:rsid w:val="002922E1"/>
    <w:rsid w:val="0029233A"/>
    <w:rsid w:val="0029371B"/>
    <w:rsid w:val="00293A06"/>
    <w:rsid w:val="0029434F"/>
    <w:rsid w:val="00294391"/>
    <w:rsid w:val="002944C8"/>
    <w:rsid w:val="00296158"/>
    <w:rsid w:val="00296A97"/>
    <w:rsid w:val="0029758C"/>
    <w:rsid w:val="00297594"/>
    <w:rsid w:val="00297B3C"/>
    <w:rsid w:val="002A092F"/>
    <w:rsid w:val="002A0B9A"/>
    <w:rsid w:val="002A263B"/>
    <w:rsid w:val="002A2665"/>
    <w:rsid w:val="002A2DBB"/>
    <w:rsid w:val="002A32EF"/>
    <w:rsid w:val="002A343B"/>
    <w:rsid w:val="002A35BC"/>
    <w:rsid w:val="002A38DD"/>
    <w:rsid w:val="002A412B"/>
    <w:rsid w:val="002A42F1"/>
    <w:rsid w:val="002A4CDA"/>
    <w:rsid w:val="002A5115"/>
    <w:rsid w:val="002A5C33"/>
    <w:rsid w:val="002A6077"/>
    <w:rsid w:val="002A68D1"/>
    <w:rsid w:val="002A77B8"/>
    <w:rsid w:val="002B02E2"/>
    <w:rsid w:val="002B0556"/>
    <w:rsid w:val="002B069B"/>
    <w:rsid w:val="002B097D"/>
    <w:rsid w:val="002B1CD3"/>
    <w:rsid w:val="002B30F0"/>
    <w:rsid w:val="002B3EB7"/>
    <w:rsid w:val="002B4394"/>
    <w:rsid w:val="002B470C"/>
    <w:rsid w:val="002B5114"/>
    <w:rsid w:val="002B5A1B"/>
    <w:rsid w:val="002B5AD6"/>
    <w:rsid w:val="002B633F"/>
    <w:rsid w:val="002B6B0B"/>
    <w:rsid w:val="002B71D0"/>
    <w:rsid w:val="002C011A"/>
    <w:rsid w:val="002C05CA"/>
    <w:rsid w:val="002C1478"/>
    <w:rsid w:val="002C270F"/>
    <w:rsid w:val="002C2742"/>
    <w:rsid w:val="002C27E4"/>
    <w:rsid w:val="002C318E"/>
    <w:rsid w:val="002C33BD"/>
    <w:rsid w:val="002C3C11"/>
    <w:rsid w:val="002C3E29"/>
    <w:rsid w:val="002C484B"/>
    <w:rsid w:val="002C5594"/>
    <w:rsid w:val="002C57FA"/>
    <w:rsid w:val="002C580A"/>
    <w:rsid w:val="002C6DC8"/>
    <w:rsid w:val="002C6F40"/>
    <w:rsid w:val="002C6F94"/>
    <w:rsid w:val="002C7195"/>
    <w:rsid w:val="002C75EA"/>
    <w:rsid w:val="002D0791"/>
    <w:rsid w:val="002D0D3A"/>
    <w:rsid w:val="002D10D3"/>
    <w:rsid w:val="002D14EF"/>
    <w:rsid w:val="002D17CB"/>
    <w:rsid w:val="002D1F83"/>
    <w:rsid w:val="002D3008"/>
    <w:rsid w:val="002D385B"/>
    <w:rsid w:val="002D5115"/>
    <w:rsid w:val="002D58C5"/>
    <w:rsid w:val="002D5DD8"/>
    <w:rsid w:val="002D6683"/>
    <w:rsid w:val="002D6895"/>
    <w:rsid w:val="002D6BD9"/>
    <w:rsid w:val="002D707F"/>
    <w:rsid w:val="002D763E"/>
    <w:rsid w:val="002D7F8B"/>
    <w:rsid w:val="002E1025"/>
    <w:rsid w:val="002E176E"/>
    <w:rsid w:val="002E1FAD"/>
    <w:rsid w:val="002E225E"/>
    <w:rsid w:val="002E2F45"/>
    <w:rsid w:val="002E3810"/>
    <w:rsid w:val="002E3B3B"/>
    <w:rsid w:val="002E4487"/>
    <w:rsid w:val="002E4C91"/>
    <w:rsid w:val="002E4EF5"/>
    <w:rsid w:val="002E5497"/>
    <w:rsid w:val="002E5E21"/>
    <w:rsid w:val="002E6CBE"/>
    <w:rsid w:val="002E6D07"/>
    <w:rsid w:val="002F0097"/>
    <w:rsid w:val="002F0635"/>
    <w:rsid w:val="002F0AB4"/>
    <w:rsid w:val="002F0ABB"/>
    <w:rsid w:val="002F0C42"/>
    <w:rsid w:val="002F1043"/>
    <w:rsid w:val="002F1B39"/>
    <w:rsid w:val="002F2621"/>
    <w:rsid w:val="002F27A9"/>
    <w:rsid w:val="002F331C"/>
    <w:rsid w:val="002F3786"/>
    <w:rsid w:val="002F38A9"/>
    <w:rsid w:val="002F40A9"/>
    <w:rsid w:val="002F4D60"/>
    <w:rsid w:val="002F50A5"/>
    <w:rsid w:val="002F5A4E"/>
    <w:rsid w:val="002F6D39"/>
    <w:rsid w:val="002F733F"/>
    <w:rsid w:val="003007E0"/>
    <w:rsid w:val="00301172"/>
    <w:rsid w:val="003022D4"/>
    <w:rsid w:val="003024AA"/>
    <w:rsid w:val="00302F72"/>
    <w:rsid w:val="003032D0"/>
    <w:rsid w:val="00303A55"/>
    <w:rsid w:val="00303B94"/>
    <w:rsid w:val="0030618F"/>
    <w:rsid w:val="003064ED"/>
    <w:rsid w:val="00306952"/>
    <w:rsid w:val="00306C5E"/>
    <w:rsid w:val="0030788C"/>
    <w:rsid w:val="003107C3"/>
    <w:rsid w:val="00311508"/>
    <w:rsid w:val="00311A0F"/>
    <w:rsid w:val="003128DC"/>
    <w:rsid w:val="003128E9"/>
    <w:rsid w:val="00313276"/>
    <w:rsid w:val="00313534"/>
    <w:rsid w:val="0031387E"/>
    <w:rsid w:val="003139B0"/>
    <w:rsid w:val="00314C80"/>
    <w:rsid w:val="00315833"/>
    <w:rsid w:val="0031606F"/>
    <w:rsid w:val="003160D6"/>
    <w:rsid w:val="00316415"/>
    <w:rsid w:val="003165F9"/>
    <w:rsid w:val="00316713"/>
    <w:rsid w:val="00316A40"/>
    <w:rsid w:val="0031763B"/>
    <w:rsid w:val="0031785B"/>
    <w:rsid w:val="00317AC9"/>
    <w:rsid w:val="003202A3"/>
    <w:rsid w:val="003203EB"/>
    <w:rsid w:val="00320CA4"/>
    <w:rsid w:val="003218A7"/>
    <w:rsid w:val="00321B8E"/>
    <w:rsid w:val="00321D7A"/>
    <w:rsid w:val="003223D7"/>
    <w:rsid w:val="003223DC"/>
    <w:rsid w:val="003224F1"/>
    <w:rsid w:val="003228DE"/>
    <w:rsid w:val="00323620"/>
    <w:rsid w:val="00323947"/>
    <w:rsid w:val="00323BCB"/>
    <w:rsid w:val="00323F92"/>
    <w:rsid w:val="0032445A"/>
    <w:rsid w:val="00325F29"/>
    <w:rsid w:val="003265F2"/>
    <w:rsid w:val="00327748"/>
    <w:rsid w:val="00327755"/>
    <w:rsid w:val="003278FE"/>
    <w:rsid w:val="00327A8A"/>
    <w:rsid w:val="003303E6"/>
    <w:rsid w:val="00330E35"/>
    <w:rsid w:val="00331305"/>
    <w:rsid w:val="0033194C"/>
    <w:rsid w:val="00331B93"/>
    <w:rsid w:val="00331CBC"/>
    <w:rsid w:val="00331DFC"/>
    <w:rsid w:val="00332BBD"/>
    <w:rsid w:val="00333148"/>
    <w:rsid w:val="003333FD"/>
    <w:rsid w:val="0033391C"/>
    <w:rsid w:val="00333E84"/>
    <w:rsid w:val="00334A66"/>
    <w:rsid w:val="00334A70"/>
    <w:rsid w:val="00334A91"/>
    <w:rsid w:val="00334B51"/>
    <w:rsid w:val="00334BEC"/>
    <w:rsid w:val="00335157"/>
    <w:rsid w:val="0033526E"/>
    <w:rsid w:val="0033626F"/>
    <w:rsid w:val="003363DC"/>
    <w:rsid w:val="00336ACB"/>
    <w:rsid w:val="00337EA7"/>
    <w:rsid w:val="00337FD2"/>
    <w:rsid w:val="0034058E"/>
    <w:rsid w:val="003414A0"/>
    <w:rsid w:val="00341ED8"/>
    <w:rsid w:val="00341FDD"/>
    <w:rsid w:val="00342CE7"/>
    <w:rsid w:val="00343CB2"/>
    <w:rsid w:val="00346D00"/>
    <w:rsid w:val="003476CC"/>
    <w:rsid w:val="00347998"/>
    <w:rsid w:val="0035072B"/>
    <w:rsid w:val="0035076C"/>
    <w:rsid w:val="00351A0A"/>
    <w:rsid w:val="00351B4F"/>
    <w:rsid w:val="00351B63"/>
    <w:rsid w:val="00351E84"/>
    <w:rsid w:val="0035214E"/>
    <w:rsid w:val="00352F6F"/>
    <w:rsid w:val="00353ACF"/>
    <w:rsid w:val="0035448F"/>
    <w:rsid w:val="003545A1"/>
    <w:rsid w:val="00354A4C"/>
    <w:rsid w:val="00354B26"/>
    <w:rsid w:val="00354E04"/>
    <w:rsid w:val="0035579F"/>
    <w:rsid w:val="00355E04"/>
    <w:rsid w:val="00356043"/>
    <w:rsid w:val="00356774"/>
    <w:rsid w:val="00356B50"/>
    <w:rsid w:val="00356B6F"/>
    <w:rsid w:val="003571FC"/>
    <w:rsid w:val="00357530"/>
    <w:rsid w:val="00357583"/>
    <w:rsid w:val="00357EED"/>
    <w:rsid w:val="0036035C"/>
    <w:rsid w:val="003603C0"/>
    <w:rsid w:val="00360531"/>
    <w:rsid w:val="0036131D"/>
    <w:rsid w:val="00363B57"/>
    <w:rsid w:val="00363BA8"/>
    <w:rsid w:val="003642A3"/>
    <w:rsid w:val="00364A14"/>
    <w:rsid w:val="00364A2D"/>
    <w:rsid w:val="0036514B"/>
    <w:rsid w:val="00365775"/>
    <w:rsid w:val="003659C7"/>
    <w:rsid w:val="00365E71"/>
    <w:rsid w:val="00366407"/>
    <w:rsid w:val="00366445"/>
    <w:rsid w:val="00366841"/>
    <w:rsid w:val="00366FE6"/>
    <w:rsid w:val="003675C5"/>
    <w:rsid w:val="0037018B"/>
    <w:rsid w:val="00370191"/>
    <w:rsid w:val="00370990"/>
    <w:rsid w:val="003709FD"/>
    <w:rsid w:val="00371048"/>
    <w:rsid w:val="003711E3"/>
    <w:rsid w:val="00371830"/>
    <w:rsid w:val="00371C64"/>
    <w:rsid w:val="00372380"/>
    <w:rsid w:val="003729C1"/>
    <w:rsid w:val="003730CD"/>
    <w:rsid w:val="00373A30"/>
    <w:rsid w:val="00373AB0"/>
    <w:rsid w:val="00373FF9"/>
    <w:rsid w:val="0037434A"/>
    <w:rsid w:val="00374821"/>
    <w:rsid w:val="00374862"/>
    <w:rsid w:val="00374EDC"/>
    <w:rsid w:val="00375319"/>
    <w:rsid w:val="0037552D"/>
    <w:rsid w:val="0037557C"/>
    <w:rsid w:val="00375E82"/>
    <w:rsid w:val="00376051"/>
    <w:rsid w:val="003768C8"/>
    <w:rsid w:val="0037699D"/>
    <w:rsid w:val="00376F27"/>
    <w:rsid w:val="00377673"/>
    <w:rsid w:val="003778A7"/>
    <w:rsid w:val="003800D6"/>
    <w:rsid w:val="00380265"/>
    <w:rsid w:val="00380C08"/>
    <w:rsid w:val="0038177D"/>
    <w:rsid w:val="00381E28"/>
    <w:rsid w:val="003833C7"/>
    <w:rsid w:val="00383A85"/>
    <w:rsid w:val="0038476E"/>
    <w:rsid w:val="0038490E"/>
    <w:rsid w:val="00385211"/>
    <w:rsid w:val="00385648"/>
    <w:rsid w:val="00386E66"/>
    <w:rsid w:val="003872D0"/>
    <w:rsid w:val="00390931"/>
    <w:rsid w:val="00390D35"/>
    <w:rsid w:val="00391395"/>
    <w:rsid w:val="00391DF2"/>
    <w:rsid w:val="003938BD"/>
    <w:rsid w:val="003944CC"/>
    <w:rsid w:val="0039510F"/>
    <w:rsid w:val="00395163"/>
    <w:rsid w:val="0039537F"/>
    <w:rsid w:val="003962DA"/>
    <w:rsid w:val="00396D4D"/>
    <w:rsid w:val="00396E80"/>
    <w:rsid w:val="003977A6"/>
    <w:rsid w:val="00397C7F"/>
    <w:rsid w:val="003A024D"/>
    <w:rsid w:val="003A0789"/>
    <w:rsid w:val="003A0A76"/>
    <w:rsid w:val="003A1BFA"/>
    <w:rsid w:val="003A22F7"/>
    <w:rsid w:val="003A2EF8"/>
    <w:rsid w:val="003A4A9B"/>
    <w:rsid w:val="003A514A"/>
    <w:rsid w:val="003A5338"/>
    <w:rsid w:val="003A5B5C"/>
    <w:rsid w:val="003A5BD3"/>
    <w:rsid w:val="003A5C6B"/>
    <w:rsid w:val="003A6C6A"/>
    <w:rsid w:val="003A6F24"/>
    <w:rsid w:val="003A7089"/>
    <w:rsid w:val="003A736B"/>
    <w:rsid w:val="003B062C"/>
    <w:rsid w:val="003B08A1"/>
    <w:rsid w:val="003B09EE"/>
    <w:rsid w:val="003B12F7"/>
    <w:rsid w:val="003B1780"/>
    <w:rsid w:val="003B26FB"/>
    <w:rsid w:val="003B361B"/>
    <w:rsid w:val="003B3B44"/>
    <w:rsid w:val="003B4601"/>
    <w:rsid w:val="003B470F"/>
    <w:rsid w:val="003B4A20"/>
    <w:rsid w:val="003B4FA1"/>
    <w:rsid w:val="003B5914"/>
    <w:rsid w:val="003B609A"/>
    <w:rsid w:val="003B754E"/>
    <w:rsid w:val="003B77CC"/>
    <w:rsid w:val="003B7948"/>
    <w:rsid w:val="003B7F76"/>
    <w:rsid w:val="003C0CFE"/>
    <w:rsid w:val="003C15C8"/>
    <w:rsid w:val="003C18F1"/>
    <w:rsid w:val="003C2031"/>
    <w:rsid w:val="003C204E"/>
    <w:rsid w:val="003C2560"/>
    <w:rsid w:val="003C28EB"/>
    <w:rsid w:val="003C29CB"/>
    <w:rsid w:val="003C2CAC"/>
    <w:rsid w:val="003C3792"/>
    <w:rsid w:val="003C3F45"/>
    <w:rsid w:val="003C4951"/>
    <w:rsid w:val="003C5067"/>
    <w:rsid w:val="003C5EC8"/>
    <w:rsid w:val="003C6889"/>
    <w:rsid w:val="003C6B8A"/>
    <w:rsid w:val="003C71ED"/>
    <w:rsid w:val="003C74B7"/>
    <w:rsid w:val="003C75B6"/>
    <w:rsid w:val="003C76E9"/>
    <w:rsid w:val="003C7F6B"/>
    <w:rsid w:val="003D105C"/>
    <w:rsid w:val="003D18F7"/>
    <w:rsid w:val="003D1CE9"/>
    <w:rsid w:val="003D2BBB"/>
    <w:rsid w:val="003D2DB6"/>
    <w:rsid w:val="003D2F68"/>
    <w:rsid w:val="003D3C48"/>
    <w:rsid w:val="003D3DFD"/>
    <w:rsid w:val="003D4FA3"/>
    <w:rsid w:val="003D5D46"/>
    <w:rsid w:val="003D67B7"/>
    <w:rsid w:val="003D6B28"/>
    <w:rsid w:val="003D7B2A"/>
    <w:rsid w:val="003D7B5B"/>
    <w:rsid w:val="003D7D4F"/>
    <w:rsid w:val="003D7E95"/>
    <w:rsid w:val="003E063C"/>
    <w:rsid w:val="003E0B51"/>
    <w:rsid w:val="003E0D04"/>
    <w:rsid w:val="003E12BD"/>
    <w:rsid w:val="003E1732"/>
    <w:rsid w:val="003E1763"/>
    <w:rsid w:val="003E1A99"/>
    <w:rsid w:val="003E2E83"/>
    <w:rsid w:val="003E4711"/>
    <w:rsid w:val="003E4EE6"/>
    <w:rsid w:val="003E6B30"/>
    <w:rsid w:val="003E6DC0"/>
    <w:rsid w:val="003E7C18"/>
    <w:rsid w:val="003F11D6"/>
    <w:rsid w:val="003F17B7"/>
    <w:rsid w:val="003F1876"/>
    <w:rsid w:val="003F208B"/>
    <w:rsid w:val="003F2744"/>
    <w:rsid w:val="003F2DDC"/>
    <w:rsid w:val="003F3E3E"/>
    <w:rsid w:val="003F4BA7"/>
    <w:rsid w:val="003F5807"/>
    <w:rsid w:val="003F5C2F"/>
    <w:rsid w:val="003F6410"/>
    <w:rsid w:val="003F67D6"/>
    <w:rsid w:val="003F7A2F"/>
    <w:rsid w:val="00400185"/>
    <w:rsid w:val="004002F6"/>
    <w:rsid w:val="00400BC7"/>
    <w:rsid w:val="00401121"/>
    <w:rsid w:val="00401942"/>
    <w:rsid w:val="00402774"/>
    <w:rsid w:val="00402C7D"/>
    <w:rsid w:val="00402E3F"/>
    <w:rsid w:val="00404194"/>
    <w:rsid w:val="00404CD9"/>
    <w:rsid w:val="0040503B"/>
    <w:rsid w:val="004052BF"/>
    <w:rsid w:val="0040618F"/>
    <w:rsid w:val="00406412"/>
    <w:rsid w:val="0040690D"/>
    <w:rsid w:val="00406E4B"/>
    <w:rsid w:val="00407851"/>
    <w:rsid w:val="0041008D"/>
    <w:rsid w:val="004105B2"/>
    <w:rsid w:val="00411E67"/>
    <w:rsid w:val="00412143"/>
    <w:rsid w:val="00412DEE"/>
    <w:rsid w:val="00413072"/>
    <w:rsid w:val="00413293"/>
    <w:rsid w:val="004138D9"/>
    <w:rsid w:val="00413CFC"/>
    <w:rsid w:val="00413F67"/>
    <w:rsid w:val="00414D9A"/>
    <w:rsid w:val="00415C47"/>
    <w:rsid w:val="00416926"/>
    <w:rsid w:val="00416A86"/>
    <w:rsid w:val="00417B85"/>
    <w:rsid w:val="00417EEA"/>
    <w:rsid w:val="00420342"/>
    <w:rsid w:val="0042034A"/>
    <w:rsid w:val="00420731"/>
    <w:rsid w:val="00420EC0"/>
    <w:rsid w:val="0042100D"/>
    <w:rsid w:val="00421138"/>
    <w:rsid w:val="004217AE"/>
    <w:rsid w:val="004219C3"/>
    <w:rsid w:val="00421BC0"/>
    <w:rsid w:val="00421F8E"/>
    <w:rsid w:val="004222E9"/>
    <w:rsid w:val="004228A5"/>
    <w:rsid w:val="00423411"/>
    <w:rsid w:val="00423781"/>
    <w:rsid w:val="0042466E"/>
    <w:rsid w:val="00424918"/>
    <w:rsid w:val="00424A1B"/>
    <w:rsid w:val="0042538D"/>
    <w:rsid w:val="00425BF8"/>
    <w:rsid w:val="00425D81"/>
    <w:rsid w:val="00426292"/>
    <w:rsid w:val="00426CFB"/>
    <w:rsid w:val="00426D40"/>
    <w:rsid w:val="00426F6F"/>
    <w:rsid w:val="0042762C"/>
    <w:rsid w:val="00427E88"/>
    <w:rsid w:val="004307A8"/>
    <w:rsid w:val="00431EE6"/>
    <w:rsid w:val="0043208C"/>
    <w:rsid w:val="0043282C"/>
    <w:rsid w:val="00433B09"/>
    <w:rsid w:val="004341AD"/>
    <w:rsid w:val="00434549"/>
    <w:rsid w:val="004345ED"/>
    <w:rsid w:val="00434E4A"/>
    <w:rsid w:val="0043535E"/>
    <w:rsid w:val="004356B1"/>
    <w:rsid w:val="004356EB"/>
    <w:rsid w:val="00435A52"/>
    <w:rsid w:val="004368D2"/>
    <w:rsid w:val="004376D0"/>
    <w:rsid w:val="00437D8E"/>
    <w:rsid w:val="00437FF8"/>
    <w:rsid w:val="00440104"/>
    <w:rsid w:val="0044072C"/>
    <w:rsid w:val="004414B8"/>
    <w:rsid w:val="00443948"/>
    <w:rsid w:val="004439AB"/>
    <w:rsid w:val="00443BA5"/>
    <w:rsid w:val="00444A7F"/>
    <w:rsid w:val="00444DF4"/>
    <w:rsid w:val="00444E3E"/>
    <w:rsid w:val="004459F3"/>
    <w:rsid w:val="0044603C"/>
    <w:rsid w:val="00446EB9"/>
    <w:rsid w:val="00446EF7"/>
    <w:rsid w:val="00446F6B"/>
    <w:rsid w:val="00447143"/>
    <w:rsid w:val="0044738D"/>
    <w:rsid w:val="00447896"/>
    <w:rsid w:val="0045037E"/>
    <w:rsid w:val="004505E1"/>
    <w:rsid w:val="0045067F"/>
    <w:rsid w:val="00450D9B"/>
    <w:rsid w:val="00451061"/>
    <w:rsid w:val="004512C8"/>
    <w:rsid w:val="00451679"/>
    <w:rsid w:val="00452739"/>
    <w:rsid w:val="004536B4"/>
    <w:rsid w:val="00453BE3"/>
    <w:rsid w:val="00453FFF"/>
    <w:rsid w:val="0045527D"/>
    <w:rsid w:val="00455315"/>
    <w:rsid w:val="0045596C"/>
    <w:rsid w:val="00455C4D"/>
    <w:rsid w:val="00456081"/>
    <w:rsid w:val="00456A1F"/>
    <w:rsid w:val="00456E67"/>
    <w:rsid w:val="00457418"/>
    <w:rsid w:val="00457DB7"/>
    <w:rsid w:val="00457E4F"/>
    <w:rsid w:val="00460B18"/>
    <w:rsid w:val="00460DB6"/>
    <w:rsid w:val="00460FE0"/>
    <w:rsid w:val="00461996"/>
    <w:rsid w:val="00462548"/>
    <w:rsid w:val="004627EA"/>
    <w:rsid w:val="00462C30"/>
    <w:rsid w:val="004636A8"/>
    <w:rsid w:val="00463961"/>
    <w:rsid w:val="00463ADC"/>
    <w:rsid w:val="00464669"/>
    <w:rsid w:val="004667A0"/>
    <w:rsid w:val="00466D23"/>
    <w:rsid w:val="0046713A"/>
    <w:rsid w:val="00467A71"/>
    <w:rsid w:val="00467EDE"/>
    <w:rsid w:val="00467FD7"/>
    <w:rsid w:val="0047045F"/>
    <w:rsid w:val="0047085A"/>
    <w:rsid w:val="00470BE3"/>
    <w:rsid w:val="004714AF"/>
    <w:rsid w:val="00471C01"/>
    <w:rsid w:val="00472627"/>
    <w:rsid w:val="00472BCF"/>
    <w:rsid w:val="00472F8E"/>
    <w:rsid w:val="004738EB"/>
    <w:rsid w:val="00474D63"/>
    <w:rsid w:val="0047509A"/>
    <w:rsid w:val="0047520C"/>
    <w:rsid w:val="00475326"/>
    <w:rsid w:val="00475370"/>
    <w:rsid w:val="004755D2"/>
    <w:rsid w:val="004757CC"/>
    <w:rsid w:val="00475E32"/>
    <w:rsid w:val="004769ED"/>
    <w:rsid w:val="00476F0D"/>
    <w:rsid w:val="0047722B"/>
    <w:rsid w:val="004775CD"/>
    <w:rsid w:val="00477657"/>
    <w:rsid w:val="00477864"/>
    <w:rsid w:val="00477B0C"/>
    <w:rsid w:val="00477EC3"/>
    <w:rsid w:val="004802E3"/>
    <w:rsid w:val="004802ED"/>
    <w:rsid w:val="0048071A"/>
    <w:rsid w:val="00480E52"/>
    <w:rsid w:val="0048112C"/>
    <w:rsid w:val="00481E76"/>
    <w:rsid w:val="004840B3"/>
    <w:rsid w:val="004846AA"/>
    <w:rsid w:val="00487945"/>
    <w:rsid w:val="00490C99"/>
    <w:rsid w:val="00490DF6"/>
    <w:rsid w:val="00491835"/>
    <w:rsid w:val="00491A27"/>
    <w:rsid w:val="004924BD"/>
    <w:rsid w:val="00493126"/>
    <w:rsid w:val="004933B0"/>
    <w:rsid w:val="004937A9"/>
    <w:rsid w:val="0049546C"/>
    <w:rsid w:val="0049555C"/>
    <w:rsid w:val="004956F7"/>
    <w:rsid w:val="004964D0"/>
    <w:rsid w:val="004966C7"/>
    <w:rsid w:val="0049704B"/>
    <w:rsid w:val="004979F1"/>
    <w:rsid w:val="00497A6D"/>
    <w:rsid w:val="004A0D4A"/>
    <w:rsid w:val="004A22EF"/>
    <w:rsid w:val="004A2974"/>
    <w:rsid w:val="004A2CC9"/>
    <w:rsid w:val="004A2D55"/>
    <w:rsid w:val="004A31A1"/>
    <w:rsid w:val="004A3A38"/>
    <w:rsid w:val="004A3FA4"/>
    <w:rsid w:val="004A4689"/>
    <w:rsid w:val="004A47AE"/>
    <w:rsid w:val="004A4980"/>
    <w:rsid w:val="004A4E21"/>
    <w:rsid w:val="004A53CD"/>
    <w:rsid w:val="004A5461"/>
    <w:rsid w:val="004A5A3D"/>
    <w:rsid w:val="004A6E28"/>
    <w:rsid w:val="004A6FB5"/>
    <w:rsid w:val="004A7142"/>
    <w:rsid w:val="004A72A9"/>
    <w:rsid w:val="004A79E3"/>
    <w:rsid w:val="004A7FE0"/>
    <w:rsid w:val="004B25DA"/>
    <w:rsid w:val="004B3139"/>
    <w:rsid w:val="004B351C"/>
    <w:rsid w:val="004B40EB"/>
    <w:rsid w:val="004B5AF7"/>
    <w:rsid w:val="004B64B5"/>
    <w:rsid w:val="004B7D87"/>
    <w:rsid w:val="004C0347"/>
    <w:rsid w:val="004C0552"/>
    <w:rsid w:val="004C0E56"/>
    <w:rsid w:val="004C1A36"/>
    <w:rsid w:val="004C1ABB"/>
    <w:rsid w:val="004C1CA5"/>
    <w:rsid w:val="004C21E2"/>
    <w:rsid w:val="004C2217"/>
    <w:rsid w:val="004C296E"/>
    <w:rsid w:val="004C2ADD"/>
    <w:rsid w:val="004C30ED"/>
    <w:rsid w:val="004C37BC"/>
    <w:rsid w:val="004C4333"/>
    <w:rsid w:val="004C4970"/>
    <w:rsid w:val="004C4F1A"/>
    <w:rsid w:val="004C5091"/>
    <w:rsid w:val="004C537C"/>
    <w:rsid w:val="004C5703"/>
    <w:rsid w:val="004C5E90"/>
    <w:rsid w:val="004C64F2"/>
    <w:rsid w:val="004C6967"/>
    <w:rsid w:val="004C69B7"/>
    <w:rsid w:val="004C6B28"/>
    <w:rsid w:val="004C6B4C"/>
    <w:rsid w:val="004C6D1F"/>
    <w:rsid w:val="004C737A"/>
    <w:rsid w:val="004C7A9A"/>
    <w:rsid w:val="004D08F8"/>
    <w:rsid w:val="004D1A3C"/>
    <w:rsid w:val="004D29F7"/>
    <w:rsid w:val="004D2ABC"/>
    <w:rsid w:val="004D2DFD"/>
    <w:rsid w:val="004D3289"/>
    <w:rsid w:val="004D338E"/>
    <w:rsid w:val="004D4283"/>
    <w:rsid w:val="004D47BD"/>
    <w:rsid w:val="004D49A3"/>
    <w:rsid w:val="004D4BC3"/>
    <w:rsid w:val="004D4C8A"/>
    <w:rsid w:val="004D50FB"/>
    <w:rsid w:val="004D64E9"/>
    <w:rsid w:val="004D6594"/>
    <w:rsid w:val="004D7060"/>
    <w:rsid w:val="004D7E90"/>
    <w:rsid w:val="004E09F2"/>
    <w:rsid w:val="004E0EC0"/>
    <w:rsid w:val="004E1097"/>
    <w:rsid w:val="004E118D"/>
    <w:rsid w:val="004E1205"/>
    <w:rsid w:val="004E1CD1"/>
    <w:rsid w:val="004E2185"/>
    <w:rsid w:val="004E29FC"/>
    <w:rsid w:val="004E3770"/>
    <w:rsid w:val="004E41AA"/>
    <w:rsid w:val="004E430A"/>
    <w:rsid w:val="004E52D2"/>
    <w:rsid w:val="004E636E"/>
    <w:rsid w:val="004E6802"/>
    <w:rsid w:val="004E6CD0"/>
    <w:rsid w:val="004F07CF"/>
    <w:rsid w:val="004F12FA"/>
    <w:rsid w:val="004F17BA"/>
    <w:rsid w:val="004F21ED"/>
    <w:rsid w:val="004F3813"/>
    <w:rsid w:val="004F3CC8"/>
    <w:rsid w:val="004F40B3"/>
    <w:rsid w:val="004F480F"/>
    <w:rsid w:val="004F4E7B"/>
    <w:rsid w:val="004F546E"/>
    <w:rsid w:val="004F70CD"/>
    <w:rsid w:val="004F7B08"/>
    <w:rsid w:val="004F7EDC"/>
    <w:rsid w:val="00500644"/>
    <w:rsid w:val="00500F97"/>
    <w:rsid w:val="0050254B"/>
    <w:rsid w:val="0050288A"/>
    <w:rsid w:val="00503AA1"/>
    <w:rsid w:val="00503DF9"/>
    <w:rsid w:val="00504666"/>
    <w:rsid w:val="00504A6E"/>
    <w:rsid w:val="00505247"/>
    <w:rsid w:val="0050629C"/>
    <w:rsid w:val="0050659F"/>
    <w:rsid w:val="005066BC"/>
    <w:rsid w:val="00507745"/>
    <w:rsid w:val="00510866"/>
    <w:rsid w:val="00511CDB"/>
    <w:rsid w:val="00512AFF"/>
    <w:rsid w:val="00512D4A"/>
    <w:rsid w:val="0051313D"/>
    <w:rsid w:val="00514B75"/>
    <w:rsid w:val="00515029"/>
    <w:rsid w:val="0051618F"/>
    <w:rsid w:val="0051639F"/>
    <w:rsid w:val="00516A7B"/>
    <w:rsid w:val="005170DE"/>
    <w:rsid w:val="005172A9"/>
    <w:rsid w:val="00517978"/>
    <w:rsid w:val="00517A1B"/>
    <w:rsid w:val="00517BC1"/>
    <w:rsid w:val="00520175"/>
    <w:rsid w:val="00520FCD"/>
    <w:rsid w:val="00521343"/>
    <w:rsid w:val="00521746"/>
    <w:rsid w:val="00521D8F"/>
    <w:rsid w:val="005222EF"/>
    <w:rsid w:val="005225FF"/>
    <w:rsid w:val="005235EA"/>
    <w:rsid w:val="00523B3D"/>
    <w:rsid w:val="00524134"/>
    <w:rsid w:val="005241EF"/>
    <w:rsid w:val="00524431"/>
    <w:rsid w:val="00524452"/>
    <w:rsid w:val="0052457C"/>
    <w:rsid w:val="0052468D"/>
    <w:rsid w:val="00525266"/>
    <w:rsid w:val="005253EF"/>
    <w:rsid w:val="00525847"/>
    <w:rsid w:val="005258E3"/>
    <w:rsid w:val="00526545"/>
    <w:rsid w:val="0053052F"/>
    <w:rsid w:val="00531137"/>
    <w:rsid w:val="00531160"/>
    <w:rsid w:val="0053133B"/>
    <w:rsid w:val="005313C5"/>
    <w:rsid w:val="00531535"/>
    <w:rsid w:val="005315FE"/>
    <w:rsid w:val="00531BA8"/>
    <w:rsid w:val="00531D56"/>
    <w:rsid w:val="005328D6"/>
    <w:rsid w:val="00532E08"/>
    <w:rsid w:val="00532F33"/>
    <w:rsid w:val="00534741"/>
    <w:rsid w:val="005356BC"/>
    <w:rsid w:val="00535DE6"/>
    <w:rsid w:val="0053671C"/>
    <w:rsid w:val="0053705F"/>
    <w:rsid w:val="0053742D"/>
    <w:rsid w:val="0054029A"/>
    <w:rsid w:val="005405AC"/>
    <w:rsid w:val="0054083E"/>
    <w:rsid w:val="00540F0C"/>
    <w:rsid w:val="00542E23"/>
    <w:rsid w:val="00542F21"/>
    <w:rsid w:val="005431BA"/>
    <w:rsid w:val="0054370A"/>
    <w:rsid w:val="005439B0"/>
    <w:rsid w:val="00543BB3"/>
    <w:rsid w:val="00543CAE"/>
    <w:rsid w:val="00544200"/>
    <w:rsid w:val="0054535D"/>
    <w:rsid w:val="00545AFE"/>
    <w:rsid w:val="005464A2"/>
    <w:rsid w:val="005467A8"/>
    <w:rsid w:val="0054698B"/>
    <w:rsid w:val="005473B2"/>
    <w:rsid w:val="005500D5"/>
    <w:rsid w:val="00550FBA"/>
    <w:rsid w:val="00551607"/>
    <w:rsid w:val="0055186E"/>
    <w:rsid w:val="005529BD"/>
    <w:rsid w:val="00553088"/>
    <w:rsid w:val="00553599"/>
    <w:rsid w:val="005536E9"/>
    <w:rsid w:val="00554755"/>
    <w:rsid w:val="00554A98"/>
    <w:rsid w:val="00554CBF"/>
    <w:rsid w:val="00556191"/>
    <w:rsid w:val="00556607"/>
    <w:rsid w:val="00557DA6"/>
    <w:rsid w:val="00560D42"/>
    <w:rsid w:val="00562221"/>
    <w:rsid w:val="005625F3"/>
    <w:rsid w:val="00562B8F"/>
    <w:rsid w:val="00562FB2"/>
    <w:rsid w:val="00563080"/>
    <w:rsid w:val="005630E2"/>
    <w:rsid w:val="005631B7"/>
    <w:rsid w:val="0056350D"/>
    <w:rsid w:val="005635AC"/>
    <w:rsid w:val="0056385C"/>
    <w:rsid w:val="00563A00"/>
    <w:rsid w:val="00563CD4"/>
    <w:rsid w:val="00564EB3"/>
    <w:rsid w:val="00565086"/>
    <w:rsid w:val="00565347"/>
    <w:rsid w:val="00565B46"/>
    <w:rsid w:val="00565FD1"/>
    <w:rsid w:val="005662DF"/>
    <w:rsid w:val="0056656A"/>
    <w:rsid w:val="005678E9"/>
    <w:rsid w:val="00567CEB"/>
    <w:rsid w:val="00570C4C"/>
    <w:rsid w:val="00570F94"/>
    <w:rsid w:val="00571977"/>
    <w:rsid w:val="00571D44"/>
    <w:rsid w:val="00571EF7"/>
    <w:rsid w:val="00571F1B"/>
    <w:rsid w:val="0057219F"/>
    <w:rsid w:val="005722CC"/>
    <w:rsid w:val="00572FC6"/>
    <w:rsid w:val="005734C0"/>
    <w:rsid w:val="00573E15"/>
    <w:rsid w:val="005745B5"/>
    <w:rsid w:val="005750AC"/>
    <w:rsid w:val="00575109"/>
    <w:rsid w:val="00575736"/>
    <w:rsid w:val="00575744"/>
    <w:rsid w:val="00575AF5"/>
    <w:rsid w:val="00575CD9"/>
    <w:rsid w:val="005767A4"/>
    <w:rsid w:val="005768CB"/>
    <w:rsid w:val="005769CC"/>
    <w:rsid w:val="00576A67"/>
    <w:rsid w:val="00576C1F"/>
    <w:rsid w:val="00576FFD"/>
    <w:rsid w:val="0058077C"/>
    <w:rsid w:val="00580869"/>
    <w:rsid w:val="00581159"/>
    <w:rsid w:val="0058296D"/>
    <w:rsid w:val="00582A61"/>
    <w:rsid w:val="005833A2"/>
    <w:rsid w:val="005837D5"/>
    <w:rsid w:val="00583E7A"/>
    <w:rsid w:val="0058518B"/>
    <w:rsid w:val="00585FA6"/>
    <w:rsid w:val="00586A99"/>
    <w:rsid w:val="00586C33"/>
    <w:rsid w:val="00586C74"/>
    <w:rsid w:val="005872E1"/>
    <w:rsid w:val="00587B9D"/>
    <w:rsid w:val="00591231"/>
    <w:rsid w:val="0059198D"/>
    <w:rsid w:val="00591E3C"/>
    <w:rsid w:val="00593699"/>
    <w:rsid w:val="00593A53"/>
    <w:rsid w:val="0059403F"/>
    <w:rsid w:val="00594043"/>
    <w:rsid w:val="00594C62"/>
    <w:rsid w:val="005952A1"/>
    <w:rsid w:val="00595F64"/>
    <w:rsid w:val="005965D1"/>
    <w:rsid w:val="005969BD"/>
    <w:rsid w:val="00596F74"/>
    <w:rsid w:val="005970F1"/>
    <w:rsid w:val="00597330"/>
    <w:rsid w:val="00597652"/>
    <w:rsid w:val="00597FAE"/>
    <w:rsid w:val="005A0CE2"/>
    <w:rsid w:val="005A1148"/>
    <w:rsid w:val="005A12BD"/>
    <w:rsid w:val="005A12FF"/>
    <w:rsid w:val="005A1692"/>
    <w:rsid w:val="005A18A8"/>
    <w:rsid w:val="005A328D"/>
    <w:rsid w:val="005A3770"/>
    <w:rsid w:val="005A3C0D"/>
    <w:rsid w:val="005A43B7"/>
    <w:rsid w:val="005A4F0C"/>
    <w:rsid w:val="005A5529"/>
    <w:rsid w:val="005A554D"/>
    <w:rsid w:val="005A5CCA"/>
    <w:rsid w:val="005A5ED1"/>
    <w:rsid w:val="005A641B"/>
    <w:rsid w:val="005A68AB"/>
    <w:rsid w:val="005A7199"/>
    <w:rsid w:val="005A7F96"/>
    <w:rsid w:val="005B0232"/>
    <w:rsid w:val="005B08B8"/>
    <w:rsid w:val="005B0AF6"/>
    <w:rsid w:val="005B2FB3"/>
    <w:rsid w:val="005B30D4"/>
    <w:rsid w:val="005B3886"/>
    <w:rsid w:val="005B40A5"/>
    <w:rsid w:val="005B4D8C"/>
    <w:rsid w:val="005B51CE"/>
    <w:rsid w:val="005B5C32"/>
    <w:rsid w:val="005B754E"/>
    <w:rsid w:val="005B7565"/>
    <w:rsid w:val="005B7C10"/>
    <w:rsid w:val="005C04BE"/>
    <w:rsid w:val="005C0627"/>
    <w:rsid w:val="005C11F2"/>
    <w:rsid w:val="005C16EC"/>
    <w:rsid w:val="005C1B81"/>
    <w:rsid w:val="005C2016"/>
    <w:rsid w:val="005C2A49"/>
    <w:rsid w:val="005C3B7E"/>
    <w:rsid w:val="005C3E4F"/>
    <w:rsid w:val="005C3FE1"/>
    <w:rsid w:val="005C419F"/>
    <w:rsid w:val="005C4A6F"/>
    <w:rsid w:val="005C4F5B"/>
    <w:rsid w:val="005C4F9B"/>
    <w:rsid w:val="005C53A4"/>
    <w:rsid w:val="005C5B39"/>
    <w:rsid w:val="005C6AD9"/>
    <w:rsid w:val="005C6C8A"/>
    <w:rsid w:val="005C79A3"/>
    <w:rsid w:val="005C7AA3"/>
    <w:rsid w:val="005C7CF9"/>
    <w:rsid w:val="005C7D62"/>
    <w:rsid w:val="005D00DE"/>
    <w:rsid w:val="005D0313"/>
    <w:rsid w:val="005D0521"/>
    <w:rsid w:val="005D0CC8"/>
    <w:rsid w:val="005D1231"/>
    <w:rsid w:val="005D1AA9"/>
    <w:rsid w:val="005D1B0F"/>
    <w:rsid w:val="005D1F37"/>
    <w:rsid w:val="005D241C"/>
    <w:rsid w:val="005D2BA0"/>
    <w:rsid w:val="005D2F29"/>
    <w:rsid w:val="005D32BB"/>
    <w:rsid w:val="005D42D2"/>
    <w:rsid w:val="005D5855"/>
    <w:rsid w:val="005D6735"/>
    <w:rsid w:val="005D68A6"/>
    <w:rsid w:val="005D6AD1"/>
    <w:rsid w:val="005D700E"/>
    <w:rsid w:val="005E02DD"/>
    <w:rsid w:val="005E0A3C"/>
    <w:rsid w:val="005E1C73"/>
    <w:rsid w:val="005E1D2C"/>
    <w:rsid w:val="005E1EE6"/>
    <w:rsid w:val="005E2F9A"/>
    <w:rsid w:val="005E3258"/>
    <w:rsid w:val="005E3544"/>
    <w:rsid w:val="005E3BDA"/>
    <w:rsid w:val="005E3C30"/>
    <w:rsid w:val="005E4A91"/>
    <w:rsid w:val="005E502F"/>
    <w:rsid w:val="005E53DE"/>
    <w:rsid w:val="005E6304"/>
    <w:rsid w:val="005E65CE"/>
    <w:rsid w:val="005E6860"/>
    <w:rsid w:val="005E728A"/>
    <w:rsid w:val="005E7901"/>
    <w:rsid w:val="005E7E03"/>
    <w:rsid w:val="005E7F9A"/>
    <w:rsid w:val="005F033B"/>
    <w:rsid w:val="005F0C5A"/>
    <w:rsid w:val="005F0CDE"/>
    <w:rsid w:val="005F131D"/>
    <w:rsid w:val="005F1615"/>
    <w:rsid w:val="005F1E06"/>
    <w:rsid w:val="005F20B2"/>
    <w:rsid w:val="005F2AE9"/>
    <w:rsid w:val="005F2FE8"/>
    <w:rsid w:val="005F3F4D"/>
    <w:rsid w:val="005F465E"/>
    <w:rsid w:val="005F4A3B"/>
    <w:rsid w:val="005F6380"/>
    <w:rsid w:val="005F696C"/>
    <w:rsid w:val="005F6ED6"/>
    <w:rsid w:val="005F7BF0"/>
    <w:rsid w:val="006007D8"/>
    <w:rsid w:val="00601EE8"/>
    <w:rsid w:val="00602205"/>
    <w:rsid w:val="0060279E"/>
    <w:rsid w:val="00602E45"/>
    <w:rsid w:val="0060306A"/>
    <w:rsid w:val="00603217"/>
    <w:rsid w:val="00603D83"/>
    <w:rsid w:val="00604476"/>
    <w:rsid w:val="0060467A"/>
    <w:rsid w:val="00604717"/>
    <w:rsid w:val="00604A0C"/>
    <w:rsid w:val="00604AFE"/>
    <w:rsid w:val="00604CEB"/>
    <w:rsid w:val="00605CBD"/>
    <w:rsid w:val="00606507"/>
    <w:rsid w:val="0060667C"/>
    <w:rsid w:val="00606D34"/>
    <w:rsid w:val="00606F75"/>
    <w:rsid w:val="00607488"/>
    <w:rsid w:val="006075D0"/>
    <w:rsid w:val="00607801"/>
    <w:rsid w:val="00607BCB"/>
    <w:rsid w:val="006101FC"/>
    <w:rsid w:val="00610231"/>
    <w:rsid w:val="006103D6"/>
    <w:rsid w:val="0061057D"/>
    <w:rsid w:val="0061117A"/>
    <w:rsid w:val="0061166F"/>
    <w:rsid w:val="00612889"/>
    <w:rsid w:val="00612BD8"/>
    <w:rsid w:val="0061386C"/>
    <w:rsid w:val="006139BB"/>
    <w:rsid w:val="00613A8C"/>
    <w:rsid w:val="00613C18"/>
    <w:rsid w:val="00613D8C"/>
    <w:rsid w:val="006142AE"/>
    <w:rsid w:val="0061443E"/>
    <w:rsid w:val="006149A8"/>
    <w:rsid w:val="006151EE"/>
    <w:rsid w:val="0061535A"/>
    <w:rsid w:val="006155F0"/>
    <w:rsid w:val="006156E5"/>
    <w:rsid w:val="00616386"/>
    <w:rsid w:val="0061669A"/>
    <w:rsid w:val="00616BBF"/>
    <w:rsid w:val="006170B8"/>
    <w:rsid w:val="00617124"/>
    <w:rsid w:val="00617865"/>
    <w:rsid w:val="00617B7C"/>
    <w:rsid w:val="006200E3"/>
    <w:rsid w:val="006200E9"/>
    <w:rsid w:val="006203ED"/>
    <w:rsid w:val="0062070B"/>
    <w:rsid w:val="00621DAB"/>
    <w:rsid w:val="00622403"/>
    <w:rsid w:val="0062300B"/>
    <w:rsid w:val="00624158"/>
    <w:rsid w:val="00624997"/>
    <w:rsid w:val="00624CFF"/>
    <w:rsid w:val="00624E81"/>
    <w:rsid w:val="00624F5E"/>
    <w:rsid w:val="006251F7"/>
    <w:rsid w:val="0062568C"/>
    <w:rsid w:val="00625C3C"/>
    <w:rsid w:val="00626F52"/>
    <w:rsid w:val="00630031"/>
    <w:rsid w:val="0063003B"/>
    <w:rsid w:val="0063052B"/>
    <w:rsid w:val="00630F3B"/>
    <w:rsid w:val="00630F78"/>
    <w:rsid w:val="00631DDF"/>
    <w:rsid w:val="00631E96"/>
    <w:rsid w:val="00631FCD"/>
    <w:rsid w:val="006328BA"/>
    <w:rsid w:val="00632920"/>
    <w:rsid w:val="00632C9A"/>
    <w:rsid w:val="0063318E"/>
    <w:rsid w:val="006331D9"/>
    <w:rsid w:val="00633237"/>
    <w:rsid w:val="0063348E"/>
    <w:rsid w:val="00633CE0"/>
    <w:rsid w:val="0063508C"/>
    <w:rsid w:val="006354A3"/>
    <w:rsid w:val="00635542"/>
    <w:rsid w:val="006358E5"/>
    <w:rsid w:val="00635CA7"/>
    <w:rsid w:val="00635CBE"/>
    <w:rsid w:val="00636046"/>
    <w:rsid w:val="00636904"/>
    <w:rsid w:val="00640BBD"/>
    <w:rsid w:val="00640FE3"/>
    <w:rsid w:val="00641694"/>
    <w:rsid w:val="0064218D"/>
    <w:rsid w:val="006428A2"/>
    <w:rsid w:val="00642C07"/>
    <w:rsid w:val="00642D1D"/>
    <w:rsid w:val="00642D7E"/>
    <w:rsid w:val="00643455"/>
    <w:rsid w:val="0064359D"/>
    <w:rsid w:val="006438B7"/>
    <w:rsid w:val="00643909"/>
    <w:rsid w:val="00643C79"/>
    <w:rsid w:val="00644329"/>
    <w:rsid w:val="006448CD"/>
    <w:rsid w:val="00645042"/>
    <w:rsid w:val="00645595"/>
    <w:rsid w:val="0064571D"/>
    <w:rsid w:val="00645979"/>
    <w:rsid w:val="00646702"/>
    <w:rsid w:val="006477F6"/>
    <w:rsid w:val="00650475"/>
    <w:rsid w:val="0065288B"/>
    <w:rsid w:val="00652F2A"/>
    <w:rsid w:val="00653323"/>
    <w:rsid w:val="006542D8"/>
    <w:rsid w:val="0065437F"/>
    <w:rsid w:val="00654E62"/>
    <w:rsid w:val="0065561F"/>
    <w:rsid w:val="00655814"/>
    <w:rsid w:val="00656D1C"/>
    <w:rsid w:val="0065723D"/>
    <w:rsid w:val="00657299"/>
    <w:rsid w:val="00657E61"/>
    <w:rsid w:val="00657F30"/>
    <w:rsid w:val="00657FC7"/>
    <w:rsid w:val="0066019D"/>
    <w:rsid w:val="0066154D"/>
    <w:rsid w:val="0066250B"/>
    <w:rsid w:val="00663017"/>
    <w:rsid w:val="00663258"/>
    <w:rsid w:val="00664F1F"/>
    <w:rsid w:val="0066511E"/>
    <w:rsid w:val="00665551"/>
    <w:rsid w:val="00665781"/>
    <w:rsid w:val="00665858"/>
    <w:rsid w:val="00665860"/>
    <w:rsid w:val="006658D0"/>
    <w:rsid w:val="00665FB2"/>
    <w:rsid w:val="00666C00"/>
    <w:rsid w:val="00666D24"/>
    <w:rsid w:val="00667252"/>
    <w:rsid w:val="00670CB6"/>
    <w:rsid w:val="00670D02"/>
    <w:rsid w:val="0067256A"/>
    <w:rsid w:val="006725CE"/>
    <w:rsid w:val="00673434"/>
    <w:rsid w:val="00673712"/>
    <w:rsid w:val="00674503"/>
    <w:rsid w:val="00674D4C"/>
    <w:rsid w:val="0067658D"/>
    <w:rsid w:val="0067674A"/>
    <w:rsid w:val="006767B0"/>
    <w:rsid w:val="00676FC9"/>
    <w:rsid w:val="00677606"/>
    <w:rsid w:val="0067780E"/>
    <w:rsid w:val="006802FE"/>
    <w:rsid w:val="00680345"/>
    <w:rsid w:val="00680C42"/>
    <w:rsid w:val="00681687"/>
    <w:rsid w:val="00681892"/>
    <w:rsid w:val="00681B1C"/>
    <w:rsid w:val="006820FF"/>
    <w:rsid w:val="0068259F"/>
    <w:rsid w:val="006833A3"/>
    <w:rsid w:val="006834B8"/>
    <w:rsid w:val="0068357B"/>
    <w:rsid w:val="00683805"/>
    <w:rsid w:val="006838E0"/>
    <w:rsid w:val="0068491A"/>
    <w:rsid w:val="00684D06"/>
    <w:rsid w:val="0068518D"/>
    <w:rsid w:val="006851A8"/>
    <w:rsid w:val="0068570D"/>
    <w:rsid w:val="006866F1"/>
    <w:rsid w:val="00686A78"/>
    <w:rsid w:val="0068704B"/>
    <w:rsid w:val="00687808"/>
    <w:rsid w:val="00687FF7"/>
    <w:rsid w:val="00690A03"/>
    <w:rsid w:val="00690A5F"/>
    <w:rsid w:val="00690BCF"/>
    <w:rsid w:val="00690D48"/>
    <w:rsid w:val="00690F57"/>
    <w:rsid w:val="00691BE7"/>
    <w:rsid w:val="00691C77"/>
    <w:rsid w:val="0069237C"/>
    <w:rsid w:val="0069298E"/>
    <w:rsid w:val="006943AE"/>
    <w:rsid w:val="0069487B"/>
    <w:rsid w:val="00695169"/>
    <w:rsid w:val="00696198"/>
    <w:rsid w:val="006961DE"/>
    <w:rsid w:val="006964B7"/>
    <w:rsid w:val="00696636"/>
    <w:rsid w:val="00696A80"/>
    <w:rsid w:val="00696B23"/>
    <w:rsid w:val="00696C58"/>
    <w:rsid w:val="00696E3C"/>
    <w:rsid w:val="00696EA4"/>
    <w:rsid w:val="00697399"/>
    <w:rsid w:val="0069759A"/>
    <w:rsid w:val="006A047F"/>
    <w:rsid w:val="006A04BC"/>
    <w:rsid w:val="006A06BD"/>
    <w:rsid w:val="006A149A"/>
    <w:rsid w:val="006A1B80"/>
    <w:rsid w:val="006A1E2E"/>
    <w:rsid w:val="006A1E7B"/>
    <w:rsid w:val="006A2145"/>
    <w:rsid w:val="006A254D"/>
    <w:rsid w:val="006A2C0E"/>
    <w:rsid w:val="006A2F16"/>
    <w:rsid w:val="006A303D"/>
    <w:rsid w:val="006A30C8"/>
    <w:rsid w:val="006A324C"/>
    <w:rsid w:val="006A3297"/>
    <w:rsid w:val="006A334D"/>
    <w:rsid w:val="006A3387"/>
    <w:rsid w:val="006A38C2"/>
    <w:rsid w:val="006A3D32"/>
    <w:rsid w:val="006A3E6C"/>
    <w:rsid w:val="006A44E3"/>
    <w:rsid w:val="006A4517"/>
    <w:rsid w:val="006A45B8"/>
    <w:rsid w:val="006A5560"/>
    <w:rsid w:val="006A5614"/>
    <w:rsid w:val="006A5633"/>
    <w:rsid w:val="006A5DE2"/>
    <w:rsid w:val="006A64C1"/>
    <w:rsid w:val="006A6A25"/>
    <w:rsid w:val="006A70CC"/>
    <w:rsid w:val="006B00C7"/>
    <w:rsid w:val="006B0316"/>
    <w:rsid w:val="006B04E6"/>
    <w:rsid w:val="006B0ACF"/>
    <w:rsid w:val="006B0BAE"/>
    <w:rsid w:val="006B2334"/>
    <w:rsid w:val="006B294F"/>
    <w:rsid w:val="006B303E"/>
    <w:rsid w:val="006B35A0"/>
    <w:rsid w:val="006B3A65"/>
    <w:rsid w:val="006B3AB9"/>
    <w:rsid w:val="006B5327"/>
    <w:rsid w:val="006B5B55"/>
    <w:rsid w:val="006B5C6D"/>
    <w:rsid w:val="006B63A8"/>
    <w:rsid w:val="006B687B"/>
    <w:rsid w:val="006B6BEE"/>
    <w:rsid w:val="006B6E54"/>
    <w:rsid w:val="006C0116"/>
    <w:rsid w:val="006C08E4"/>
    <w:rsid w:val="006C1113"/>
    <w:rsid w:val="006C197D"/>
    <w:rsid w:val="006C1DB0"/>
    <w:rsid w:val="006C1ECB"/>
    <w:rsid w:val="006C21E8"/>
    <w:rsid w:val="006C2337"/>
    <w:rsid w:val="006C3A32"/>
    <w:rsid w:val="006C42F8"/>
    <w:rsid w:val="006C4B52"/>
    <w:rsid w:val="006C626C"/>
    <w:rsid w:val="006C6B36"/>
    <w:rsid w:val="006C755C"/>
    <w:rsid w:val="006C7767"/>
    <w:rsid w:val="006D014D"/>
    <w:rsid w:val="006D076B"/>
    <w:rsid w:val="006D07F8"/>
    <w:rsid w:val="006D143A"/>
    <w:rsid w:val="006D1546"/>
    <w:rsid w:val="006D1936"/>
    <w:rsid w:val="006D1B3F"/>
    <w:rsid w:val="006D1BA7"/>
    <w:rsid w:val="006D1EA6"/>
    <w:rsid w:val="006D1FC6"/>
    <w:rsid w:val="006D2B1B"/>
    <w:rsid w:val="006D3CD7"/>
    <w:rsid w:val="006D4ECE"/>
    <w:rsid w:val="006D5591"/>
    <w:rsid w:val="006D56FC"/>
    <w:rsid w:val="006D5F3A"/>
    <w:rsid w:val="006D6296"/>
    <w:rsid w:val="006D66D5"/>
    <w:rsid w:val="006D686D"/>
    <w:rsid w:val="006D6D58"/>
    <w:rsid w:val="006D7B68"/>
    <w:rsid w:val="006E03B8"/>
    <w:rsid w:val="006E071E"/>
    <w:rsid w:val="006E07BA"/>
    <w:rsid w:val="006E1DF4"/>
    <w:rsid w:val="006E301D"/>
    <w:rsid w:val="006E30E6"/>
    <w:rsid w:val="006E313F"/>
    <w:rsid w:val="006E32BF"/>
    <w:rsid w:val="006E44A7"/>
    <w:rsid w:val="006E4E41"/>
    <w:rsid w:val="006E5348"/>
    <w:rsid w:val="006E61F6"/>
    <w:rsid w:val="006E6368"/>
    <w:rsid w:val="006E67F3"/>
    <w:rsid w:val="006E7765"/>
    <w:rsid w:val="006E78EE"/>
    <w:rsid w:val="006E7A3E"/>
    <w:rsid w:val="006E7A9B"/>
    <w:rsid w:val="006E7A9E"/>
    <w:rsid w:val="006E7AA5"/>
    <w:rsid w:val="006E7F5F"/>
    <w:rsid w:val="006F01B4"/>
    <w:rsid w:val="006F131E"/>
    <w:rsid w:val="006F133B"/>
    <w:rsid w:val="006F139F"/>
    <w:rsid w:val="006F1A37"/>
    <w:rsid w:val="006F1CCE"/>
    <w:rsid w:val="006F266B"/>
    <w:rsid w:val="006F2819"/>
    <w:rsid w:val="006F30D2"/>
    <w:rsid w:val="006F3815"/>
    <w:rsid w:val="006F4195"/>
    <w:rsid w:val="006F457C"/>
    <w:rsid w:val="006F49F8"/>
    <w:rsid w:val="006F565E"/>
    <w:rsid w:val="006F6172"/>
    <w:rsid w:val="006F62A3"/>
    <w:rsid w:val="006F6D3A"/>
    <w:rsid w:val="006F6EC6"/>
    <w:rsid w:val="006F741B"/>
    <w:rsid w:val="007004E6"/>
    <w:rsid w:val="00700799"/>
    <w:rsid w:val="00700AC1"/>
    <w:rsid w:val="00700BF1"/>
    <w:rsid w:val="00701080"/>
    <w:rsid w:val="007016A4"/>
    <w:rsid w:val="00701E18"/>
    <w:rsid w:val="00702D53"/>
    <w:rsid w:val="00703086"/>
    <w:rsid w:val="0070374C"/>
    <w:rsid w:val="007038A6"/>
    <w:rsid w:val="00703E38"/>
    <w:rsid w:val="007040F2"/>
    <w:rsid w:val="007047BA"/>
    <w:rsid w:val="00704DE2"/>
    <w:rsid w:val="0070616A"/>
    <w:rsid w:val="0070616F"/>
    <w:rsid w:val="007068A2"/>
    <w:rsid w:val="00706DD3"/>
    <w:rsid w:val="00710105"/>
    <w:rsid w:val="00711129"/>
    <w:rsid w:val="00711219"/>
    <w:rsid w:val="0071167F"/>
    <w:rsid w:val="007119AE"/>
    <w:rsid w:val="00711CA6"/>
    <w:rsid w:val="00711FA7"/>
    <w:rsid w:val="00711FE4"/>
    <w:rsid w:val="00712F07"/>
    <w:rsid w:val="007135F9"/>
    <w:rsid w:val="0071450A"/>
    <w:rsid w:val="00714E41"/>
    <w:rsid w:val="007152F0"/>
    <w:rsid w:val="00715774"/>
    <w:rsid w:val="0071639D"/>
    <w:rsid w:val="007164CE"/>
    <w:rsid w:val="0071664B"/>
    <w:rsid w:val="0071670A"/>
    <w:rsid w:val="00716D78"/>
    <w:rsid w:val="00716DAC"/>
    <w:rsid w:val="00716F6B"/>
    <w:rsid w:val="00716FFE"/>
    <w:rsid w:val="00717434"/>
    <w:rsid w:val="00717D5F"/>
    <w:rsid w:val="00720551"/>
    <w:rsid w:val="00720ADB"/>
    <w:rsid w:val="00720BEB"/>
    <w:rsid w:val="00721480"/>
    <w:rsid w:val="0072196C"/>
    <w:rsid w:val="00721C8F"/>
    <w:rsid w:val="0072235C"/>
    <w:rsid w:val="007228F3"/>
    <w:rsid w:val="00722DD5"/>
    <w:rsid w:val="00722E3C"/>
    <w:rsid w:val="00723117"/>
    <w:rsid w:val="00723215"/>
    <w:rsid w:val="0072355E"/>
    <w:rsid w:val="00723943"/>
    <w:rsid w:val="00723A01"/>
    <w:rsid w:val="00723EB6"/>
    <w:rsid w:val="00723FE4"/>
    <w:rsid w:val="0072481E"/>
    <w:rsid w:val="00724949"/>
    <w:rsid w:val="007249C4"/>
    <w:rsid w:val="00724B4E"/>
    <w:rsid w:val="00724D30"/>
    <w:rsid w:val="00724E77"/>
    <w:rsid w:val="00725655"/>
    <w:rsid w:val="007261F7"/>
    <w:rsid w:val="00726716"/>
    <w:rsid w:val="00727353"/>
    <w:rsid w:val="007273C2"/>
    <w:rsid w:val="00727F71"/>
    <w:rsid w:val="007304A2"/>
    <w:rsid w:val="00730876"/>
    <w:rsid w:val="0073105C"/>
    <w:rsid w:val="00731652"/>
    <w:rsid w:val="0073176D"/>
    <w:rsid w:val="00731B86"/>
    <w:rsid w:val="00732BFE"/>
    <w:rsid w:val="0073386F"/>
    <w:rsid w:val="00733CB7"/>
    <w:rsid w:val="00734344"/>
    <w:rsid w:val="007348FD"/>
    <w:rsid w:val="0073510A"/>
    <w:rsid w:val="00735938"/>
    <w:rsid w:val="00735C64"/>
    <w:rsid w:val="007362E8"/>
    <w:rsid w:val="007362EB"/>
    <w:rsid w:val="00736723"/>
    <w:rsid w:val="00736B3E"/>
    <w:rsid w:val="00736C8D"/>
    <w:rsid w:val="00736CA1"/>
    <w:rsid w:val="00736FDD"/>
    <w:rsid w:val="00737200"/>
    <w:rsid w:val="00737223"/>
    <w:rsid w:val="0073793E"/>
    <w:rsid w:val="00740539"/>
    <w:rsid w:val="00740639"/>
    <w:rsid w:val="00740643"/>
    <w:rsid w:val="00740906"/>
    <w:rsid w:val="00740A1A"/>
    <w:rsid w:val="00741DA9"/>
    <w:rsid w:val="00741EF8"/>
    <w:rsid w:val="007420E5"/>
    <w:rsid w:val="00742652"/>
    <w:rsid w:val="00743602"/>
    <w:rsid w:val="007436E2"/>
    <w:rsid w:val="007436FF"/>
    <w:rsid w:val="00743FB3"/>
    <w:rsid w:val="007458BA"/>
    <w:rsid w:val="00746B7C"/>
    <w:rsid w:val="007475B1"/>
    <w:rsid w:val="00747EB8"/>
    <w:rsid w:val="007500B4"/>
    <w:rsid w:val="007500CB"/>
    <w:rsid w:val="00750635"/>
    <w:rsid w:val="00750EDF"/>
    <w:rsid w:val="0075128E"/>
    <w:rsid w:val="00751DAF"/>
    <w:rsid w:val="007522D5"/>
    <w:rsid w:val="00752349"/>
    <w:rsid w:val="00753307"/>
    <w:rsid w:val="00754155"/>
    <w:rsid w:val="007542CA"/>
    <w:rsid w:val="00755D7A"/>
    <w:rsid w:val="00755DF8"/>
    <w:rsid w:val="00757DCC"/>
    <w:rsid w:val="00760979"/>
    <w:rsid w:val="00760A14"/>
    <w:rsid w:val="00761398"/>
    <w:rsid w:val="007615A0"/>
    <w:rsid w:val="0076172F"/>
    <w:rsid w:val="00761BA8"/>
    <w:rsid w:val="00761D3B"/>
    <w:rsid w:val="007621E9"/>
    <w:rsid w:val="007628A9"/>
    <w:rsid w:val="00762B57"/>
    <w:rsid w:val="00765019"/>
    <w:rsid w:val="0076528E"/>
    <w:rsid w:val="007656F6"/>
    <w:rsid w:val="00765D85"/>
    <w:rsid w:val="00766028"/>
    <w:rsid w:val="00766259"/>
    <w:rsid w:val="0076673A"/>
    <w:rsid w:val="00767863"/>
    <w:rsid w:val="00767A2C"/>
    <w:rsid w:val="007702D6"/>
    <w:rsid w:val="00770A11"/>
    <w:rsid w:val="007724A5"/>
    <w:rsid w:val="007725CB"/>
    <w:rsid w:val="00772A73"/>
    <w:rsid w:val="00772D6C"/>
    <w:rsid w:val="00773246"/>
    <w:rsid w:val="0077395B"/>
    <w:rsid w:val="00773BAD"/>
    <w:rsid w:val="00773C29"/>
    <w:rsid w:val="007745DF"/>
    <w:rsid w:val="007746F0"/>
    <w:rsid w:val="00774E15"/>
    <w:rsid w:val="00774F47"/>
    <w:rsid w:val="00775A91"/>
    <w:rsid w:val="00775D70"/>
    <w:rsid w:val="00775F54"/>
    <w:rsid w:val="0077670C"/>
    <w:rsid w:val="00776B6A"/>
    <w:rsid w:val="007770EA"/>
    <w:rsid w:val="007778BB"/>
    <w:rsid w:val="0078015C"/>
    <w:rsid w:val="007803D5"/>
    <w:rsid w:val="00780781"/>
    <w:rsid w:val="00781CE9"/>
    <w:rsid w:val="0078275E"/>
    <w:rsid w:val="00782799"/>
    <w:rsid w:val="00782A32"/>
    <w:rsid w:val="007832E4"/>
    <w:rsid w:val="007834E9"/>
    <w:rsid w:val="00783A4C"/>
    <w:rsid w:val="00783DE0"/>
    <w:rsid w:val="0078418D"/>
    <w:rsid w:val="00784BE8"/>
    <w:rsid w:val="00785149"/>
    <w:rsid w:val="007856AD"/>
    <w:rsid w:val="00785C4D"/>
    <w:rsid w:val="00786952"/>
    <w:rsid w:val="007869E7"/>
    <w:rsid w:val="00786EBF"/>
    <w:rsid w:val="0078741C"/>
    <w:rsid w:val="007874E0"/>
    <w:rsid w:val="007902E8"/>
    <w:rsid w:val="007904E7"/>
    <w:rsid w:val="007909FF"/>
    <w:rsid w:val="00791CD1"/>
    <w:rsid w:val="007920DA"/>
    <w:rsid w:val="0079265D"/>
    <w:rsid w:val="0079287F"/>
    <w:rsid w:val="00793F3B"/>
    <w:rsid w:val="00794305"/>
    <w:rsid w:val="0079458D"/>
    <w:rsid w:val="007951E3"/>
    <w:rsid w:val="00796182"/>
    <w:rsid w:val="007962CC"/>
    <w:rsid w:val="00796D45"/>
    <w:rsid w:val="00797047"/>
    <w:rsid w:val="00797A3F"/>
    <w:rsid w:val="00797B7A"/>
    <w:rsid w:val="007A0164"/>
    <w:rsid w:val="007A08EF"/>
    <w:rsid w:val="007A11CC"/>
    <w:rsid w:val="007A1729"/>
    <w:rsid w:val="007A1DFA"/>
    <w:rsid w:val="007A23A6"/>
    <w:rsid w:val="007A24E7"/>
    <w:rsid w:val="007A266F"/>
    <w:rsid w:val="007A268D"/>
    <w:rsid w:val="007A2884"/>
    <w:rsid w:val="007A2CF0"/>
    <w:rsid w:val="007A3046"/>
    <w:rsid w:val="007A30EB"/>
    <w:rsid w:val="007A3545"/>
    <w:rsid w:val="007A36C7"/>
    <w:rsid w:val="007A483B"/>
    <w:rsid w:val="007A4880"/>
    <w:rsid w:val="007A5950"/>
    <w:rsid w:val="007A5DD0"/>
    <w:rsid w:val="007A71A9"/>
    <w:rsid w:val="007A798D"/>
    <w:rsid w:val="007B0F16"/>
    <w:rsid w:val="007B15B2"/>
    <w:rsid w:val="007B20CC"/>
    <w:rsid w:val="007B2DA2"/>
    <w:rsid w:val="007B2F9F"/>
    <w:rsid w:val="007B304D"/>
    <w:rsid w:val="007B35B0"/>
    <w:rsid w:val="007B364C"/>
    <w:rsid w:val="007B3C33"/>
    <w:rsid w:val="007B3C69"/>
    <w:rsid w:val="007B4299"/>
    <w:rsid w:val="007B4984"/>
    <w:rsid w:val="007B4A2F"/>
    <w:rsid w:val="007B5069"/>
    <w:rsid w:val="007B5916"/>
    <w:rsid w:val="007B5970"/>
    <w:rsid w:val="007B5CD2"/>
    <w:rsid w:val="007B5D37"/>
    <w:rsid w:val="007B5D85"/>
    <w:rsid w:val="007B5E1E"/>
    <w:rsid w:val="007B6C82"/>
    <w:rsid w:val="007B76D0"/>
    <w:rsid w:val="007B7C02"/>
    <w:rsid w:val="007C0490"/>
    <w:rsid w:val="007C05DE"/>
    <w:rsid w:val="007C1073"/>
    <w:rsid w:val="007C165A"/>
    <w:rsid w:val="007C1ED8"/>
    <w:rsid w:val="007C2295"/>
    <w:rsid w:val="007C2D65"/>
    <w:rsid w:val="007C3D14"/>
    <w:rsid w:val="007C3EC0"/>
    <w:rsid w:val="007C465B"/>
    <w:rsid w:val="007C47F0"/>
    <w:rsid w:val="007C4D42"/>
    <w:rsid w:val="007C5547"/>
    <w:rsid w:val="007C5E44"/>
    <w:rsid w:val="007C6636"/>
    <w:rsid w:val="007C66E5"/>
    <w:rsid w:val="007C7243"/>
    <w:rsid w:val="007C770F"/>
    <w:rsid w:val="007C772E"/>
    <w:rsid w:val="007D01F9"/>
    <w:rsid w:val="007D0220"/>
    <w:rsid w:val="007D0388"/>
    <w:rsid w:val="007D0980"/>
    <w:rsid w:val="007D0FD3"/>
    <w:rsid w:val="007D1202"/>
    <w:rsid w:val="007D1568"/>
    <w:rsid w:val="007D1DA9"/>
    <w:rsid w:val="007D255F"/>
    <w:rsid w:val="007D31AE"/>
    <w:rsid w:val="007D326B"/>
    <w:rsid w:val="007D3535"/>
    <w:rsid w:val="007D3E85"/>
    <w:rsid w:val="007D41DD"/>
    <w:rsid w:val="007D48CE"/>
    <w:rsid w:val="007D5ACB"/>
    <w:rsid w:val="007D68E6"/>
    <w:rsid w:val="007D68F7"/>
    <w:rsid w:val="007D7232"/>
    <w:rsid w:val="007D74D4"/>
    <w:rsid w:val="007D7E5D"/>
    <w:rsid w:val="007E07E7"/>
    <w:rsid w:val="007E1876"/>
    <w:rsid w:val="007E1F65"/>
    <w:rsid w:val="007E1FC0"/>
    <w:rsid w:val="007E219C"/>
    <w:rsid w:val="007E2677"/>
    <w:rsid w:val="007E2819"/>
    <w:rsid w:val="007E3153"/>
    <w:rsid w:val="007E3CD9"/>
    <w:rsid w:val="007E3D17"/>
    <w:rsid w:val="007E420F"/>
    <w:rsid w:val="007E4C84"/>
    <w:rsid w:val="007E4D6A"/>
    <w:rsid w:val="007E50AB"/>
    <w:rsid w:val="007E53F4"/>
    <w:rsid w:val="007E5684"/>
    <w:rsid w:val="007E5E3D"/>
    <w:rsid w:val="007E5E9F"/>
    <w:rsid w:val="007E682A"/>
    <w:rsid w:val="007E7130"/>
    <w:rsid w:val="007E76BD"/>
    <w:rsid w:val="007E7A6D"/>
    <w:rsid w:val="007F0530"/>
    <w:rsid w:val="007F0E85"/>
    <w:rsid w:val="007F24BA"/>
    <w:rsid w:val="007F29DD"/>
    <w:rsid w:val="007F3879"/>
    <w:rsid w:val="007F4119"/>
    <w:rsid w:val="007F427B"/>
    <w:rsid w:val="007F46AD"/>
    <w:rsid w:val="007F4B62"/>
    <w:rsid w:val="007F606E"/>
    <w:rsid w:val="007F6C8F"/>
    <w:rsid w:val="007F794B"/>
    <w:rsid w:val="00800D2E"/>
    <w:rsid w:val="00801095"/>
    <w:rsid w:val="00801A5B"/>
    <w:rsid w:val="00801B47"/>
    <w:rsid w:val="00801D66"/>
    <w:rsid w:val="00802008"/>
    <w:rsid w:val="008022C1"/>
    <w:rsid w:val="008022DA"/>
    <w:rsid w:val="008028C7"/>
    <w:rsid w:val="008028CB"/>
    <w:rsid w:val="00802B9B"/>
    <w:rsid w:val="008032C6"/>
    <w:rsid w:val="00803CD2"/>
    <w:rsid w:val="00803CE1"/>
    <w:rsid w:val="00804A60"/>
    <w:rsid w:val="00804DB3"/>
    <w:rsid w:val="00804DB8"/>
    <w:rsid w:val="00804FD6"/>
    <w:rsid w:val="008059CE"/>
    <w:rsid w:val="00805B3D"/>
    <w:rsid w:val="00805D93"/>
    <w:rsid w:val="00805E69"/>
    <w:rsid w:val="0080697A"/>
    <w:rsid w:val="00806F66"/>
    <w:rsid w:val="00807733"/>
    <w:rsid w:val="00807C10"/>
    <w:rsid w:val="00807DCC"/>
    <w:rsid w:val="00810C9B"/>
    <w:rsid w:val="00811A38"/>
    <w:rsid w:val="00811C8D"/>
    <w:rsid w:val="008120ED"/>
    <w:rsid w:val="00812248"/>
    <w:rsid w:val="00814280"/>
    <w:rsid w:val="0081443F"/>
    <w:rsid w:val="00814631"/>
    <w:rsid w:val="0081474E"/>
    <w:rsid w:val="00814CA4"/>
    <w:rsid w:val="00815332"/>
    <w:rsid w:val="00815999"/>
    <w:rsid w:val="00815BB6"/>
    <w:rsid w:val="00816FC2"/>
    <w:rsid w:val="008176AE"/>
    <w:rsid w:val="00817E58"/>
    <w:rsid w:val="00820614"/>
    <w:rsid w:val="00820BC5"/>
    <w:rsid w:val="00821DD9"/>
    <w:rsid w:val="00822B81"/>
    <w:rsid w:val="00822DA3"/>
    <w:rsid w:val="008239C8"/>
    <w:rsid w:val="00823BA1"/>
    <w:rsid w:val="00823C63"/>
    <w:rsid w:val="00823F5C"/>
    <w:rsid w:val="00824892"/>
    <w:rsid w:val="00824A41"/>
    <w:rsid w:val="008252EB"/>
    <w:rsid w:val="00826BCF"/>
    <w:rsid w:val="0082700C"/>
    <w:rsid w:val="00827020"/>
    <w:rsid w:val="00827CE3"/>
    <w:rsid w:val="008308B3"/>
    <w:rsid w:val="008311A4"/>
    <w:rsid w:val="0083220F"/>
    <w:rsid w:val="00833089"/>
    <w:rsid w:val="00833266"/>
    <w:rsid w:val="00833C37"/>
    <w:rsid w:val="00833C4B"/>
    <w:rsid w:val="00833DD6"/>
    <w:rsid w:val="00833FA1"/>
    <w:rsid w:val="00834933"/>
    <w:rsid w:val="00834C18"/>
    <w:rsid w:val="00834F33"/>
    <w:rsid w:val="00835611"/>
    <w:rsid w:val="00835E50"/>
    <w:rsid w:val="00836ECB"/>
    <w:rsid w:val="008375F2"/>
    <w:rsid w:val="008404E6"/>
    <w:rsid w:val="008414A5"/>
    <w:rsid w:val="00841DAA"/>
    <w:rsid w:val="008427EF"/>
    <w:rsid w:val="00843250"/>
    <w:rsid w:val="00843B2C"/>
    <w:rsid w:val="00843BFE"/>
    <w:rsid w:val="00844435"/>
    <w:rsid w:val="008444FF"/>
    <w:rsid w:val="00844723"/>
    <w:rsid w:val="00844C9B"/>
    <w:rsid w:val="00844F3F"/>
    <w:rsid w:val="008454A6"/>
    <w:rsid w:val="00845BCF"/>
    <w:rsid w:val="00847D0C"/>
    <w:rsid w:val="00850FE4"/>
    <w:rsid w:val="0085177C"/>
    <w:rsid w:val="00851955"/>
    <w:rsid w:val="00851980"/>
    <w:rsid w:val="00851DFD"/>
    <w:rsid w:val="00852A52"/>
    <w:rsid w:val="00852BDE"/>
    <w:rsid w:val="00853179"/>
    <w:rsid w:val="0085327B"/>
    <w:rsid w:val="008532A2"/>
    <w:rsid w:val="00853972"/>
    <w:rsid w:val="00854A2F"/>
    <w:rsid w:val="00855934"/>
    <w:rsid w:val="00855C08"/>
    <w:rsid w:val="008561A4"/>
    <w:rsid w:val="00856226"/>
    <w:rsid w:val="008566B3"/>
    <w:rsid w:val="00856A02"/>
    <w:rsid w:val="00856BBA"/>
    <w:rsid w:val="008577AE"/>
    <w:rsid w:val="0085793A"/>
    <w:rsid w:val="008607B3"/>
    <w:rsid w:val="00860D30"/>
    <w:rsid w:val="00860F36"/>
    <w:rsid w:val="00861319"/>
    <w:rsid w:val="00861734"/>
    <w:rsid w:val="00861B7F"/>
    <w:rsid w:val="008621DB"/>
    <w:rsid w:val="00863378"/>
    <w:rsid w:val="00863690"/>
    <w:rsid w:val="00863CD0"/>
    <w:rsid w:val="008649DD"/>
    <w:rsid w:val="00866154"/>
    <w:rsid w:val="00866258"/>
    <w:rsid w:val="008663DA"/>
    <w:rsid w:val="00867653"/>
    <w:rsid w:val="00867ACC"/>
    <w:rsid w:val="00870092"/>
    <w:rsid w:val="00871497"/>
    <w:rsid w:val="00871853"/>
    <w:rsid w:val="00871BC7"/>
    <w:rsid w:val="00871D6E"/>
    <w:rsid w:val="00871D71"/>
    <w:rsid w:val="00872422"/>
    <w:rsid w:val="0087299F"/>
    <w:rsid w:val="00872C3E"/>
    <w:rsid w:val="00872EE9"/>
    <w:rsid w:val="00873103"/>
    <w:rsid w:val="008739AF"/>
    <w:rsid w:val="0087404B"/>
    <w:rsid w:val="00874C07"/>
    <w:rsid w:val="00874EE3"/>
    <w:rsid w:val="008753F9"/>
    <w:rsid w:val="00875589"/>
    <w:rsid w:val="00875B9B"/>
    <w:rsid w:val="008763C4"/>
    <w:rsid w:val="00876484"/>
    <w:rsid w:val="00876904"/>
    <w:rsid w:val="00876E60"/>
    <w:rsid w:val="00877730"/>
    <w:rsid w:val="00877D73"/>
    <w:rsid w:val="0088031B"/>
    <w:rsid w:val="008808FF"/>
    <w:rsid w:val="00880A15"/>
    <w:rsid w:val="00880D45"/>
    <w:rsid w:val="00880E2A"/>
    <w:rsid w:val="00881721"/>
    <w:rsid w:val="008819DE"/>
    <w:rsid w:val="00881C43"/>
    <w:rsid w:val="0088219A"/>
    <w:rsid w:val="00882AED"/>
    <w:rsid w:val="008839D0"/>
    <w:rsid w:val="00884116"/>
    <w:rsid w:val="00884789"/>
    <w:rsid w:val="00884B40"/>
    <w:rsid w:val="00884DFF"/>
    <w:rsid w:val="0088567D"/>
    <w:rsid w:val="00886FEF"/>
    <w:rsid w:val="008872DB"/>
    <w:rsid w:val="008873FB"/>
    <w:rsid w:val="008905CD"/>
    <w:rsid w:val="00890CD7"/>
    <w:rsid w:val="008912D2"/>
    <w:rsid w:val="008913AD"/>
    <w:rsid w:val="00891EF7"/>
    <w:rsid w:val="0089329D"/>
    <w:rsid w:val="00893452"/>
    <w:rsid w:val="00893888"/>
    <w:rsid w:val="00893E47"/>
    <w:rsid w:val="00894422"/>
    <w:rsid w:val="008950F0"/>
    <w:rsid w:val="00895362"/>
    <w:rsid w:val="008961B7"/>
    <w:rsid w:val="008962F1"/>
    <w:rsid w:val="008965B1"/>
    <w:rsid w:val="00896BC1"/>
    <w:rsid w:val="008973D9"/>
    <w:rsid w:val="008A0421"/>
    <w:rsid w:val="008A05C8"/>
    <w:rsid w:val="008A0C14"/>
    <w:rsid w:val="008A0F76"/>
    <w:rsid w:val="008A133E"/>
    <w:rsid w:val="008A1431"/>
    <w:rsid w:val="008A2084"/>
    <w:rsid w:val="008A2158"/>
    <w:rsid w:val="008A2417"/>
    <w:rsid w:val="008A2A77"/>
    <w:rsid w:val="008A4055"/>
    <w:rsid w:val="008A5DAD"/>
    <w:rsid w:val="008A5F6E"/>
    <w:rsid w:val="008A61CF"/>
    <w:rsid w:val="008A6461"/>
    <w:rsid w:val="008A647C"/>
    <w:rsid w:val="008A67B4"/>
    <w:rsid w:val="008A74B9"/>
    <w:rsid w:val="008A7DAA"/>
    <w:rsid w:val="008B083E"/>
    <w:rsid w:val="008B0944"/>
    <w:rsid w:val="008B1839"/>
    <w:rsid w:val="008B219D"/>
    <w:rsid w:val="008B2438"/>
    <w:rsid w:val="008B2C2E"/>
    <w:rsid w:val="008B2E4C"/>
    <w:rsid w:val="008B3419"/>
    <w:rsid w:val="008B3485"/>
    <w:rsid w:val="008B3576"/>
    <w:rsid w:val="008B3688"/>
    <w:rsid w:val="008B376D"/>
    <w:rsid w:val="008B3907"/>
    <w:rsid w:val="008B4498"/>
    <w:rsid w:val="008B4782"/>
    <w:rsid w:val="008B4971"/>
    <w:rsid w:val="008B4E89"/>
    <w:rsid w:val="008B54A3"/>
    <w:rsid w:val="008B584B"/>
    <w:rsid w:val="008B6956"/>
    <w:rsid w:val="008B6C9F"/>
    <w:rsid w:val="008B737C"/>
    <w:rsid w:val="008B7598"/>
    <w:rsid w:val="008B7841"/>
    <w:rsid w:val="008B78A7"/>
    <w:rsid w:val="008B7A40"/>
    <w:rsid w:val="008C0189"/>
    <w:rsid w:val="008C0AD4"/>
    <w:rsid w:val="008C184A"/>
    <w:rsid w:val="008C2121"/>
    <w:rsid w:val="008C254D"/>
    <w:rsid w:val="008C2E79"/>
    <w:rsid w:val="008C407C"/>
    <w:rsid w:val="008C50BC"/>
    <w:rsid w:val="008C5607"/>
    <w:rsid w:val="008C7054"/>
    <w:rsid w:val="008C78A9"/>
    <w:rsid w:val="008C7BE3"/>
    <w:rsid w:val="008D0BC3"/>
    <w:rsid w:val="008D1115"/>
    <w:rsid w:val="008D180B"/>
    <w:rsid w:val="008D19E9"/>
    <w:rsid w:val="008D1AB9"/>
    <w:rsid w:val="008D214E"/>
    <w:rsid w:val="008D21F2"/>
    <w:rsid w:val="008D2932"/>
    <w:rsid w:val="008D2B12"/>
    <w:rsid w:val="008D339B"/>
    <w:rsid w:val="008D3BBC"/>
    <w:rsid w:val="008D3C63"/>
    <w:rsid w:val="008D3EB5"/>
    <w:rsid w:val="008D4031"/>
    <w:rsid w:val="008D4C57"/>
    <w:rsid w:val="008D4C85"/>
    <w:rsid w:val="008D4CFF"/>
    <w:rsid w:val="008D54F7"/>
    <w:rsid w:val="008D5BAC"/>
    <w:rsid w:val="008D5C7F"/>
    <w:rsid w:val="008D5CD0"/>
    <w:rsid w:val="008D66FC"/>
    <w:rsid w:val="008D678B"/>
    <w:rsid w:val="008D685A"/>
    <w:rsid w:val="008D6C41"/>
    <w:rsid w:val="008D6DCE"/>
    <w:rsid w:val="008D7524"/>
    <w:rsid w:val="008D7544"/>
    <w:rsid w:val="008D77FB"/>
    <w:rsid w:val="008D7CED"/>
    <w:rsid w:val="008E0C14"/>
    <w:rsid w:val="008E2375"/>
    <w:rsid w:val="008E23D3"/>
    <w:rsid w:val="008E2A3D"/>
    <w:rsid w:val="008E3A4F"/>
    <w:rsid w:val="008E4359"/>
    <w:rsid w:val="008E43DF"/>
    <w:rsid w:val="008E47DB"/>
    <w:rsid w:val="008E4EEC"/>
    <w:rsid w:val="008E54E8"/>
    <w:rsid w:val="008E559D"/>
    <w:rsid w:val="008E57DD"/>
    <w:rsid w:val="008E5CED"/>
    <w:rsid w:val="008E6331"/>
    <w:rsid w:val="008E6DA6"/>
    <w:rsid w:val="008E6F63"/>
    <w:rsid w:val="008F044B"/>
    <w:rsid w:val="008F0625"/>
    <w:rsid w:val="008F065D"/>
    <w:rsid w:val="008F08B9"/>
    <w:rsid w:val="008F0F25"/>
    <w:rsid w:val="008F1622"/>
    <w:rsid w:val="008F1CA2"/>
    <w:rsid w:val="008F1E39"/>
    <w:rsid w:val="008F1FA8"/>
    <w:rsid w:val="008F2288"/>
    <w:rsid w:val="008F2462"/>
    <w:rsid w:val="008F28F3"/>
    <w:rsid w:val="008F36DC"/>
    <w:rsid w:val="008F4294"/>
    <w:rsid w:val="008F4C12"/>
    <w:rsid w:val="008F59F9"/>
    <w:rsid w:val="008F68D9"/>
    <w:rsid w:val="008F7AEE"/>
    <w:rsid w:val="009001A2"/>
    <w:rsid w:val="00900510"/>
    <w:rsid w:val="00900515"/>
    <w:rsid w:val="009011DC"/>
    <w:rsid w:val="00901BDF"/>
    <w:rsid w:val="00901E0B"/>
    <w:rsid w:val="009030FB"/>
    <w:rsid w:val="009056DB"/>
    <w:rsid w:val="00906015"/>
    <w:rsid w:val="00907068"/>
    <w:rsid w:val="0090768C"/>
    <w:rsid w:val="00907D5D"/>
    <w:rsid w:val="00907EC7"/>
    <w:rsid w:val="00910B6E"/>
    <w:rsid w:val="00910DCD"/>
    <w:rsid w:val="00910E54"/>
    <w:rsid w:val="0091241E"/>
    <w:rsid w:val="00913339"/>
    <w:rsid w:val="00913790"/>
    <w:rsid w:val="00913930"/>
    <w:rsid w:val="00913A49"/>
    <w:rsid w:val="00914013"/>
    <w:rsid w:val="009145EC"/>
    <w:rsid w:val="00914A11"/>
    <w:rsid w:val="00914DE9"/>
    <w:rsid w:val="00914E29"/>
    <w:rsid w:val="00914FB1"/>
    <w:rsid w:val="00916312"/>
    <w:rsid w:val="009165D3"/>
    <w:rsid w:val="009168F3"/>
    <w:rsid w:val="00916F41"/>
    <w:rsid w:val="00917166"/>
    <w:rsid w:val="009173F2"/>
    <w:rsid w:val="00917E10"/>
    <w:rsid w:val="009205A8"/>
    <w:rsid w:val="0092093C"/>
    <w:rsid w:val="00920990"/>
    <w:rsid w:val="009217A8"/>
    <w:rsid w:val="009221E3"/>
    <w:rsid w:val="009228AD"/>
    <w:rsid w:val="00923556"/>
    <w:rsid w:val="0092379C"/>
    <w:rsid w:val="00923A0D"/>
    <w:rsid w:val="00923DA4"/>
    <w:rsid w:val="009242B8"/>
    <w:rsid w:val="00924366"/>
    <w:rsid w:val="009245AE"/>
    <w:rsid w:val="009257A6"/>
    <w:rsid w:val="009263F3"/>
    <w:rsid w:val="009270AF"/>
    <w:rsid w:val="0092717C"/>
    <w:rsid w:val="0092726B"/>
    <w:rsid w:val="0093017E"/>
    <w:rsid w:val="00930A23"/>
    <w:rsid w:val="009312DC"/>
    <w:rsid w:val="00931B1C"/>
    <w:rsid w:val="009323A8"/>
    <w:rsid w:val="0093283A"/>
    <w:rsid w:val="00933422"/>
    <w:rsid w:val="009339F8"/>
    <w:rsid w:val="00933B84"/>
    <w:rsid w:val="009342DD"/>
    <w:rsid w:val="009346E1"/>
    <w:rsid w:val="00934A15"/>
    <w:rsid w:val="00935310"/>
    <w:rsid w:val="00935C84"/>
    <w:rsid w:val="00935D11"/>
    <w:rsid w:val="00936204"/>
    <w:rsid w:val="0093622A"/>
    <w:rsid w:val="009368F7"/>
    <w:rsid w:val="00936A63"/>
    <w:rsid w:val="00937E58"/>
    <w:rsid w:val="009406F2"/>
    <w:rsid w:val="00940D38"/>
    <w:rsid w:val="00940D61"/>
    <w:rsid w:val="00940D87"/>
    <w:rsid w:val="009424CA"/>
    <w:rsid w:val="0094298C"/>
    <w:rsid w:val="00942B6A"/>
    <w:rsid w:val="009436E7"/>
    <w:rsid w:val="00943C34"/>
    <w:rsid w:val="00944537"/>
    <w:rsid w:val="00946B31"/>
    <w:rsid w:val="00947699"/>
    <w:rsid w:val="009477C6"/>
    <w:rsid w:val="00947E2F"/>
    <w:rsid w:val="00950F68"/>
    <w:rsid w:val="00951841"/>
    <w:rsid w:val="00951AB7"/>
    <w:rsid w:val="00951C0B"/>
    <w:rsid w:val="00951F9B"/>
    <w:rsid w:val="00953133"/>
    <w:rsid w:val="009531D1"/>
    <w:rsid w:val="009548B0"/>
    <w:rsid w:val="009548D5"/>
    <w:rsid w:val="00955160"/>
    <w:rsid w:val="00955BF2"/>
    <w:rsid w:val="00955EF8"/>
    <w:rsid w:val="00956384"/>
    <w:rsid w:val="00956983"/>
    <w:rsid w:val="0095731A"/>
    <w:rsid w:val="0095764A"/>
    <w:rsid w:val="00957929"/>
    <w:rsid w:val="00957DD0"/>
    <w:rsid w:val="0096150F"/>
    <w:rsid w:val="009618C9"/>
    <w:rsid w:val="00961C5F"/>
    <w:rsid w:val="00961F87"/>
    <w:rsid w:val="009638D3"/>
    <w:rsid w:val="00963E28"/>
    <w:rsid w:val="00964575"/>
    <w:rsid w:val="0096467D"/>
    <w:rsid w:val="00964870"/>
    <w:rsid w:val="00964C15"/>
    <w:rsid w:val="00965BC2"/>
    <w:rsid w:val="009668AA"/>
    <w:rsid w:val="009678D4"/>
    <w:rsid w:val="00967C96"/>
    <w:rsid w:val="00970E6A"/>
    <w:rsid w:val="009713BE"/>
    <w:rsid w:val="0097154D"/>
    <w:rsid w:val="00971E23"/>
    <w:rsid w:val="00973114"/>
    <w:rsid w:val="00973137"/>
    <w:rsid w:val="00973587"/>
    <w:rsid w:val="0097394D"/>
    <w:rsid w:val="00974379"/>
    <w:rsid w:val="00974915"/>
    <w:rsid w:val="00974BB4"/>
    <w:rsid w:val="009761E6"/>
    <w:rsid w:val="0097653C"/>
    <w:rsid w:val="0097679F"/>
    <w:rsid w:val="0097751C"/>
    <w:rsid w:val="009804B6"/>
    <w:rsid w:val="00981A5B"/>
    <w:rsid w:val="00981CB9"/>
    <w:rsid w:val="0098237A"/>
    <w:rsid w:val="00982DB4"/>
    <w:rsid w:val="009836C1"/>
    <w:rsid w:val="009837E0"/>
    <w:rsid w:val="009844A8"/>
    <w:rsid w:val="009845FF"/>
    <w:rsid w:val="00984DD2"/>
    <w:rsid w:val="00984E8E"/>
    <w:rsid w:val="00986497"/>
    <w:rsid w:val="00987819"/>
    <w:rsid w:val="00987975"/>
    <w:rsid w:val="009902BE"/>
    <w:rsid w:val="0099074E"/>
    <w:rsid w:val="00990CBB"/>
    <w:rsid w:val="0099169A"/>
    <w:rsid w:val="00992132"/>
    <w:rsid w:val="00992148"/>
    <w:rsid w:val="00992B9B"/>
    <w:rsid w:val="009940A7"/>
    <w:rsid w:val="00994767"/>
    <w:rsid w:val="00994922"/>
    <w:rsid w:val="0099541F"/>
    <w:rsid w:val="009958D9"/>
    <w:rsid w:val="009964E8"/>
    <w:rsid w:val="009968AC"/>
    <w:rsid w:val="009978BC"/>
    <w:rsid w:val="00997A74"/>
    <w:rsid w:val="009A00E5"/>
    <w:rsid w:val="009A03A1"/>
    <w:rsid w:val="009A042F"/>
    <w:rsid w:val="009A2289"/>
    <w:rsid w:val="009A2450"/>
    <w:rsid w:val="009A2ED3"/>
    <w:rsid w:val="009A5AFC"/>
    <w:rsid w:val="009A70F0"/>
    <w:rsid w:val="009A7139"/>
    <w:rsid w:val="009A73B3"/>
    <w:rsid w:val="009A780A"/>
    <w:rsid w:val="009B07F0"/>
    <w:rsid w:val="009B1AE5"/>
    <w:rsid w:val="009B1F6F"/>
    <w:rsid w:val="009B20B5"/>
    <w:rsid w:val="009B34B3"/>
    <w:rsid w:val="009B473B"/>
    <w:rsid w:val="009B5058"/>
    <w:rsid w:val="009B5872"/>
    <w:rsid w:val="009B5ACD"/>
    <w:rsid w:val="009B5F3C"/>
    <w:rsid w:val="009B6840"/>
    <w:rsid w:val="009B6996"/>
    <w:rsid w:val="009B72F9"/>
    <w:rsid w:val="009B7662"/>
    <w:rsid w:val="009B7881"/>
    <w:rsid w:val="009B7C0F"/>
    <w:rsid w:val="009B7E67"/>
    <w:rsid w:val="009C0D9C"/>
    <w:rsid w:val="009C0DF5"/>
    <w:rsid w:val="009C132F"/>
    <w:rsid w:val="009C1D36"/>
    <w:rsid w:val="009C1EEE"/>
    <w:rsid w:val="009C422C"/>
    <w:rsid w:val="009C4400"/>
    <w:rsid w:val="009C4891"/>
    <w:rsid w:val="009C48AB"/>
    <w:rsid w:val="009C5077"/>
    <w:rsid w:val="009C511E"/>
    <w:rsid w:val="009C537A"/>
    <w:rsid w:val="009C56B9"/>
    <w:rsid w:val="009C5713"/>
    <w:rsid w:val="009C5CA8"/>
    <w:rsid w:val="009C61DA"/>
    <w:rsid w:val="009C6206"/>
    <w:rsid w:val="009C6FE3"/>
    <w:rsid w:val="009C75E0"/>
    <w:rsid w:val="009C7628"/>
    <w:rsid w:val="009D00CA"/>
    <w:rsid w:val="009D0986"/>
    <w:rsid w:val="009D0C72"/>
    <w:rsid w:val="009D0F14"/>
    <w:rsid w:val="009D0F8D"/>
    <w:rsid w:val="009D1741"/>
    <w:rsid w:val="009D17B1"/>
    <w:rsid w:val="009D2400"/>
    <w:rsid w:val="009D298B"/>
    <w:rsid w:val="009D2F5B"/>
    <w:rsid w:val="009D3B2D"/>
    <w:rsid w:val="009D48C7"/>
    <w:rsid w:val="009D48F7"/>
    <w:rsid w:val="009D5AE6"/>
    <w:rsid w:val="009D6040"/>
    <w:rsid w:val="009D6F46"/>
    <w:rsid w:val="009D78EF"/>
    <w:rsid w:val="009E02F6"/>
    <w:rsid w:val="009E09D4"/>
    <w:rsid w:val="009E0F89"/>
    <w:rsid w:val="009E13BA"/>
    <w:rsid w:val="009E26E8"/>
    <w:rsid w:val="009E27E2"/>
    <w:rsid w:val="009E2DED"/>
    <w:rsid w:val="009E3058"/>
    <w:rsid w:val="009E37BF"/>
    <w:rsid w:val="009E3F7E"/>
    <w:rsid w:val="009E4582"/>
    <w:rsid w:val="009E4C9D"/>
    <w:rsid w:val="009E4D08"/>
    <w:rsid w:val="009E514D"/>
    <w:rsid w:val="009E5300"/>
    <w:rsid w:val="009E54A5"/>
    <w:rsid w:val="009E5506"/>
    <w:rsid w:val="009E5787"/>
    <w:rsid w:val="009E597B"/>
    <w:rsid w:val="009E615A"/>
    <w:rsid w:val="009E6828"/>
    <w:rsid w:val="009E6E5F"/>
    <w:rsid w:val="009F03F1"/>
    <w:rsid w:val="009F0617"/>
    <w:rsid w:val="009F1608"/>
    <w:rsid w:val="009F180A"/>
    <w:rsid w:val="009F2DBD"/>
    <w:rsid w:val="009F2ED0"/>
    <w:rsid w:val="009F2EF9"/>
    <w:rsid w:val="009F2F7D"/>
    <w:rsid w:val="009F34B9"/>
    <w:rsid w:val="009F3503"/>
    <w:rsid w:val="009F3543"/>
    <w:rsid w:val="009F3F59"/>
    <w:rsid w:val="009F4E2C"/>
    <w:rsid w:val="009F631B"/>
    <w:rsid w:val="009F6E61"/>
    <w:rsid w:val="009F70C1"/>
    <w:rsid w:val="009F73AF"/>
    <w:rsid w:val="009F7440"/>
    <w:rsid w:val="009F7AB2"/>
    <w:rsid w:val="009F7E84"/>
    <w:rsid w:val="00A004EB"/>
    <w:rsid w:val="00A006CA"/>
    <w:rsid w:val="00A00DEC"/>
    <w:rsid w:val="00A01169"/>
    <w:rsid w:val="00A0137D"/>
    <w:rsid w:val="00A0160A"/>
    <w:rsid w:val="00A01D20"/>
    <w:rsid w:val="00A035FA"/>
    <w:rsid w:val="00A03E4A"/>
    <w:rsid w:val="00A03F1F"/>
    <w:rsid w:val="00A04B47"/>
    <w:rsid w:val="00A04DB3"/>
    <w:rsid w:val="00A04F50"/>
    <w:rsid w:val="00A053DD"/>
    <w:rsid w:val="00A05D71"/>
    <w:rsid w:val="00A06A93"/>
    <w:rsid w:val="00A07C9C"/>
    <w:rsid w:val="00A07D3A"/>
    <w:rsid w:val="00A105B8"/>
    <w:rsid w:val="00A11179"/>
    <w:rsid w:val="00A1129C"/>
    <w:rsid w:val="00A12ACA"/>
    <w:rsid w:val="00A132ED"/>
    <w:rsid w:val="00A1349D"/>
    <w:rsid w:val="00A138A0"/>
    <w:rsid w:val="00A13E4A"/>
    <w:rsid w:val="00A14B7F"/>
    <w:rsid w:val="00A1556C"/>
    <w:rsid w:val="00A157C9"/>
    <w:rsid w:val="00A15AE0"/>
    <w:rsid w:val="00A15C1B"/>
    <w:rsid w:val="00A165E4"/>
    <w:rsid w:val="00A16629"/>
    <w:rsid w:val="00A167AF"/>
    <w:rsid w:val="00A16999"/>
    <w:rsid w:val="00A16C87"/>
    <w:rsid w:val="00A1731A"/>
    <w:rsid w:val="00A17528"/>
    <w:rsid w:val="00A1780B"/>
    <w:rsid w:val="00A17BC8"/>
    <w:rsid w:val="00A20B39"/>
    <w:rsid w:val="00A2125A"/>
    <w:rsid w:val="00A21282"/>
    <w:rsid w:val="00A21B52"/>
    <w:rsid w:val="00A22305"/>
    <w:rsid w:val="00A224D5"/>
    <w:rsid w:val="00A2263D"/>
    <w:rsid w:val="00A22A43"/>
    <w:rsid w:val="00A22B0B"/>
    <w:rsid w:val="00A24612"/>
    <w:rsid w:val="00A247ED"/>
    <w:rsid w:val="00A24FC8"/>
    <w:rsid w:val="00A2626E"/>
    <w:rsid w:val="00A268D0"/>
    <w:rsid w:val="00A3020F"/>
    <w:rsid w:val="00A3063B"/>
    <w:rsid w:val="00A32204"/>
    <w:rsid w:val="00A3268E"/>
    <w:rsid w:val="00A329C5"/>
    <w:rsid w:val="00A32CA4"/>
    <w:rsid w:val="00A3311A"/>
    <w:rsid w:val="00A33C25"/>
    <w:rsid w:val="00A34226"/>
    <w:rsid w:val="00A34524"/>
    <w:rsid w:val="00A345CA"/>
    <w:rsid w:val="00A3462B"/>
    <w:rsid w:val="00A3474D"/>
    <w:rsid w:val="00A352CA"/>
    <w:rsid w:val="00A35B3C"/>
    <w:rsid w:val="00A35E12"/>
    <w:rsid w:val="00A36592"/>
    <w:rsid w:val="00A37600"/>
    <w:rsid w:val="00A405E8"/>
    <w:rsid w:val="00A40B74"/>
    <w:rsid w:val="00A41258"/>
    <w:rsid w:val="00A415FA"/>
    <w:rsid w:val="00A41968"/>
    <w:rsid w:val="00A419D9"/>
    <w:rsid w:val="00A421C1"/>
    <w:rsid w:val="00A42F61"/>
    <w:rsid w:val="00A431AE"/>
    <w:rsid w:val="00A438C1"/>
    <w:rsid w:val="00A43A24"/>
    <w:rsid w:val="00A43A2F"/>
    <w:rsid w:val="00A43B10"/>
    <w:rsid w:val="00A43DBD"/>
    <w:rsid w:val="00A44259"/>
    <w:rsid w:val="00A443F9"/>
    <w:rsid w:val="00A44448"/>
    <w:rsid w:val="00A450AC"/>
    <w:rsid w:val="00A4523F"/>
    <w:rsid w:val="00A456F5"/>
    <w:rsid w:val="00A467A6"/>
    <w:rsid w:val="00A4725C"/>
    <w:rsid w:val="00A47334"/>
    <w:rsid w:val="00A47F52"/>
    <w:rsid w:val="00A5093F"/>
    <w:rsid w:val="00A50E6D"/>
    <w:rsid w:val="00A50F15"/>
    <w:rsid w:val="00A5216D"/>
    <w:rsid w:val="00A52357"/>
    <w:rsid w:val="00A525C8"/>
    <w:rsid w:val="00A531B0"/>
    <w:rsid w:val="00A544CD"/>
    <w:rsid w:val="00A54DD6"/>
    <w:rsid w:val="00A54E6F"/>
    <w:rsid w:val="00A55387"/>
    <w:rsid w:val="00A5571C"/>
    <w:rsid w:val="00A55D11"/>
    <w:rsid w:val="00A561D0"/>
    <w:rsid w:val="00A56BC8"/>
    <w:rsid w:val="00A56CF1"/>
    <w:rsid w:val="00A57AC2"/>
    <w:rsid w:val="00A60825"/>
    <w:rsid w:val="00A60B85"/>
    <w:rsid w:val="00A60FAC"/>
    <w:rsid w:val="00A61D26"/>
    <w:rsid w:val="00A62CD0"/>
    <w:rsid w:val="00A62D92"/>
    <w:rsid w:val="00A6310F"/>
    <w:rsid w:val="00A63C3E"/>
    <w:rsid w:val="00A63D0F"/>
    <w:rsid w:val="00A65B89"/>
    <w:rsid w:val="00A65DC0"/>
    <w:rsid w:val="00A66046"/>
    <w:rsid w:val="00A66B3E"/>
    <w:rsid w:val="00A67478"/>
    <w:rsid w:val="00A67CF1"/>
    <w:rsid w:val="00A67CFF"/>
    <w:rsid w:val="00A70E97"/>
    <w:rsid w:val="00A7153F"/>
    <w:rsid w:val="00A71901"/>
    <w:rsid w:val="00A72DFD"/>
    <w:rsid w:val="00A732B2"/>
    <w:rsid w:val="00A74AF5"/>
    <w:rsid w:val="00A74F58"/>
    <w:rsid w:val="00A750AA"/>
    <w:rsid w:val="00A752E7"/>
    <w:rsid w:val="00A755BE"/>
    <w:rsid w:val="00A77720"/>
    <w:rsid w:val="00A77DF4"/>
    <w:rsid w:val="00A77DFB"/>
    <w:rsid w:val="00A804DE"/>
    <w:rsid w:val="00A81A47"/>
    <w:rsid w:val="00A8227B"/>
    <w:rsid w:val="00A827C2"/>
    <w:rsid w:val="00A82987"/>
    <w:rsid w:val="00A83A15"/>
    <w:rsid w:val="00A84039"/>
    <w:rsid w:val="00A842DF"/>
    <w:rsid w:val="00A84A2D"/>
    <w:rsid w:val="00A8651A"/>
    <w:rsid w:val="00A8666D"/>
    <w:rsid w:val="00A8684C"/>
    <w:rsid w:val="00A87172"/>
    <w:rsid w:val="00A8751F"/>
    <w:rsid w:val="00A87533"/>
    <w:rsid w:val="00A9036B"/>
    <w:rsid w:val="00A91536"/>
    <w:rsid w:val="00A91880"/>
    <w:rsid w:val="00A9190E"/>
    <w:rsid w:val="00A91B75"/>
    <w:rsid w:val="00A91B7F"/>
    <w:rsid w:val="00A91CE8"/>
    <w:rsid w:val="00A92156"/>
    <w:rsid w:val="00A93431"/>
    <w:rsid w:val="00A9359B"/>
    <w:rsid w:val="00A9377C"/>
    <w:rsid w:val="00A939AC"/>
    <w:rsid w:val="00A93C7C"/>
    <w:rsid w:val="00A93DB8"/>
    <w:rsid w:val="00A93E16"/>
    <w:rsid w:val="00A93E9B"/>
    <w:rsid w:val="00A93ECF"/>
    <w:rsid w:val="00A93FA1"/>
    <w:rsid w:val="00A948DB"/>
    <w:rsid w:val="00A94B3F"/>
    <w:rsid w:val="00A94DA2"/>
    <w:rsid w:val="00A95483"/>
    <w:rsid w:val="00A95795"/>
    <w:rsid w:val="00A96647"/>
    <w:rsid w:val="00A96B0F"/>
    <w:rsid w:val="00A9799A"/>
    <w:rsid w:val="00A97C1B"/>
    <w:rsid w:val="00A97C21"/>
    <w:rsid w:val="00AA02C5"/>
    <w:rsid w:val="00AA1D16"/>
    <w:rsid w:val="00AA24DA"/>
    <w:rsid w:val="00AA340E"/>
    <w:rsid w:val="00AA364A"/>
    <w:rsid w:val="00AA371A"/>
    <w:rsid w:val="00AA383A"/>
    <w:rsid w:val="00AA3BD5"/>
    <w:rsid w:val="00AA3E68"/>
    <w:rsid w:val="00AA4D88"/>
    <w:rsid w:val="00AA51DC"/>
    <w:rsid w:val="00AA5A2C"/>
    <w:rsid w:val="00AA63A7"/>
    <w:rsid w:val="00AA6972"/>
    <w:rsid w:val="00AA6B0E"/>
    <w:rsid w:val="00AA6E42"/>
    <w:rsid w:val="00AA75DD"/>
    <w:rsid w:val="00AB0547"/>
    <w:rsid w:val="00AB0603"/>
    <w:rsid w:val="00AB08C7"/>
    <w:rsid w:val="00AB0E89"/>
    <w:rsid w:val="00AB16D8"/>
    <w:rsid w:val="00AB30AC"/>
    <w:rsid w:val="00AB4191"/>
    <w:rsid w:val="00AB499D"/>
    <w:rsid w:val="00AB4BA5"/>
    <w:rsid w:val="00AB4E48"/>
    <w:rsid w:val="00AB4FC2"/>
    <w:rsid w:val="00AB5022"/>
    <w:rsid w:val="00AB51BB"/>
    <w:rsid w:val="00AB576A"/>
    <w:rsid w:val="00AB5D29"/>
    <w:rsid w:val="00AB61F5"/>
    <w:rsid w:val="00AC014C"/>
    <w:rsid w:val="00AC079B"/>
    <w:rsid w:val="00AC0B79"/>
    <w:rsid w:val="00AC0EB3"/>
    <w:rsid w:val="00AC0FF1"/>
    <w:rsid w:val="00AC1608"/>
    <w:rsid w:val="00AC1697"/>
    <w:rsid w:val="00AC20B5"/>
    <w:rsid w:val="00AC2532"/>
    <w:rsid w:val="00AC2A2F"/>
    <w:rsid w:val="00AC2F54"/>
    <w:rsid w:val="00AC32E4"/>
    <w:rsid w:val="00AC3721"/>
    <w:rsid w:val="00AC3BA5"/>
    <w:rsid w:val="00AC3D16"/>
    <w:rsid w:val="00AC4C53"/>
    <w:rsid w:val="00AC4D59"/>
    <w:rsid w:val="00AC50B1"/>
    <w:rsid w:val="00AC5381"/>
    <w:rsid w:val="00AC557E"/>
    <w:rsid w:val="00AC561D"/>
    <w:rsid w:val="00AC5B4F"/>
    <w:rsid w:val="00AC5BA6"/>
    <w:rsid w:val="00AC6D87"/>
    <w:rsid w:val="00AD0C52"/>
    <w:rsid w:val="00AD114B"/>
    <w:rsid w:val="00AD1479"/>
    <w:rsid w:val="00AD15FC"/>
    <w:rsid w:val="00AD1A73"/>
    <w:rsid w:val="00AD295D"/>
    <w:rsid w:val="00AD2A44"/>
    <w:rsid w:val="00AD2C52"/>
    <w:rsid w:val="00AD2EBD"/>
    <w:rsid w:val="00AD30D7"/>
    <w:rsid w:val="00AD3234"/>
    <w:rsid w:val="00AD3A3E"/>
    <w:rsid w:val="00AD4610"/>
    <w:rsid w:val="00AD4A3C"/>
    <w:rsid w:val="00AD502A"/>
    <w:rsid w:val="00AD516E"/>
    <w:rsid w:val="00AD5848"/>
    <w:rsid w:val="00AD65AB"/>
    <w:rsid w:val="00AD6A8B"/>
    <w:rsid w:val="00AD6C5C"/>
    <w:rsid w:val="00AD6FBB"/>
    <w:rsid w:val="00AD7118"/>
    <w:rsid w:val="00AD7127"/>
    <w:rsid w:val="00AD7C64"/>
    <w:rsid w:val="00AD7DA1"/>
    <w:rsid w:val="00AE03EB"/>
    <w:rsid w:val="00AE04BC"/>
    <w:rsid w:val="00AE0C81"/>
    <w:rsid w:val="00AE0F70"/>
    <w:rsid w:val="00AE0FFB"/>
    <w:rsid w:val="00AE1AEB"/>
    <w:rsid w:val="00AE29A3"/>
    <w:rsid w:val="00AE2F08"/>
    <w:rsid w:val="00AE3144"/>
    <w:rsid w:val="00AE35AC"/>
    <w:rsid w:val="00AE3BC4"/>
    <w:rsid w:val="00AE4190"/>
    <w:rsid w:val="00AE45A9"/>
    <w:rsid w:val="00AE4AA9"/>
    <w:rsid w:val="00AE4C89"/>
    <w:rsid w:val="00AE6B2A"/>
    <w:rsid w:val="00AE6F1C"/>
    <w:rsid w:val="00AE7312"/>
    <w:rsid w:val="00AE7D97"/>
    <w:rsid w:val="00AE7E57"/>
    <w:rsid w:val="00AF00CE"/>
    <w:rsid w:val="00AF03A6"/>
    <w:rsid w:val="00AF1E6A"/>
    <w:rsid w:val="00AF249C"/>
    <w:rsid w:val="00AF25BE"/>
    <w:rsid w:val="00AF28C4"/>
    <w:rsid w:val="00AF2EB0"/>
    <w:rsid w:val="00AF388B"/>
    <w:rsid w:val="00AF45BA"/>
    <w:rsid w:val="00AF4918"/>
    <w:rsid w:val="00AF5B9C"/>
    <w:rsid w:val="00AF5CFE"/>
    <w:rsid w:val="00AF6270"/>
    <w:rsid w:val="00AF62E1"/>
    <w:rsid w:val="00AF659E"/>
    <w:rsid w:val="00AF6F83"/>
    <w:rsid w:val="00AF70C9"/>
    <w:rsid w:val="00AF7541"/>
    <w:rsid w:val="00AF79BF"/>
    <w:rsid w:val="00AF7DC4"/>
    <w:rsid w:val="00B00395"/>
    <w:rsid w:val="00B00474"/>
    <w:rsid w:val="00B004EE"/>
    <w:rsid w:val="00B00901"/>
    <w:rsid w:val="00B01240"/>
    <w:rsid w:val="00B01837"/>
    <w:rsid w:val="00B01BC6"/>
    <w:rsid w:val="00B01C13"/>
    <w:rsid w:val="00B02407"/>
    <w:rsid w:val="00B0277A"/>
    <w:rsid w:val="00B02E2B"/>
    <w:rsid w:val="00B03725"/>
    <w:rsid w:val="00B04374"/>
    <w:rsid w:val="00B046B5"/>
    <w:rsid w:val="00B048CF"/>
    <w:rsid w:val="00B04E19"/>
    <w:rsid w:val="00B053E4"/>
    <w:rsid w:val="00B05E97"/>
    <w:rsid w:val="00B06356"/>
    <w:rsid w:val="00B066D5"/>
    <w:rsid w:val="00B06A5A"/>
    <w:rsid w:val="00B07F66"/>
    <w:rsid w:val="00B10B66"/>
    <w:rsid w:val="00B117F5"/>
    <w:rsid w:val="00B119EC"/>
    <w:rsid w:val="00B11AA4"/>
    <w:rsid w:val="00B11B29"/>
    <w:rsid w:val="00B11C28"/>
    <w:rsid w:val="00B12354"/>
    <w:rsid w:val="00B12907"/>
    <w:rsid w:val="00B12A94"/>
    <w:rsid w:val="00B1368A"/>
    <w:rsid w:val="00B14683"/>
    <w:rsid w:val="00B159F2"/>
    <w:rsid w:val="00B16023"/>
    <w:rsid w:val="00B16276"/>
    <w:rsid w:val="00B162EF"/>
    <w:rsid w:val="00B16B72"/>
    <w:rsid w:val="00B174E1"/>
    <w:rsid w:val="00B178A8"/>
    <w:rsid w:val="00B17D5B"/>
    <w:rsid w:val="00B17FDB"/>
    <w:rsid w:val="00B2158E"/>
    <w:rsid w:val="00B217DD"/>
    <w:rsid w:val="00B21DD6"/>
    <w:rsid w:val="00B22209"/>
    <w:rsid w:val="00B22801"/>
    <w:rsid w:val="00B229BF"/>
    <w:rsid w:val="00B22B02"/>
    <w:rsid w:val="00B22D13"/>
    <w:rsid w:val="00B2332C"/>
    <w:rsid w:val="00B23693"/>
    <w:rsid w:val="00B239A2"/>
    <w:rsid w:val="00B23AED"/>
    <w:rsid w:val="00B243D8"/>
    <w:rsid w:val="00B2461B"/>
    <w:rsid w:val="00B2467E"/>
    <w:rsid w:val="00B260EF"/>
    <w:rsid w:val="00B26863"/>
    <w:rsid w:val="00B26933"/>
    <w:rsid w:val="00B26D2C"/>
    <w:rsid w:val="00B26E5A"/>
    <w:rsid w:val="00B26F2D"/>
    <w:rsid w:val="00B2709E"/>
    <w:rsid w:val="00B27922"/>
    <w:rsid w:val="00B30019"/>
    <w:rsid w:val="00B31351"/>
    <w:rsid w:val="00B3144F"/>
    <w:rsid w:val="00B31E32"/>
    <w:rsid w:val="00B32A3C"/>
    <w:rsid w:val="00B32D88"/>
    <w:rsid w:val="00B3373A"/>
    <w:rsid w:val="00B3400B"/>
    <w:rsid w:val="00B35A44"/>
    <w:rsid w:val="00B36C66"/>
    <w:rsid w:val="00B36D22"/>
    <w:rsid w:val="00B378E8"/>
    <w:rsid w:val="00B37902"/>
    <w:rsid w:val="00B40B8D"/>
    <w:rsid w:val="00B40EBF"/>
    <w:rsid w:val="00B428AF"/>
    <w:rsid w:val="00B42F24"/>
    <w:rsid w:val="00B438E1"/>
    <w:rsid w:val="00B43F3E"/>
    <w:rsid w:val="00B44381"/>
    <w:rsid w:val="00B443B3"/>
    <w:rsid w:val="00B44B7C"/>
    <w:rsid w:val="00B45847"/>
    <w:rsid w:val="00B45FAB"/>
    <w:rsid w:val="00B462BB"/>
    <w:rsid w:val="00B465BE"/>
    <w:rsid w:val="00B466C3"/>
    <w:rsid w:val="00B468DF"/>
    <w:rsid w:val="00B4731B"/>
    <w:rsid w:val="00B47389"/>
    <w:rsid w:val="00B47AD8"/>
    <w:rsid w:val="00B47B79"/>
    <w:rsid w:val="00B5013D"/>
    <w:rsid w:val="00B504B8"/>
    <w:rsid w:val="00B50D32"/>
    <w:rsid w:val="00B50F95"/>
    <w:rsid w:val="00B5182D"/>
    <w:rsid w:val="00B52005"/>
    <w:rsid w:val="00B52103"/>
    <w:rsid w:val="00B52DDF"/>
    <w:rsid w:val="00B53ECE"/>
    <w:rsid w:val="00B5474B"/>
    <w:rsid w:val="00B55651"/>
    <w:rsid w:val="00B561F9"/>
    <w:rsid w:val="00B5626A"/>
    <w:rsid w:val="00B568C5"/>
    <w:rsid w:val="00B56A9D"/>
    <w:rsid w:val="00B56BE2"/>
    <w:rsid w:val="00B5723E"/>
    <w:rsid w:val="00B57A09"/>
    <w:rsid w:val="00B57D26"/>
    <w:rsid w:val="00B602DD"/>
    <w:rsid w:val="00B6079B"/>
    <w:rsid w:val="00B611B2"/>
    <w:rsid w:val="00B611F5"/>
    <w:rsid w:val="00B61944"/>
    <w:rsid w:val="00B6212F"/>
    <w:rsid w:val="00B62512"/>
    <w:rsid w:val="00B626A3"/>
    <w:rsid w:val="00B626B6"/>
    <w:rsid w:val="00B626B9"/>
    <w:rsid w:val="00B62F79"/>
    <w:rsid w:val="00B6355C"/>
    <w:rsid w:val="00B63C4D"/>
    <w:rsid w:val="00B63CAD"/>
    <w:rsid w:val="00B63D7C"/>
    <w:rsid w:val="00B64688"/>
    <w:rsid w:val="00B65D71"/>
    <w:rsid w:val="00B65F1E"/>
    <w:rsid w:val="00B66420"/>
    <w:rsid w:val="00B67234"/>
    <w:rsid w:val="00B673AB"/>
    <w:rsid w:val="00B674C2"/>
    <w:rsid w:val="00B72738"/>
    <w:rsid w:val="00B72927"/>
    <w:rsid w:val="00B72E41"/>
    <w:rsid w:val="00B7325D"/>
    <w:rsid w:val="00B73BE9"/>
    <w:rsid w:val="00B73C3A"/>
    <w:rsid w:val="00B73FFD"/>
    <w:rsid w:val="00B746D3"/>
    <w:rsid w:val="00B75FD9"/>
    <w:rsid w:val="00B76266"/>
    <w:rsid w:val="00B7666E"/>
    <w:rsid w:val="00B766C2"/>
    <w:rsid w:val="00B7678B"/>
    <w:rsid w:val="00B76D97"/>
    <w:rsid w:val="00B76E47"/>
    <w:rsid w:val="00B7793A"/>
    <w:rsid w:val="00B77B28"/>
    <w:rsid w:val="00B77D49"/>
    <w:rsid w:val="00B809AB"/>
    <w:rsid w:val="00B80CA3"/>
    <w:rsid w:val="00B811BB"/>
    <w:rsid w:val="00B814F2"/>
    <w:rsid w:val="00B82701"/>
    <w:rsid w:val="00B82D38"/>
    <w:rsid w:val="00B83E3C"/>
    <w:rsid w:val="00B85314"/>
    <w:rsid w:val="00B85416"/>
    <w:rsid w:val="00B8563F"/>
    <w:rsid w:val="00B86CF7"/>
    <w:rsid w:val="00B86EFF"/>
    <w:rsid w:val="00B87559"/>
    <w:rsid w:val="00B91C69"/>
    <w:rsid w:val="00B92CDB"/>
    <w:rsid w:val="00B92D4F"/>
    <w:rsid w:val="00B940B0"/>
    <w:rsid w:val="00B94858"/>
    <w:rsid w:val="00B9544A"/>
    <w:rsid w:val="00B96777"/>
    <w:rsid w:val="00B96E10"/>
    <w:rsid w:val="00B9771B"/>
    <w:rsid w:val="00B97CB9"/>
    <w:rsid w:val="00BA0098"/>
    <w:rsid w:val="00BA01F2"/>
    <w:rsid w:val="00BA0CF1"/>
    <w:rsid w:val="00BA0D31"/>
    <w:rsid w:val="00BA138A"/>
    <w:rsid w:val="00BA2166"/>
    <w:rsid w:val="00BA21FF"/>
    <w:rsid w:val="00BA226B"/>
    <w:rsid w:val="00BA2683"/>
    <w:rsid w:val="00BA3CA2"/>
    <w:rsid w:val="00BA4355"/>
    <w:rsid w:val="00BA4C13"/>
    <w:rsid w:val="00BA5345"/>
    <w:rsid w:val="00BA5B87"/>
    <w:rsid w:val="00BB0E97"/>
    <w:rsid w:val="00BB1461"/>
    <w:rsid w:val="00BB22BB"/>
    <w:rsid w:val="00BB24B3"/>
    <w:rsid w:val="00BB2873"/>
    <w:rsid w:val="00BB43E5"/>
    <w:rsid w:val="00BB5990"/>
    <w:rsid w:val="00BB5DE6"/>
    <w:rsid w:val="00BB6015"/>
    <w:rsid w:val="00BB699F"/>
    <w:rsid w:val="00BB7222"/>
    <w:rsid w:val="00BB7F0F"/>
    <w:rsid w:val="00BC06C6"/>
    <w:rsid w:val="00BC0AB4"/>
    <w:rsid w:val="00BC0EC2"/>
    <w:rsid w:val="00BC10A4"/>
    <w:rsid w:val="00BC1752"/>
    <w:rsid w:val="00BC1B71"/>
    <w:rsid w:val="00BC2257"/>
    <w:rsid w:val="00BC247C"/>
    <w:rsid w:val="00BC3512"/>
    <w:rsid w:val="00BC37EA"/>
    <w:rsid w:val="00BC4731"/>
    <w:rsid w:val="00BC4C64"/>
    <w:rsid w:val="00BC5C1B"/>
    <w:rsid w:val="00BC5DC1"/>
    <w:rsid w:val="00BC5E98"/>
    <w:rsid w:val="00BC6749"/>
    <w:rsid w:val="00BC7460"/>
    <w:rsid w:val="00BC7EB9"/>
    <w:rsid w:val="00BD066C"/>
    <w:rsid w:val="00BD0838"/>
    <w:rsid w:val="00BD16C4"/>
    <w:rsid w:val="00BD1F12"/>
    <w:rsid w:val="00BD3AC0"/>
    <w:rsid w:val="00BD3C92"/>
    <w:rsid w:val="00BD4541"/>
    <w:rsid w:val="00BD48DC"/>
    <w:rsid w:val="00BD4A22"/>
    <w:rsid w:val="00BD4E38"/>
    <w:rsid w:val="00BD4F37"/>
    <w:rsid w:val="00BD511B"/>
    <w:rsid w:val="00BD5433"/>
    <w:rsid w:val="00BD5A22"/>
    <w:rsid w:val="00BD60C6"/>
    <w:rsid w:val="00BD6115"/>
    <w:rsid w:val="00BD641A"/>
    <w:rsid w:val="00BD7594"/>
    <w:rsid w:val="00BD7931"/>
    <w:rsid w:val="00BE0D5B"/>
    <w:rsid w:val="00BE0E8E"/>
    <w:rsid w:val="00BE122F"/>
    <w:rsid w:val="00BE1611"/>
    <w:rsid w:val="00BE1ECE"/>
    <w:rsid w:val="00BE20F4"/>
    <w:rsid w:val="00BE2302"/>
    <w:rsid w:val="00BE258C"/>
    <w:rsid w:val="00BE33E6"/>
    <w:rsid w:val="00BE3544"/>
    <w:rsid w:val="00BE3B17"/>
    <w:rsid w:val="00BE4F63"/>
    <w:rsid w:val="00BE5390"/>
    <w:rsid w:val="00BE5F00"/>
    <w:rsid w:val="00BE6DA4"/>
    <w:rsid w:val="00BE6DBB"/>
    <w:rsid w:val="00BE7062"/>
    <w:rsid w:val="00BF008C"/>
    <w:rsid w:val="00BF01DE"/>
    <w:rsid w:val="00BF0226"/>
    <w:rsid w:val="00BF0710"/>
    <w:rsid w:val="00BF07D8"/>
    <w:rsid w:val="00BF0D9A"/>
    <w:rsid w:val="00BF15DB"/>
    <w:rsid w:val="00BF1787"/>
    <w:rsid w:val="00BF1FC0"/>
    <w:rsid w:val="00BF2A38"/>
    <w:rsid w:val="00BF2ACE"/>
    <w:rsid w:val="00BF2DF7"/>
    <w:rsid w:val="00BF2EC5"/>
    <w:rsid w:val="00BF3836"/>
    <w:rsid w:val="00BF423D"/>
    <w:rsid w:val="00BF45F9"/>
    <w:rsid w:val="00BF4A3A"/>
    <w:rsid w:val="00BF6BF1"/>
    <w:rsid w:val="00BF6EA6"/>
    <w:rsid w:val="00C008DB"/>
    <w:rsid w:val="00C00B02"/>
    <w:rsid w:val="00C01046"/>
    <w:rsid w:val="00C014FA"/>
    <w:rsid w:val="00C01D9F"/>
    <w:rsid w:val="00C01E65"/>
    <w:rsid w:val="00C02305"/>
    <w:rsid w:val="00C0271C"/>
    <w:rsid w:val="00C02F00"/>
    <w:rsid w:val="00C03237"/>
    <w:rsid w:val="00C0333A"/>
    <w:rsid w:val="00C03B8D"/>
    <w:rsid w:val="00C0402A"/>
    <w:rsid w:val="00C044A1"/>
    <w:rsid w:val="00C04DC7"/>
    <w:rsid w:val="00C053A2"/>
    <w:rsid w:val="00C05A81"/>
    <w:rsid w:val="00C05BF8"/>
    <w:rsid w:val="00C05C54"/>
    <w:rsid w:val="00C07C47"/>
    <w:rsid w:val="00C101F9"/>
    <w:rsid w:val="00C109E4"/>
    <w:rsid w:val="00C111BA"/>
    <w:rsid w:val="00C11907"/>
    <w:rsid w:val="00C11B0E"/>
    <w:rsid w:val="00C1279D"/>
    <w:rsid w:val="00C12CE0"/>
    <w:rsid w:val="00C1487C"/>
    <w:rsid w:val="00C14962"/>
    <w:rsid w:val="00C15DAA"/>
    <w:rsid w:val="00C17167"/>
    <w:rsid w:val="00C1742F"/>
    <w:rsid w:val="00C20637"/>
    <w:rsid w:val="00C209A2"/>
    <w:rsid w:val="00C20B13"/>
    <w:rsid w:val="00C20CB1"/>
    <w:rsid w:val="00C2103D"/>
    <w:rsid w:val="00C21105"/>
    <w:rsid w:val="00C219DB"/>
    <w:rsid w:val="00C22C4C"/>
    <w:rsid w:val="00C2371C"/>
    <w:rsid w:val="00C23A5A"/>
    <w:rsid w:val="00C23BF5"/>
    <w:rsid w:val="00C240A7"/>
    <w:rsid w:val="00C244B7"/>
    <w:rsid w:val="00C2463C"/>
    <w:rsid w:val="00C252CC"/>
    <w:rsid w:val="00C25585"/>
    <w:rsid w:val="00C25759"/>
    <w:rsid w:val="00C25941"/>
    <w:rsid w:val="00C25AC4"/>
    <w:rsid w:val="00C26742"/>
    <w:rsid w:val="00C2745C"/>
    <w:rsid w:val="00C274BE"/>
    <w:rsid w:val="00C27537"/>
    <w:rsid w:val="00C30998"/>
    <w:rsid w:val="00C329AB"/>
    <w:rsid w:val="00C331F2"/>
    <w:rsid w:val="00C33213"/>
    <w:rsid w:val="00C33A5C"/>
    <w:rsid w:val="00C3455B"/>
    <w:rsid w:val="00C34620"/>
    <w:rsid w:val="00C35582"/>
    <w:rsid w:val="00C359E7"/>
    <w:rsid w:val="00C35A36"/>
    <w:rsid w:val="00C362F3"/>
    <w:rsid w:val="00C36A38"/>
    <w:rsid w:val="00C36B59"/>
    <w:rsid w:val="00C36C60"/>
    <w:rsid w:val="00C3772C"/>
    <w:rsid w:val="00C4071F"/>
    <w:rsid w:val="00C412A0"/>
    <w:rsid w:val="00C4249B"/>
    <w:rsid w:val="00C4267E"/>
    <w:rsid w:val="00C42921"/>
    <w:rsid w:val="00C42D3B"/>
    <w:rsid w:val="00C42F35"/>
    <w:rsid w:val="00C4305B"/>
    <w:rsid w:val="00C436B6"/>
    <w:rsid w:val="00C43D1C"/>
    <w:rsid w:val="00C4416E"/>
    <w:rsid w:val="00C443C1"/>
    <w:rsid w:val="00C44ED2"/>
    <w:rsid w:val="00C46353"/>
    <w:rsid w:val="00C471C8"/>
    <w:rsid w:val="00C5004B"/>
    <w:rsid w:val="00C50490"/>
    <w:rsid w:val="00C513E7"/>
    <w:rsid w:val="00C52186"/>
    <w:rsid w:val="00C52207"/>
    <w:rsid w:val="00C52219"/>
    <w:rsid w:val="00C5259D"/>
    <w:rsid w:val="00C52608"/>
    <w:rsid w:val="00C539CB"/>
    <w:rsid w:val="00C54A9B"/>
    <w:rsid w:val="00C55235"/>
    <w:rsid w:val="00C554F1"/>
    <w:rsid w:val="00C559AA"/>
    <w:rsid w:val="00C55B09"/>
    <w:rsid w:val="00C56417"/>
    <w:rsid w:val="00C573C2"/>
    <w:rsid w:val="00C602C4"/>
    <w:rsid w:val="00C60C67"/>
    <w:rsid w:val="00C60E01"/>
    <w:rsid w:val="00C613EC"/>
    <w:rsid w:val="00C614C7"/>
    <w:rsid w:val="00C6284F"/>
    <w:rsid w:val="00C63339"/>
    <w:rsid w:val="00C64EA8"/>
    <w:rsid w:val="00C64FE8"/>
    <w:rsid w:val="00C65997"/>
    <w:rsid w:val="00C66D3D"/>
    <w:rsid w:val="00C66F50"/>
    <w:rsid w:val="00C6708F"/>
    <w:rsid w:val="00C671BA"/>
    <w:rsid w:val="00C67564"/>
    <w:rsid w:val="00C679DD"/>
    <w:rsid w:val="00C679EF"/>
    <w:rsid w:val="00C7015A"/>
    <w:rsid w:val="00C7027C"/>
    <w:rsid w:val="00C7071A"/>
    <w:rsid w:val="00C70958"/>
    <w:rsid w:val="00C70B2D"/>
    <w:rsid w:val="00C715B0"/>
    <w:rsid w:val="00C73B52"/>
    <w:rsid w:val="00C73BE4"/>
    <w:rsid w:val="00C745BF"/>
    <w:rsid w:val="00C74C84"/>
    <w:rsid w:val="00C758B5"/>
    <w:rsid w:val="00C75D2A"/>
    <w:rsid w:val="00C75FA7"/>
    <w:rsid w:val="00C76034"/>
    <w:rsid w:val="00C762F5"/>
    <w:rsid w:val="00C7660D"/>
    <w:rsid w:val="00C77D53"/>
    <w:rsid w:val="00C77FB7"/>
    <w:rsid w:val="00C800E6"/>
    <w:rsid w:val="00C804AB"/>
    <w:rsid w:val="00C80B39"/>
    <w:rsid w:val="00C80F18"/>
    <w:rsid w:val="00C81194"/>
    <w:rsid w:val="00C81568"/>
    <w:rsid w:val="00C825B0"/>
    <w:rsid w:val="00C82EDC"/>
    <w:rsid w:val="00C835BF"/>
    <w:rsid w:val="00C8377C"/>
    <w:rsid w:val="00C84272"/>
    <w:rsid w:val="00C8527C"/>
    <w:rsid w:val="00C8592C"/>
    <w:rsid w:val="00C860D6"/>
    <w:rsid w:val="00C864A0"/>
    <w:rsid w:val="00C87755"/>
    <w:rsid w:val="00C879F4"/>
    <w:rsid w:val="00C87E0B"/>
    <w:rsid w:val="00C906D0"/>
    <w:rsid w:val="00C9195E"/>
    <w:rsid w:val="00C92EB5"/>
    <w:rsid w:val="00C931D2"/>
    <w:rsid w:val="00C93C02"/>
    <w:rsid w:val="00C940D0"/>
    <w:rsid w:val="00C9460E"/>
    <w:rsid w:val="00C95D3C"/>
    <w:rsid w:val="00C96599"/>
    <w:rsid w:val="00C96D6B"/>
    <w:rsid w:val="00C97CD8"/>
    <w:rsid w:val="00CA1D87"/>
    <w:rsid w:val="00CA2353"/>
    <w:rsid w:val="00CA24F3"/>
    <w:rsid w:val="00CA2CB0"/>
    <w:rsid w:val="00CA3A8C"/>
    <w:rsid w:val="00CA4993"/>
    <w:rsid w:val="00CA4EEC"/>
    <w:rsid w:val="00CA63B2"/>
    <w:rsid w:val="00CA6A07"/>
    <w:rsid w:val="00CA73E2"/>
    <w:rsid w:val="00CA75B8"/>
    <w:rsid w:val="00CA7B1B"/>
    <w:rsid w:val="00CA7B99"/>
    <w:rsid w:val="00CA7F67"/>
    <w:rsid w:val="00CB0311"/>
    <w:rsid w:val="00CB0C67"/>
    <w:rsid w:val="00CB10B3"/>
    <w:rsid w:val="00CB167D"/>
    <w:rsid w:val="00CB168D"/>
    <w:rsid w:val="00CB2520"/>
    <w:rsid w:val="00CB2C68"/>
    <w:rsid w:val="00CB3596"/>
    <w:rsid w:val="00CB39C7"/>
    <w:rsid w:val="00CB3C83"/>
    <w:rsid w:val="00CB45B7"/>
    <w:rsid w:val="00CB504F"/>
    <w:rsid w:val="00CB5E6A"/>
    <w:rsid w:val="00CB708D"/>
    <w:rsid w:val="00CC0032"/>
    <w:rsid w:val="00CC0514"/>
    <w:rsid w:val="00CC0CA8"/>
    <w:rsid w:val="00CC0DFB"/>
    <w:rsid w:val="00CC1360"/>
    <w:rsid w:val="00CC1CDA"/>
    <w:rsid w:val="00CC2CBC"/>
    <w:rsid w:val="00CC330D"/>
    <w:rsid w:val="00CC3F12"/>
    <w:rsid w:val="00CC491B"/>
    <w:rsid w:val="00CC4DDB"/>
    <w:rsid w:val="00CC5974"/>
    <w:rsid w:val="00CC5A41"/>
    <w:rsid w:val="00CC6927"/>
    <w:rsid w:val="00CC6CFC"/>
    <w:rsid w:val="00CC6D24"/>
    <w:rsid w:val="00CC6D51"/>
    <w:rsid w:val="00CC7815"/>
    <w:rsid w:val="00CD0284"/>
    <w:rsid w:val="00CD02C6"/>
    <w:rsid w:val="00CD06D2"/>
    <w:rsid w:val="00CD0891"/>
    <w:rsid w:val="00CD2C04"/>
    <w:rsid w:val="00CD3241"/>
    <w:rsid w:val="00CD3470"/>
    <w:rsid w:val="00CD41AA"/>
    <w:rsid w:val="00CD4FC2"/>
    <w:rsid w:val="00CD5067"/>
    <w:rsid w:val="00CD50B9"/>
    <w:rsid w:val="00CD5173"/>
    <w:rsid w:val="00CD5A81"/>
    <w:rsid w:val="00CD6400"/>
    <w:rsid w:val="00CD6945"/>
    <w:rsid w:val="00CD6C12"/>
    <w:rsid w:val="00CD6D4F"/>
    <w:rsid w:val="00CD7647"/>
    <w:rsid w:val="00CD7C96"/>
    <w:rsid w:val="00CE0038"/>
    <w:rsid w:val="00CE016D"/>
    <w:rsid w:val="00CE022F"/>
    <w:rsid w:val="00CE0832"/>
    <w:rsid w:val="00CE1EC2"/>
    <w:rsid w:val="00CE20F7"/>
    <w:rsid w:val="00CE2DFC"/>
    <w:rsid w:val="00CE321D"/>
    <w:rsid w:val="00CE321E"/>
    <w:rsid w:val="00CE3E05"/>
    <w:rsid w:val="00CE3FEB"/>
    <w:rsid w:val="00CE4E7E"/>
    <w:rsid w:val="00CE62C7"/>
    <w:rsid w:val="00CE67B3"/>
    <w:rsid w:val="00CE6AF3"/>
    <w:rsid w:val="00CE70B3"/>
    <w:rsid w:val="00CE72F9"/>
    <w:rsid w:val="00CF0665"/>
    <w:rsid w:val="00CF0EF8"/>
    <w:rsid w:val="00CF1B5B"/>
    <w:rsid w:val="00CF21F5"/>
    <w:rsid w:val="00CF2F37"/>
    <w:rsid w:val="00CF326B"/>
    <w:rsid w:val="00CF32AC"/>
    <w:rsid w:val="00CF42EF"/>
    <w:rsid w:val="00CF46DE"/>
    <w:rsid w:val="00CF4EDE"/>
    <w:rsid w:val="00CF4F81"/>
    <w:rsid w:val="00CF5632"/>
    <w:rsid w:val="00CF5BCA"/>
    <w:rsid w:val="00CF5CA6"/>
    <w:rsid w:val="00CF5FB5"/>
    <w:rsid w:val="00CF613C"/>
    <w:rsid w:val="00CF6175"/>
    <w:rsid w:val="00CF6809"/>
    <w:rsid w:val="00D00795"/>
    <w:rsid w:val="00D00A77"/>
    <w:rsid w:val="00D00E91"/>
    <w:rsid w:val="00D012F4"/>
    <w:rsid w:val="00D015C6"/>
    <w:rsid w:val="00D01F5D"/>
    <w:rsid w:val="00D0285F"/>
    <w:rsid w:val="00D03DB8"/>
    <w:rsid w:val="00D03ED4"/>
    <w:rsid w:val="00D04445"/>
    <w:rsid w:val="00D04DCA"/>
    <w:rsid w:val="00D04DCD"/>
    <w:rsid w:val="00D05238"/>
    <w:rsid w:val="00D1019F"/>
    <w:rsid w:val="00D111A3"/>
    <w:rsid w:val="00D117C9"/>
    <w:rsid w:val="00D1207C"/>
    <w:rsid w:val="00D128BD"/>
    <w:rsid w:val="00D12B27"/>
    <w:rsid w:val="00D12B68"/>
    <w:rsid w:val="00D13786"/>
    <w:rsid w:val="00D139D7"/>
    <w:rsid w:val="00D1439F"/>
    <w:rsid w:val="00D1471D"/>
    <w:rsid w:val="00D15D9F"/>
    <w:rsid w:val="00D171C5"/>
    <w:rsid w:val="00D17B05"/>
    <w:rsid w:val="00D20B90"/>
    <w:rsid w:val="00D20E72"/>
    <w:rsid w:val="00D215EA"/>
    <w:rsid w:val="00D2191C"/>
    <w:rsid w:val="00D22446"/>
    <w:rsid w:val="00D2262F"/>
    <w:rsid w:val="00D23680"/>
    <w:rsid w:val="00D23B1E"/>
    <w:rsid w:val="00D2406F"/>
    <w:rsid w:val="00D24211"/>
    <w:rsid w:val="00D243A6"/>
    <w:rsid w:val="00D2479A"/>
    <w:rsid w:val="00D2537D"/>
    <w:rsid w:val="00D25B72"/>
    <w:rsid w:val="00D2605F"/>
    <w:rsid w:val="00D26104"/>
    <w:rsid w:val="00D26AAF"/>
    <w:rsid w:val="00D26D4B"/>
    <w:rsid w:val="00D27867"/>
    <w:rsid w:val="00D301F0"/>
    <w:rsid w:val="00D3039B"/>
    <w:rsid w:val="00D305E4"/>
    <w:rsid w:val="00D30E35"/>
    <w:rsid w:val="00D30F72"/>
    <w:rsid w:val="00D31514"/>
    <w:rsid w:val="00D32304"/>
    <w:rsid w:val="00D3267C"/>
    <w:rsid w:val="00D32AF1"/>
    <w:rsid w:val="00D333F9"/>
    <w:rsid w:val="00D33E43"/>
    <w:rsid w:val="00D34102"/>
    <w:rsid w:val="00D3468D"/>
    <w:rsid w:val="00D351DB"/>
    <w:rsid w:val="00D35B12"/>
    <w:rsid w:val="00D404FF"/>
    <w:rsid w:val="00D40737"/>
    <w:rsid w:val="00D40A35"/>
    <w:rsid w:val="00D40A99"/>
    <w:rsid w:val="00D40ED9"/>
    <w:rsid w:val="00D4100F"/>
    <w:rsid w:val="00D410B4"/>
    <w:rsid w:val="00D41708"/>
    <w:rsid w:val="00D4172B"/>
    <w:rsid w:val="00D41CD0"/>
    <w:rsid w:val="00D41DBC"/>
    <w:rsid w:val="00D428E4"/>
    <w:rsid w:val="00D43036"/>
    <w:rsid w:val="00D439AA"/>
    <w:rsid w:val="00D43A0B"/>
    <w:rsid w:val="00D43E70"/>
    <w:rsid w:val="00D43F1F"/>
    <w:rsid w:val="00D44136"/>
    <w:rsid w:val="00D441BA"/>
    <w:rsid w:val="00D44472"/>
    <w:rsid w:val="00D44924"/>
    <w:rsid w:val="00D45009"/>
    <w:rsid w:val="00D451C7"/>
    <w:rsid w:val="00D45C92"/>
    <w:rsid w:val="00D46010"/>
    <w:rsid w:val="00D46125"/>
    <w:rsid w:val="00D461DB"/>
    <w:rsid w:val="00D46705"/>
    <w:rsid w:val="00D4729A"/>
    <w:rsid w:val="00D50212"/>
    <w:rsid w:val="00D50E03"/>
    <w:rsid w:val="00D515A0"/>
    <w:rsid w:val="00D5177D"/>
    <w:rsid w:val="00D51895"/>
    <w:rsid w:val="00D51DDD"/>
    <w:rsid w:val="00D52207"/>
    <w:rsid w:val="00D53483"/>
    <w:rsid w:val="00D535DF"/>
    <w:rsid w:val="00D54B91"/>
    <w:rsid w:val="00D54D05"/>
    <w:rsid w:val="00D5547F"/>
    <w:rsid w:val="00D55520"/>
    <w:rsid w:val="00D55B07"/>
    <w:rsid w:val="00D56079"/>
    <w:rsid w:val="00D56BBD"/>
    <w:rsid w:val="00D5740C"/>
    <w:rsid w:val="00D600E8"/>
    <w:rsid w:val="00D61214"/>
    <w:rsid w:val="00D61E28"/>
    <w:rsid w:val="00D62050"/>
    <w:rsid w:val="00D622AB"/>
    <w:rsid w:val="00D630B0"/>
    <w:rsid w:val="00D638C5"/>
    <w:rsid w:val="00D647EB"/>
    <w:rsid w:val="00D652AB"/>
    <w:rsid w:val="00D65C6A"/>
    <w:rsid w:val="00D65F03"/>
    <w:rsid w:val="00D661AB"/>
    <w:rsid w:val="00D662D7"/>
    <w:rsid w:val="00D66685"/>
    <w:rsid w:val="00D666B0"/>
    <w:rsid w:val="00D66FC6"/>
    <w:rsid w:val="00D67F87"/>
    <w:rsid w:val="00D7009B"/>
    <w:rsid w:val="00D702F9"/>
    <w:rsid w:val="00D70422"/>
    <w:rsid w:val="00D7165D"/>
    <w:rsid w:val="00D72F52"/>
    <w:rsid w:val="00D735B9"/>
    <w:rsid w:val="00D73C3F"/>
    <w:rsid w:val="00D73D91"/>
    <w:rsid w:val="00D7457D"/>
    <w:rsid w:val="00D75618"/>
    <w:rsid w:val="00D75DDB"/>
    <w:rsid w:val="00D75E5E"/>
    <w:rsid w:val="00D75FF4"/>
    <w:rsid w:val="00D76001"/>
    <w:rsid w:val="00D7670F"/>
    <w:rsid w:val="00D772D3"/>
    <w:rsid w:val="00D7744F"/>
    <w:rsid w:val="00D7768B"/>
    <w:rsid w:val="00D77C84"/>
    <w:rsid w:val="00D81030"/>
    <w:rsid w:val="00D83055"/>
    <w:rsid w:val="00D845EE"/>
    <w:rsid w:val="00D84DDA"/>
    <w:rsid w:val="00D8613A"/>
    <w:rsid w:val="00D87BAC"/>
    <w:rsid w:val="00D87E3B"/>
    <w:rsid w:val="00D87FA6"/>
    <w:rsid w:val="00D90A8E"/>
    <w:rsid w:val="00D91005"/>
    <w:rsid w:val="00D9182E"/>
    <w:rsid w:val="00D91908"/>
    <w:rsid w:val="00D91B6E"/>
    <w:rsid w:val="00D92A4A"/>
    <w:rsid w:val="00D92BD4"/>
    <w:rsid w:val="00D9390B"/>
    <w:rsid w:val="00D944CA"/>
    <w:rsid w:val="00D94B0A"/>
    <w:rsid w:val="00D94F1F"/>
    <w:rsid w:val="00D950CE"/>
    <w:rsid w:val="00D95466"/>
    <w:rsid w:val="00D956F6"/>
    <w:rsid w:val="00D96BA6"/>
    <w:rsid w:val="00D9747B"/>
    <w:rsid w:val="00D97500"/>
    <w:rsid w:val="00D97B6E"/>
    <w:rsid w:val="00DA00BB"/>
    <w:rsid w:val="00DA0559"/>
    <w:rsid w:val="00DA0619"/>
    <w:rsid w:val="00DA07DA"/>
    <w:rsid w:val="00DA0A01"/>
    <w:rsid w:val="00DA0D2D"/>
    <w:rsid w:val="00DA108E"/>
    <w:rsid w:val="00DA17B6"/>
    <w:rsid w:val="00DA18EB"/>
    <w:rsid w:val="00DA1A99"/>
    <w:rsid w:val="00DA1E68"/>
    <w:rsid w:val="00DA1E9D"/>
    <w:rsid w:val="00DA20AC"/>
    <w:rsid w:val="00DA28FA"/>
    <w:rsid w:val="00DA37D7"/>
    <w:rsid w:val="00DA3866"/>
    <w:rsid w:val="00DA4096"/>
    <w:rsid w:val="00DA487D"/>
    <w:rsid w:val="00DA4FD8"/>
    <w:rsid w:val="00DA5910"/>
    <w:rsid w:val="00DA5E1C"/>
    <w:rsid w:val="00DA6AAA"/>
    <w:rsid w:val="00DA6F50"/>
    <w:rsid w:val="00DA6F9F"/>
    <w:rsid w:val="00DA7587"/>
    <w:rsid w:val="00DA769F"/>
    <w:rsid w:val="00DA775E"/>
    <w:rsid w:val="00DB0402"/>
    <w:rsid w:val="00DB0AE5"/>
    <w:rsid w:val="00DB0B9E"/>
    <w:rsid w:val="00DB2817"/>
    <w:rsid w:val="00DB3545"/>
    <w:rsid w:val="00DB3A2D"/>
    <w:rsid w:val="00DB3CEA"/>
    <w:rsid w:val="00DB3FAD"/>
    <w:rsid w:val="00DB4AAC"/>
    <w:rsid w:val="00DB4DF8"/>
    <w:rsid w:val="00DB4F87"/>
    <w:rsid w:val="00DB54A6"/>
    <w:rsid w:val="00DB5BBA"/>
    <w:rsid w:val="00DB6321"/>
    <w:rsid w:val="00DB644C"/>
    <w:rsid w:val="00DB6A11"/>
    <w:rsid w:val="00DB6AF9"/>
    <w:rsid w:val="00DB6CA4"/>
    <w:rsid w:val="00DB768E"/>
    <w:rsid w:val="00DB7B50"/>
    <w:rsid w:val="00DB7FE1"/>
    <w:rsid w:val="00DC01C6"/>
    <w:rsid w:val="00DC0A78"/>
    <w:rsid w:val="00DC0FAA"/>
    <w:rsid w:val="00DC10C9"/>
    <w:rsid w:val="00DC1ED3"/>
    <w:rsid w:val="00DC23BE"/>
    <w:rsid w:val="00DC2BC6"/>
    <w:rsid w:val="00DC2C5F"/>
    <w:rsid w:val="00DC52F1"/>
    <w:rsid w:val="00DC547A"/>
    <w:rsid w:val="00DC595D"/>
    <w:rsid w:val="00DC65D5"/>
    <w:rsid w:val="00DC691F"/>
    <w:rsid w:val="00DC6C35"/>
    <w:rsid w:val="00DC76E1"/>
    <w:rsid w:val="00DC7C64"/>
    <w:rsid w:val="00DC7DD2"/>
    <w:rsid w:val="00DC7E64"/>
    <w:rsid w:val="00DD057A"/>
    <w:rsid w:val="00DD1B8F"/>
    <w:rsid w:val="00DD2225"/>
    <w:rsid w:val="00DD2916"/>
    <w:rsid w:val="00DD2D70"/>
    <w:rsid w:val="00DD3700"/>
    <w:rsid w:val="00DD47EB"/>
    <w:rsid w:val="00DD4CA8"/>
    <w:rsid w:val="00DD4CB2"/>
    <w:rsid w:val="00DD4EFD"/>
    <w:rsid w:val="00DD54D7"/>
    <w:rsid w:val="00DD582A"/>
    <w:rsid w:val="00DD5B0C"/>
    <w:rsid w:val="00DD5C39"/>
    <w:rsid w:val="00DD6496"/>
    <w:rsid w:val="00DD7512"/>
    <w:rsid w:val="00DD7F89"/>
    <w:rsid w:val="00DE1053"/>
    <w:rsid w:val="00DE2428"/>
    <w:rsid w:val="00DE2BFB"/>
    <w:rsid w:val="00DE2C19"/>
    <w:rsid w:val="00DE3764"/>
    <w:rsid w:val="00DE38C0"/>
    <w:rsid w:val="00DE45F1"/>
    <w:rsid w:val="00DE5C0A"/>
    <w:rsid w:val="00DE6FAB"/>
    <w:rsid w:val="00DE7D8F"/>
    <w:rsid w:val="00DF16C2"/>
    <w:rsid w:val="00DF1CB1"/>
    <w:rsid w:val="00DF1D3E"/>
    <w:rsid w:val="00DF255B"/>
    <w:rsid w:val="00DF2733"/>
    <w:rsid w:val="00DF3A7D"/>
    <w:rsid w:val="00DF3B26"/>
    <w:rsid w:val="00DF3FBE"/>
    <w:rsid w:val="00DF40CC"/>
    <w:rsid w:val="00DF4855"/>
    <w:rsid w:val="00DF48D0"/>
    <w:rsid w:val="00DF4FCD"/>
    <w:rsid w:val="00DF56F8"/>
    <w:rsid w:val="00DF6798"/>
    <w:rsid w:val="00DF6EC5"/>
    <w:rsid w:val="00DF7A2F"/>
    <w:rsid w:val="00E01769"/>
    <w:rsid w:val="00E01EC8"/>
    <w:rsid w:val="00E01FFB"/>
    <w:rsid w:val="00E0221C"/>
    <w:rsid w:val="00E02501"/>
    <w:rsid w:val="00E032C6"/>
    <w:rsid w:val="00E036FD"/>
    <w:rsid w:val="00E03820"/>
    <w:rsid w:val="00E03A8C"/>
    <w:rsid w:val="00E0415A"/>
    <w:rsid w:val="00E04383"/>
    <w:rsid w:val="00E050C5"/>
    <w:rsid w:val="00E056AB"/>
    <w:rsid w:val="00E057F9"/>
    <w:rsid w:val="00E05D3D"/>
    <w:rsid w:val="00E05E8A"/>
    <w:rsid w:val="00E069A6"/>
    <w:rsid w:val="00E06D17"/>
    <w:rsid w:val="00E0794D"/>
    <w:rsid w:val="00E07BF0"/>
    <w:rsid w:val="00E10518"/>
    <w:rsid w:val="00E10FB2"/>
    <w:rsid w:val="00E120A3"/>
    <w:rsid w:val="00E12280"/>
    <w:rsid w:val="00E123B7"/>
    <w:rsid w:val="00E12B90"/>
    <w:rsid w:val="00E14A0A"/>
    <w:rsid w:val="00E1504E"/>
    <w:rsid w:val="00E16584"/>
    <w:rsid w:val="00E166B6"/>
    <w:rsid w:val="00E174F7"/>
    <w:rsid w:val="00E17A0D"/>
    <w:rsid w:val="00E17ADC"/>
    <w:rsid w:val="00E2112A"/>
    <w:rsid w:val="00E2168A"/>
    <w:rsid w:val="00E21C1B"/>
    <w:rsid w:val="00E22737"/>
    <w:rsid w:val="00E22A68"/>
    <w:rsid w:val="00E22D98"/>
    <w:rsid w:val="00E22DD9"/>
    <w:rsid w:val="00E22EE8"/>
    <w:rsid w:val="00E23095"/>
    <w:rsid w:val="00E244C1"/>
    <w:rsid w:val="00E24ACC"/>
    <w:rsid w:val="00E24B24"/>
    <w:rsid w:val="00E27662"/>
    <w:rsid w:val="00E27B29"/>
    <w:rsid w:val="00E3052A"/>
    <w:rsid w:val="00E30EF3"/>
    <w:rsid w:val="00E313D3"/>
    <w:rsid w:val="00E3168E"/>
    <w:rsid w:val="00E31959"/>
    <w:rsid w:val="00E3264E"/>
    <w:rsid w:val="00E326B2"/>
    <w:rsid w:val="00E32762"/>
    <w:rsid w:val="00E32CB8"/>
    <w:rsid w:val="00E33702"/>
    <w:rsid w:val="00E33C02"/>
    <w:rsid w:val="00E33D58"/>
    <w:rsid w:val="00E3455B"/>
    <w:rsid w:val="00E34741"/>
    <w:rsid w:val="00E349E4"/>
    <w:rsid w:val="00E34A00"/>
    <w:rsid w:val="00E3566D"/>
    <w:rsid w:val="00E35C6F"/>
    <w:rsid w:val="00E35EE5"/>
    <w:rsid w:val="00E36490"/>
    <w:rsid w:val="00E3656F"/>
    <w:rsid w:val="00E36B5E"/>
    <w:rsid w:val="00E36C8F"/>
    <w:rsid w:val="00E36FB1"/>
    <w:rsid w:val="00E371EB"/>
    <w:rsid w:val="00E372AA"/>
    <w:rsid w:val="00E37E7D"/>
    <w:rsid w:val="00E40DB7"/>
    <w:rsid w:val="00E415F0"/>
    <w:rsid w:val="00E41690"/>
    <w:rsid w:val="00E41C78"/>
    <w:rsid w:val="00E42821"/>
    <w:rsid w:val="00E42B82"/>
    <w:rsid w:val="00E42FF6"/>
    <w:rsid w:val="00E432D9"/>
    <w:rsid w:val="00E444ED"/>
    <w:rsid w:val="00E44822"/>
    <w:rsid w:val="00E448A9"/>
    <w:rsid w:val="00E45295"/>
    <w:rsid w:val="00E46881"/>
    <w:rsid w:val="00E46AAF"/>
    <w:rsid w:val="00E47610"/>
    <w:rsid w:val="00E479C1"/>
    <w:rsid w:val="00E519B4"/>
    <w:rsid w:val="00E51DC0"/>
    <w:rsid w:val="00E52A50"/>
    <w:rsid w:val="00E53E97"/>
    <w:rsid w:val="00E54064"/>
    <w:rsid w:val="00E546D4"/>
    <w:rsid w:val="00E546DF"/>
    <w:rsid w:val="00E54AEC"/>
    <w:rsid w:val="00E55708"/>
    <w:rsid w:val="00E566DE"/>
    <w:rsid w:val="00E57131"/>
    <w:rsid w:val="00E57890"/>
    <w:rsid w:val="00E57FED"/>
    <w:rsid w:val="00E60827"/>
    <w:rsid w:val="00E61664"/>
    <w:rsid w:val="00E61B9D"/>
    <w:rsid w:val="00E61FDD"/>
    <w:rsid w:val="00E62DD4"/>
    <w:rsid w:val="00E635FF"/>
    <w:rsid w:val="00E64A22"/>
    <w:rsid w:val="00E652E6"/>
    <w:rsid w:val="00E653D0"/>
    <w:rsid w:val="00E65519"/>
    <w:rsid w:val="00E65C1D"/>
    <w:rsid w:val="00E70550"/>
    <w:rsid w:val="00E70ACD"/>
    <w:rsid w:val="00E70D1E"/>
    <w:rsid w:val="00E714EB"/>
    <w:rsid w:val="00E71B1E"/>
    <w:rsid w:val="00E725EB"/>
    <w:rsid w:val="00E72728"/>
    <w:rsid w:val="00E7275E"/>
    <w:rsid w:val="00E731AC"/>
    <w:rsid w:val="00E738F8"/>
    <w:rsid w:val="00E74BC1"/>
    <w:rsid w:val="00E7543E"/>
    <w:rsid w:val="00E75B73"/>
    <w:rsid w:val="00E76088"/>
    <w:rsid w:val="00E766AC"/>
    <w:rsid w:val="00E77A0C"/>
    <w:rsid w:val="00E77D1E"/>
    <w:rsid w:val="00E80405"/>
    <w:rsid w:val="00E81B9C"/>
    <w:rsid w:val="00E81F84"/>
    <w:rsid w:val="00E82356"/>
    <w:rsid w:val="00E82B01"/>
    <w:rsid w:val="00E837A6"/>
    <w:rsid w:val="00E83916"/>
    <w:rsid w:val="00E83A47"/>
    <w:rsid w:val="00E83AB1"/>
    <w:rsid w:val="00E83AF5"/>
    <w:rsid w:val="00E84403"/>
    <w:rsid w:val="00E84B87"/>
    <w:rsid w:val="00E84D03"/>
    <w:rsid w:val="00E85106"/>
    <w:rsid w:val="00E85467"/>
    <w:rsid w:val="00E856C5"/>
    <w:rsid w:val="00E85FE9"/>
    <w:rsid w:val="00E86889"/>
    <w:rsid w:val="00E869F7"/>
    <w:rsid w:val="00E86B56"/>
    <w:rsid w:val="00E86C66"/>
    <w:rsid w:val="00E86E23"/>
    <w:rsid w:val="00E86E73"/>
    <w:rsid w:val="00E86EBE"/>
    <w:rsid w:val="00E87024"/>
    <w:rsid w:val="00E871C2"/>
    <w:rsid w:val="00E8760F"/>
    <w:rsid w:val="00E905E7"/>
    <w:rsid w:val="00E90744"/>
    <w:rsid w:val="00E90C8A"/>
    <w:rsid w:val="00E91219"/>
    <w:rsid w:val="00E913F8"/>
    <w:rsid w:val="00E91695"/>
    <w:rsid w:val="00E91744"/>
    <w:rsid w:val="00E92686"/>
    <w:rsid w:val="00E93201"/>
    <w:rsid w:val="00E95747"/>
    <w:rsid w:val="00E95A7A"/>
    <w:rsid w:val="00E95AB7"/>
    <w:rsid w:val="00E97045"/>
    <w:rsid w:val="00E972D2"/>
    <w:rsid w:val="00EA024B"/>
    <w:rsid w:val="00EA0D0F"/>
    <w:rsid w:val="00EA1F73"/>
    <w:rsid w:val="00EA28FC"/>
    <w:rsid w:val="00EA2BBB"/>
    <w:rsid w:val="00EA3C24"/>
    <w:rsid w:val="00EA3DFD"/>
    <w:rsid w:val="00EA4345"/>
    <w:rsid w:val="00EA5129"/>
    <w:rsid w:val="00EA6BEC"/>
    <w:rsid w:val="00EA7458"/>
    <w:rsid w:val="00EA7E2D"/>
    <w:rsid w:val="00EB0077"/>
    <w:rsid w:val="00EB0128"/>
    <w:rsid w:val="00EB025D"/>
    <w:rsid w:val="00EB0C4D"/>
    <w:rsid w:val="00EB15BD"/>
    <w:rsid w:val="00EB18B8"/>
    <w:rsid w:val="00EB19B1"/>
    <w:rsid w:val="00EB2BDE"/>
    <w:rsid w:val="00EB2C1F"/>
    <w:rsid w:val="00EB4B7D"/>
    <w:rsid w:val="00EB55D8"/>
    <w:rsid w:val="00EB5AB7"/>
    <w:rsid w:val="00EB5B0B"/>
    <w:rsid w:val="00EB64A2"/>
    <w:rsid w:val="00EB6802"/>
    <w:rsid w:val="00EB6971"/>
    <w:rsid w:val="00EC044D"/>
    <w:rsid w:val="00EC0DF4"/>
    <w:rsid w:val="00EC1499"/>
    <w:rsid w:val="00EC1767"/>
    <w:rsid w:val="00EC1DE0"/>
    <w:rsid w:val="00EC29DB"/>
    <w:rsid w:val="00EC59FF"/>
    <w:rsid w:val="00EC5BFA"/>
    <w:rsid w:val="00EC5C81"/>
    <w:rsid w:val="00EC5EFD"/>
    <w:rsid w:val="00EC66C8"/>
    <w:rsid w:val="00EC68DA"/>
    <w:rsid w:val="00EC6C3E"/>
    <w:rsid w:val="00EC74FE"/>
    <w:rsid w:val="00EC7754"/>
    <w:rsid w:val="00EC78CD"/>
    <w:rsid w:val="00EC7C35"/>
    <w:rsid w:val="00ED098E"/>
    <w:rsid w:val="00ED0E4B"/>
    <w:rsid w:val="00ED1131"/>
    <w:rsid w:val="00ED1151"/>
    <w:rsid w:val="00ED12AA"/>
    <w:rsid w:val="00ED2034"/>
    <w:rsid w:val="00ED2ED0"/>
    <w:rsid w:val="00ED305E"/>
    <w:rsid w:val="00ED38FC"/>
    <w:rsid w:val="00ED41B7"/>
    <w:rsid w:val="00ED478F"/>
    <w:rsid w:val="00ED4B7F"/>
    <w:rsid w:val="00ED5264"/>
    <w:rsid w:val="00ED59CA"/>
    <w:rsid w:val="00ED6E28"/>
    <w:rsid w:val="00ED7AC3"/>
    <w:rsid w:val="00ED7B45"/>
    <w:rsid w:val="00ED7C7A"/>
    <w:rsid w:val="00EE0540"/>
    <w:rsid w:val="00EE085F"/>
    <w:rsid w:val="00EE1227"/>
    <w:rsid w:val="00EE136B"/>
    <w:rsid w:val="00EE139E"/>
    <w:rsid w:val="00EE1B9A"/>
    <w:rsid w:val="00EE2876"/>
    <w:rsid w:val="00EE3AA4"/>
    <w:rsid w:val="00EE4601"/>
    <w:rsid w:val="00EE4BA8"/>
    <w:rsid w:val="00EE4FC5"/>
    <w:rsid w:val="00EE65D5"/>
    <w:rsid w:val="00EE671C"/>
    <w:rsid w:val="00EE6879"/>
    <w:rsid w:val="00EE6893"/>
    <w:rsid w:val="00EE6F05"/>
    <w:rsid w:val="00EE7866"/>
    <w:rsid w:val="00EF19A2"/>
    <w:rsid w:val="00EF212F"/>
    <w:rsid w:val="00EF2ACF"/>
    <w:rsid w:val="00EF2EA3"/>
    <w:rsid w:val="00EF3681"/>
    <w:rsid w:val="00EF3A57"/>
    <w:rsid w:val="00EF3D1D"/>
    <w:rsid w:val="00EF415E"/>
    <w:rsid w:val="00EF479F"/>
    <w:rsid w:val="00EF641F"/>
    <w:rsid w:val="00EF6786"/>
    <w:rsid w:val="00EF6CCC"/>
    <w:rsid w:val="00EF71D7"/>
    <w:rsid w:val="00EF791E"/>
    <w:rsid w:val="00F0088A"/>
    <w:rsid w:val="00F00F82"/>
    <w:rsid w:val="00F01861"/>
    <w:rsid w:val="00F01DDD"/>
    <w:rsid w:val="00F0209E"/>
    <w:rsid w:val="00F02515"/>
    <w:rsid w:val="00F02966"/>
    <w:rsid w:val="00F032D4"/>
    <w:rsid w:val="00F033D0"/>
    <w:rsid w:val="00F03CFD"/>
    <w:rsid w:val="00F03F7D"/>
    <w:rsid w:val="00F0410C"/>
    <w:rsid w:val="00F04CE1"/>
    <w:rsid w:val="00F0533D"/>
    <w:rsid w:val="00F05693"/>
    <w:rsid w:val="00F05705"/>
    <w:rsid w:val="00F059F9"/>
    <w:rsid w:val="00F06002"/>
    <w:rsid w:val="00F06C06"/>
    <w:rsid w:val="00F07064"/>
    <w:rsid w:val="00F07BC1"/>
    <w:rsid w:val="00F10BF2"/>
    <w:rsid w:val="00F10FBD"/>
    <w:rsid w:val="00F1141D"/>
    <w:rsid w:val="00F119FE"/>
    <w:rsid w:val="00F127B5"/>
    <w:rsid w:val="00F12E4A"/>
    <w:rsid w:val="00F12F7B"/>
    <w:rsid w:val="00F1307D"/>
    <w:rsid w:val="00F13EEC"/>
    <w:rsid w:val="00F14AB1"/>
    <w:rsid w:val="00F14AB5"/>
    <w:rsid w:val="00F14F6C"/>
    <w:rsid w:val="00F16CB2"/>
    <w:rsid w:val="00F176D0"/>
    <w:rsid w:val="00F17DE4"/>
    <w:rsid w:val="00F17EF6"/>
    <w:rsid w:val="00F20049"/>
    <w:rsid w:val="00F20572"/>
    <w:rsid w:val="00F20972"/>
    <w:rsid w:val="00F20C14"/>
    <w:rsid w:val="00F21253"/>
    <w:rsid w:val="00F213D0"/>
    <w:rsid w:val="00F21E09"/>
    <w:rsid w:val="00F2219E"/>
    <w:rsid w:val="00F22F2C"/>
    <w:rsid w:val="00F2333E"/>
    <w:rsid w:val="00F235C1"/>
    <w:rsid w:val="00F237BA"/>
    <w:rsid w:val="00F23CAD"/>
    <w:rsid w:val="00F2439B"/>
    <w:rsid w:val="00F24A2F"/>
    <w:rsid w:val="00F24C62"/>
    <w:rsid w:val="00F24E44"/>
    <w:rsid w:val="00F24ED2"/>
    <w:rsid w:val="00F251A7"/>
    <w:rsid w:val="00F25CBC"/>
    <w:rsid w:val="00F267CF"/>
    <w:rsid w:val="00F26950"/>
    <w:rsid w:val="00F26B7C"/>
    <w:rsid w:val="00F27C5C"/>
    <w:rsid w:val="00F301EA"/>
    <w:rsid w:val="00F30887"/>
    <w:rsid w:val="00F30F74"/>
    <w:rsid w:val="00F3155E"/>
    <w:rsid w:val="00F31A09"/>
    <w:rsid w:val="00F3205A"/>
    <w:rsid w:val="00F3265E"/>
    <w:rsid w:val="00F328F1"/>
    <w:rsid w:val="00F32C59"/>
    <w:rsid w:val="00F336BA"/>
    <w:rsid w:val="00F33A8D"/>
    <w:rsid w:val="00F3400B"/>
    <w:rsid w:val="00F3405D"/>
    <w:rsid w:val="00F3454E"/>
    <w:rsid w:val="00F3468F"/>
    <w:rsid w:val="00F34DBB"/>
    <w:rsid w:val="00F350A8"/>
    <w:rsid w:val="00F35386"/>
    <w:rsid w:val="00F355C4"/>
    <w:rsid w:val="00F3567C"/>
    <w:rsid w:val="00F35790"/>
    <w:rsid w:val="00F35962"/>
    <w:rsid w:val="00F36A0B"/>
    <w:rsid w:val="00F36DD3"/>
    <w:rsid w:val="00F37832"/>
    <w:rsid w:val="00F37C7F"/>
    <w:rsid w:val="00F40A89"/>
    <w:rsid w:val="00F40EA3"/>
    <w:rsid w:val="00F43530"/>
    <w:rsid w:val="00F43B20"/>
    <w:rsid w:val="00F43E7C"/>
    <w:rsid w:val="00F4408A"/>
    <w:rsid w:val="00F447D3"/>
    <w:rsid w:val="00F44804"/>
    <w:rsid w:val="00F44B6A"/>
    <w:rsid w:val="00F450A4"/>
    <w:rsid w:val="00F459F0"/>
    <w:rsid w:val="00F462D6"/>
    <w:rsid w:val="00F46A28"/>
    <w:rsid w:val="00F47C5D"/>
    <w:rsid w:val="00F50190"/>
    <w:rsid w:val="00F50357"/>
    <w:rsid w:val="00F51AFA"/>
    <w:rsid w:val="00F51DA9"/>
    <w:rsid w:val="00F51FF8"/>
    <w:rsid w:val="00F537A9"/>
    <w:rsid w:val="00F53A25"/>
    <w:rsid w:val="00F54768"/>
    <w:rsid w:val="00F54FFE"/>
    <w:rsid w:val="00F56364"/>
    <w:rsid w:val="00F5669C"/>
    <w:rsid w:val="00F567D6"/>
    <w:rsid w:val="00F606B4"/>
    <w:rsid w:val="00F61033"/>
    <w:rsid w:val="00F6137F"/>
    <w:rsid w:val="00F6150C"/>
    <w:rsid w:val="00F62CF0"/>
    <w:rsid w:val="00F62E66"/>
    <w:rsid w:val="00F63B9C"/>
    <w:rsid w:val="00F642FE"/>
    <w:rsid w:val="00F64FA6"/>
    <w:rsid w:val="00F6566F"/>
    <w:rsid w:val="00F658A5"/>
    <w:rsid w:val="00F670F1"/>
    <w:rsid w:val="00F7006A"/>
    <w:rsid w:val="00F709FA"/>
    <w:rsid w:val="00F70B0F"/>
    <w:rsid w:val="00F70DC6"/>
    <w:rsid w:val="00F714B3"/>
    <w:rsid w:val="00F73859"/>
    <w:rsid w:val="00F74FFD"/>
    <w:rsid w:val="00F75510"/>
    <w:rsid w:val="00F766C9"/>
    <w:rsid w:val="00F7696A"/>
    <w:rsid w:val="00F770EC"/>
    <w:rsid w:val="00F7721D"/>
    <w:rsid w:val="00F7765A"/>
    <w:rsid w:val="00F77929"/>
    <w:rsid w:val="00F779D0"/>
    <w:rsid w:val="00F832CC"/>
    <w:rsid w:val="00F83346"/>
    <w:rsid w:val="00F83699"/>
    <w:rsid w:val="00F84636"/>
    <w:rsid w:val="00F84C53"/>
    <w:rsid w:val="00F854B6"/>
    <w:rsid w:val="00F8563B"/>
    <w:rsid w:val="00F85B74"/>
    <w:rsid w:val="00F8616B"/>
    <w:rsid w:val="00F86D6C"/>
    <w:rsid w:val="00F87A50"/>
    <w:rsid w:val="00F90384"/>
    <w:rsid w:val="00F90AA0"/>
    <w:rsid w:val="00F90ACF"/>
    <w:rsid w:val="00F91B52"/>
    <w:rsid w:val="00F92FA7"/>
    <w:rsid w:val="00F938A5"/>
    <w:rsid w:val="00F943B5"/>
    <w:rsid w:val="00F949CB"/>
    <w:rsid w:val="00F94E97"/>
    <w:rsid w:val="00F95004"/>
    <w:rsid w:val="00F954E5"/>
    <w:rsid w:val="00F956DA"/>
    <w:rsid w:val="00F95E35"/>
    <w:rsid w:val="00F965F0"/>
    <w:rsid w:val="00F968A7"/>
    <w:rsid w:val="00F973AF"/>
    <w:rsid w:val="00F97525"/>
    <w:rsid w:val="00FA0131"/>
    <w:rsid w:val="00FA05D8"/>
    <w:rsid w:val="00FA0682"/>
    <w:rsid w:val="00FA0F42"/>
    <w:rsid w:val="00FA1519"/>
    <w:rsid w:val="00FA222A"/>
    <w:rsid w:val="00FA22EF"/>
    <w:rsid w:val="00FA2F63"/>
    <w:rsid w:val="00FA36E4"/>
    <w:rsid w:val="00FA3E35"/>
    <w:rsid w:val="00FA3E5C"/>
    <w:rsid w:val="00FA4389"/>
    <w:rsid w:val="00FA4781"/>
    <w:rsid w:val="00FA547E"/>
    <w:rsid w:val="00FA55EC"/>
    <w:rsid w:val="00FA5EEC"/>
    <w:rsid w:val="00FA609D"/>
    <w:rsid w:val="00FA6B60"/>
    <w:rsid w:val="00FA7996"/>
    <w:rsid w:val="00FB08C0"/>
    <w:rsid w:val="00FB1DFC"/>
    <w:rsid w:val="00FB1E33"/>
    <w:rsid w:val="00FB23EA"/>
    <w:rsid w:val="00FB2EFB"/>
    <w:rsid w:val="00FB3294"/>
    <w:rsid w:val="00FB3C7E"/>
    <w:rsid w:val="00FB41D8"/>
    <w:rsid w:val="00FB4344"/>
    <w:rsid w:val="00FB49AF"/>
    <w:rsid w:val="00FB645F"/>
    <w:rsid w:val="00FB7D98"/>
    <w:rsid w:val="00FB7DD6"/>
    <w:rsid w:val="00FC046D"/>
    <w:rsid w:val="00FC0475"/>
    <w:rsid w:val="00FC04AA"/>
    <w:rsid w:val="00FC2711"/>
    <w:rsid w:val="00FC2EF1"/>
    <w:rsid w:val="00FC2FBB"/>
    <w:rsid w:val="00FC37D4"/>
    <w:rsid w:val="00FC3AE6"/>
    <w:rsid w:val="00FC3EA8"/>
    <w:rsid w:val="00FC4BC7"/>
    <w:rsid w:val="00FC4F64"/>
    <w:rsid w:val="00FC54E6"/>
    <w:rsid w:val="00FC5900"/>
    <w:rsid w:val="00FC6502"/>
    <w:rsid w:val="00FD0381"/>
    <w:rsid w:val="00FD04C5"/>
    <w:rsid w:val="00FD0A27"/>
    <w:rsid w:val="00FD1850"/>
    <w:rsid w:val="00FD25EF"/>
    <w:rsid w:val="00FD3024"/>
    <w:rsid w:val="00FD3572"/>
    <w:rsid w:val="00FD496B"/>
    <w:rsid w:val="00FD4C5C"/>
    <w:rsid w:val="00FD5349"/>
    <w:rsid w:val="00FD5887"/>
    <w:rsid w:val="00FD5CEA"/>
    <w:rsid w:val="00FD626D"/>
    <w:rsid w:val="00FD6438"/>
    <w:rsid w:val="00FD651A"/>
    <w:rsid w:val="00FD6A4B"/>
    <w:rsid w:val="00FD6F93"/>
    <w:rsid w:val="00FD7155"/>
    <w:rsid w:val="00FD728A"/>
    <w:rsid w:val="00FD760F"/>
    <w:rsid w:val="00FD7980"/>
    <w:rsid w:val="00FE0D2E"/>
    <w:rsid w:val="00FE24C4"/>
    <w:rsid w:val="00FE298B"/>
    <w:rsid w:val="00FE3B78"/>
    <w:rsid w:val="00FE5153"/>
    <w:rsid w:val="00FE546C"/>
    <w:rsid w:val="00FE5893"/>
    <w:rsid w:val="00FE593A"/>
    <w:rsid w:val="00FE5FE8"/>
    <w:rsid w:val="00FE670B"/>
    <w:rsid w:val="00FE6E30"/>
    <w:rsid w:val="00FE6F63"/>
    <w:rsid w:val="00FE7D62"/>
    <w:rsid w:val="00FF0807"/>
    <w:rsid w:val="00FF0C69"/>
    <w:rsid w:val="00FF1132"/>
    <w:rsid w:val="00FF14ED"/>
    <w:rsid w:val="00FF2B48"/>
    <w:rsid w:val="00FF2B5B"/>
    <w:rsid w:val="00FF38DC"/>
    <w:rsid w:val="00FF5A77"/>
    <w:rsid w:val="00FF7E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D3A97"/>
  <w15:docId w15:val="{49E8457B-632B-45FC-99D4-2F180B0FB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iPriority="99" w:unhideWhenUsed="1"/>
    <w:lsdException w:name="annotation text" w:locked="1" w:semiHidden="1" w:uiPriority="99" w:unhideWhenUsed="1"/>
    <w:lsdException w:name="header" w:locked="1" w:semiHidden="1" w:uiPriority="99"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lsdException w:name="List" w:locked="1" w:semiHidden="1" w:unhideWhenUsed="1"/>
    <w:lsdException w:name="List Bullet" w:locked="1" w:semiHidden="1" w:unhideWhenUsed="1"/>
    <w:lsdException w:name="List Number" w:locked="1"/>
    <w:lsdException w:name="List 2" w:lock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lsdException w:name="List Continue 5" w:locked="1"/>
    <w:lsdException w:name="Message Header" w:lock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iPriority="99"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uiPriority="99"/>
    <w:lsdException w:name="Table Grid"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A1D87"/>
    <w:pPr>
      <w:suppressAutoHyphens/>
      <w:spacing w:line="480" w:lineRule="auto"/>
      <w:ind w:firstLine="709"/>
    </w:pPr>
    <w:rPr>
      <w:sz w:val="24"/>
      <w:szCs w:val="24"/>
      <w:lang w:eastAsia="ar-SA"/>
    </w:rPr>
  </w:style>
  <w:style w:type="paragraph" w:styleId="berschrift1">
    <w:name w:val="heading 1"/>
    <w:basedOn w:val="Standard"/>
    <w:next w:val="Standard"/>
    <w:link w:val="berschrift1Zchn"/>
    <w:uiPriority w:val="9"/>
    <w:qFormat/>
    <w:rsid w:val="00AD6A8B"/>
    <w:pPr>
      <w:keepNext/>
      <w:keepLines/>
      <w:ind w:firstLine="0"/>
      <w:jc w:val="center"/>
      <w:outlineLvl w:val="0"/>
    </w:pPr>
    <w:rPr>
      <w:b/>
      <w:szCs w:val="20"/>
    </w:rPr>
  </w:style>
  <w:style w:type="paragraph" w:styleId="berschrift2">
    <w:name w:val="heading 2"/>
    <w:basedOn w:val="Standard"/>
    <w:next w:val="Standard"/>
    <w:link w:val="berschrift2Zchn"/>
    <w:uiPriority w:val="9"/>
    <w:qFormat/>
    <w:rsid w:val="004F21ED"/>
    <w:pPr>
      <w:keepNext/>
      <w:keepLines/>
      <w:ind w:firstLine="0"/>
      <w:outlineLvl w:val="1"/>
    </w:pPr>
    <w:rPr>
      <w:b/>
      <w:szCs w:val="20"/>
    </w:rPr>
  </w:style>
  <w:style w:type="paragraph" w:styleId="berschrift3">
    <w:name w:val="heading 3"/>
    <w:basedOn w:val="Standard"/>
    <w:next w:val="Standard"/>
    <w:link w:val="berschrift3Zchn"/>
    <w:uiPriority w:val="9"/>
    <w:qFormat/>
    <w:rsid w:val="00624E81"/>
    <w:pPr>
      <w:keepNext/>
      <w:outlineLvl w:val="2"/>
    </w:pPr>
    <w:rPr>
      <w:b/>
      <w:szCs w:val="20"/>
    </w:rPr>
  </w:style>
  <w:style w:type="paragraph" w:styleId="berschrift4">
    <w:name w:val="heading 4"/>
    <w:basedOn w:val="Standard"/>
    <w:next w:val="Standard"/>
    <w:link w:val="berschrift4Zchn"/>
    <w:semiHidden/>
    <w:unhideWhenUsed/>
    <w:qFormat/>
    <w:rsid w:val="00DB768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AD6A8B"/>
    <w:rPr>
      <w:b/>
      <w:sz w:val="24"/>
      <w:lang w:val="de-DE" w:eastAsia="ar-SA" w:bidi="ar-SA"/>
    </w:rPr>
  </w:style>
  <w:style w:type="character" w:customStyle="1" w:styleId="berschrift2Zchn">
    <w:name w:val="Überschrift 2 Zchn"/>
    <w:link w:val="berschrift2"/>
    <w:uiPriority w:val="9"/>
    <w:locked/>
    <w:rsid w:val="004F21ED"/>
    <w:rPr>
      <w:b/>
      <w:sz w:val="24"/>
      <w:lang w:val="de-DE" w:eastAsia="ar-SA" w:bidi="ar-SA"/>
    </w:rPr>
  </w:style>
  <w:style w:type="character" w:customStyle="1" w:styleId="berschrift3Zchn">
    <w:name w:val="Überschrift 3 Zchn"/>
    <w:link w:val="berschrift3"/>
    <w:uiPriority w:val="9"/>
    <w:locked/>
    <w:rsid w:val="00624E81"/>
    <w:rPr>
      <w:b/>
      <w:sz w:val="24"/>
      <w:lang w:eastAsia="ar-SA"/>
    </w:rPr>
  </w:style>
  <w:style w:type="character" w:customStyle="1" w:styleId="Absatz-Standardschriftart10">
    <w:name w:val="Absatz-Standardschriftart10"/>
    <w:rsid w:val="00C66F50"/>
  </w:style>
  <w:style w:type="character" w:customStyle="1" w:styleId="Absatz-Standardschriftart9">
    <w:name w:val="Absatz-Standardschriftart9"/>
    <w:rsid w:val="00C66F50"/>
  </w:style>
  <w:style w:type="character" w:customStyle="1" w:styleId="Absatz-Standardschriftart8">
    <w:name w:val="Absatz-Standardschriftart8"/>
    <w:rsid w:val="00C66F50"/>
  </w:style>
  <w:style w:type="character" w:customStyle="1" w:styleId="WW-Absatz-Standardschriftart">
    <w:name w:val="WW-Absatz-Standardschriftart"/>
    <w:rsid w:val="00C66F50"/>
  </w:style>
  <w:style w:type="character" w:customStyle="1" w:styleId="Absatz-Standardschriftart7">
    <w:name w:val="Absatz-Standardschriftart7"/>
    <w:rsid w:val="00C66F50"/>
  </w:style>
  <w:style w:type="character" w:customStyle="1" w:styleId="Absatz-Standardschriftart6">
    <w:name w:val="Absatz-Standardschriftart6"/>
    <w:rsid w:val="00C66F50"/>
  </w:style>
  <w:style w:type="character" w:customStyle="1" w:styleId="WW-Absatz-Standardschriftart1">
    <w:name w:val="WW-Absatz-Standardschriftart1"/>
    <w:rsid w:val="00C66F50"/>
  </w:style>
  <w:style w:type="character" w:customStyle="1" w:styleId="Absatz-Standardschriftart5">
    <w:name w:val="Absatz-Standardschriftart5"/>
    <w:rsid w:val="00C66F50"/>
  </w:style>
  <w:style w:type="character" w:customStyle="1" w:styleId="Absatz-Standardschriftart4">
    <w:name w:val="Absatz-Standardschriftart4"/>
    <w:rsid w:val="00C66F50"/>
  </w:style>
  <w:style w:type="character" w:customStyle="1" w:styleId="Absatz-Standardschriftart3">
    <w:name w:val="Absatz-Standardschriftart3"/>
    <w:rsid w:val="00C66F50"/>
  </w:style>
  <w:style w:type="character" w:customStyle="1" w:styleId="WW-Absatz-Standardschriftart11">
    <w:name w:val="WW-Absatz-Standardschriftart11"/>
    <w:rsid w:val="00C66F50"/>
  </w:style>
  <w:style w:type="character" w:customStyle="1" w:styleId="Absatz-Standardschriftart2">
    <w:name w:val="Absatz-Standardschriftart2"/>
    <w:rsid w:val="00C66F50"/>
  </w:style>
  <w:style w:type="character" w:customStyle="1" w:styleId="WW-Absatz-Standardschriftart111">
    <w:name w:val="WW-Absatz-Standardschriftart111"/>
    <w:rsid w:val="00C66F50"/>
  </w:style>
  <w:style w:type="character" w:customStyle="1" w:styleId="WW-Absatz-Standardschriftart1111">
    <w:name w:val="WW-Absatz-Standardschriftart1111"/>
    <w:rsid w:val="00C66F50"/>
  </w:style>
  <w:style w:type="character" w:customStyle="1" w:styleId="WW-Absatz-Standardschriftart11111">
    <w:name w:val="WW-Absatz-Standardschriftart11111"/>
    <w:rsid w:val="00C66F50"/>
  </w:style>
  <w:style w:type="character" w:customStyle="1" w:styleId="Absatz-Standardschriftart1">
    <w:name w:val="Absatz-Standardschriftart1"/>
    <w:rsid w:val="00C66F50"/>
  </w:style>
  <w:style w:type="character" w:styleId="Hyperlink">
    <w:name w:val="Hyperlink"/>
    <w:uiPriority w:val="99"/>
    <w:rsid w:val="00C66F50"/>
    <w:rPr>
      <w:color w:val="0000FF"/>
      <w:u w:val="single"/>
    </w:rPr>
  </w:style>
  <w:style w:type="character" w:customStyle="1" w:styleId="value">
    <w:name w:val="value"/>
    <w:rsid w:val="00C66F50"/>
  </w:style>
  <w:style w:type="character" w:customStyle="1" w:styleId="FootnoteCharacters">
    <w:name w:val="Footnote Characters"/>
    <w:rsid w:val="00C66F50"/>
    <w:rPr>
      <w:vertAlign w:val="superscript"/>
    </w:rPr>
  </w:style>
  <w:style w:type="character" w:styleId="Seitenzahl">
    <w:name w:val="page number"/>
    <w:basedOn w:val="Absatz-Standardschriftart"/>
    <w:rsid w:val="00C66F50"/>
  </w:style>
  <w:style w:type="character" w:customStyle="1" w:styleId="Funotenzeichen1">
    <w:name w:val="Fußnotenzeichen1"/>
    <w:rsid w:val="00C66F50"/>
    <w:rPr>
      <w:vertAlign w:val="superscript"/>
    </w:rPr>
  </w:style>
  <w:style w:type="character" w:customStyle="1" w:styleId="EndnoteCharacters">
    <w:name w:val="Endnote Characters"/>
    <w:rsid w:val="00C66F50"/>
    <w:rPr>
      <w:vertAlign w:val="superscript"/>
    </w:rPr>
  </w:style>
  <w:style w:type="character" w:customStyle="1" w:styleId="WW-EndnoteCharacters">
    <w:name w:val="WW-Endnote Characters"/>
    <w:rsid w:val="00C66F50"/>
  </w:style>
  <w:style w:type="character" w:customStyle="1" w:styleId="Endnotenzeichen1">
    <w:name w:val="Endnotenzeichen1"/>
    <w:rsid w:val="00C66F50"/>
    <w:rPr>
      <w:vertAlign w:val="superscript"/>
    </w:rPr>
  </w:style>
  <w:style w:type="character" w:customStyle="1" w:styleId="Funotenzeichen2">
    <w:name w:val="Fußnotenzeichen2"/>
    <w:rsid w:val="00C66F50"/>
    <w:rPr>
      <w:vertAlign w:val="superscript"/>
    </w:rPr>
  </w:style>
  <w:style w:type="character" w:customStyle="1" w:styleId="Endnotenzeichen2">
    <w:name w:val="Endnotenzeichen2"/>
    <w:rsid w:val="00C66F50"/>
    <w:rPr>
      <w:vertAlign w:val="superscript"/>
    </w:rPr>
  </w:style>
  <w:style w:type="character" w:customStyle="1" w:styleId="Funotenzeichen3">
    <w:name w:val="Fußnotenzeichen3"/>
    <w:rsid w:val="00C66F50"/>
    <w:rPr>
      <w:vertAlign w:val="superscript"/>
    </w:rPr>
  </w:style>
  <w:style w:type="character" w:customStyle="1" w:styleId="Endnotenzeichen3">
    <w:name w:val="Endnotenzeichen3"/>
    <w:rsid w:val="00C66F50"/>
    <w:rPr>
      <w:vertAlign w:val="superscript"/>
    </w:rPr>
  </w:style>
  <w:style w:type="character" w:customStyle="1" w:styleId="Funotenzeichen4">
    <w:name w:val="Fußnotenzeichen4"/>
    <w:rsid w:val="00C66F50"/>
    <w:rPr>
      <w:vertAlign w:val="superscript"/>
    </w:rPr>
  </w:style>
  <w:style w:type="character" w:customStyle="1" w:styleId="Endnotenzeichen4">
    <w:name w:val="Endnotenzeichen4"/>
    <w:rsid w:val="00C66F50"/>
    <w:rPr>
      <w:vertAlign w:val="superscript"/>
    </w:rPr>
  </w:style>
  <w:style w:type="character" w:customStyle="1" w:styleId="authors">
    <w:name w:val="authors"/>
    <w:rsid w:val="00C66F50"/>
  </w:style>
  <w:style w:type="character" w:customStyle="1" w:styleId="Funotenzeichen5">
    <w:name w:val="Fußnotenzeichen5"/>
    <w:rsid w:val="00C66F50"/>
    <w:rPr>
      <w:vertAlign w:val="superscript"/>
    </w:rPr>
  </w:style>
  <w:style w:type="character" w:customStyle="1" w:styleId="Endnotenzeichen5">
    <w:name w:val="Endnotenzeichen5"/>
    <w:rsid w:val="00C66F50"/>
    <w:rPr>
      <w:vertAlign w:val="superscript"/>
    </w:rPr>
  </w:style>
  <w:style w:type="character" w:customStyle="1" w:styleId="Funotenzeichen6">
    <w:name w:val="Fußnotenzeichen6"/>
    <w:rsid w:val="00C66F50"/>
    <w:rPr>
      <w:vertAlign w:val="superscript"/>
    </w:rPr>
  </w:style>
  <w:style w:type="character" w:customStyle="1" w:styleId="Endnotenzeichen6">
    <w:name w:val="Endnotenzeichen6"/>
    <w:rsid w:val="00C66F50"/>
    <w:rPr>
      <w:vertAlign w:val="superscript"/>
    </w:rPr>
  </w:style>
  <w:style w:type="character" w:customStyle="1" w:styleId="Funotenzeichen7">
    <w:name w:val="Fußnotenzeichen7"/>
    <w:rsid w:val="00C66F50"/>
    <w:rPr>
      <w:vertAlign w:val="superscript"/>
    </w:rPr>
  </w:style>
  <w:style w:type="character" w:customStyle="1" w:styleId="Endnotenzeichen7">
    <w:name w:val="Endnotenzeichen7"/>
    <w:rsid w:val="00C66F50"/>
    <w:rPr>
      <w:vertAlign w:val="superscript"/>
    </w:rPr>
  </w:style>
  <w:style w:type="character" w:styleId="Funotenzeichen">
    <w:name w:val="footnote reference"/>
    <w:uiPriority w:val="99"/>
    <w:rsid w:val="00C66F50"/>
    <w:rPr>
      <w:vertAlign w:val="superscript"/>
    </w:rPr>
  </w:style>
  <w:style w:type="character" w:styleId="Endnotenzeichen">
    <w:name w:val="endnote reference"/>
    <w:rsid w:val="00C66F50"/>
    <w:rPr>
      <w:vertAlign w:val="superscript"/>
    </w:rPr>
  </w:style>
  <w:style w:type="paragraph" w:customStyle="1" w:styleId="Heading">
    <w:name w:val="Heading"/>
    <w:basedOn w:val="Standard"/>
    <w:next w:val="Textkrper"/>
    <w:rsid w:val="00C66F50"/>
    <w:pPr>
      <w:keepNext/>
      <w:spacing w:before="240" w:after="120"/>
    </w:pPr>
    <w:rPr>
      <w:rFonts w:ascii="Arial" w:eastAsia="Microsoft YaHei" w:hAnsi="Arial" w:cs="Mangal"/>
      <w:sz w:val="28"/>
      <w:szCs w:val="28"/>
    </w:rPr>
  </w:style>
  <w:style w:type="paragraph" w:styleId="Textkrper">
    <w:name w:val="Body Text"/>
    <w:basedOn w:val="Standard"/>
    <w:link w:val="TextkrperZchn"/>
    <w:rsid w:val="00C66F50"/>
    <w:pPr>
      <w:spacing w:after="120"/>
    </w:pPr>
    <w:rPr>
      <w:szCs w:val="20"/>
    </w:rPr>
  </w:style>
  <w:style w:type="character" w:customStyle="1" w:styleId="TextkrperZchn">
    <w:name w:val="Textkörper Zchn"/>
    <w:link w:val="Textkrper"/>
    <w:semiHidden/>
    <w:locked/>
    <w:rsid w:val="004F3813"/>
    <w:rPr>
      <w:sz w:val="24"/>
      <w:lang w:val="x-none" w:eastAsia="ar-SA" w:bidi="ar-SA"/>
    </w:rPr>
  </w:style>
  <w:style w:type="paragraph" w:styleId="Liste">
    <w:name w:val="List"/>
    <w:basedOn w:val="Textkrper"/>
    <w:rsid w:val="00C66F50"/>
    <w:rPr>
      <w:rFonts w:cs="Mangal"/>
    </w:rPr>
  </w:style>
  <w:style w:type="paragraph" w:customStyle="1" w:styleId="Caption1">
    <w:name w:val="Caption1"/>
    <w:basedOn w:val="Standard"/>
    <w:rsid w:val="00C66F50"/>
    <w:pPr>
      <w:suppressLineNumbers/>
      <w:spacing w:before="120" w:after="120"/>
    </w:pPr>
    <w:rPr>
      <w:rFonts w:cs="Mangal"/>
      <w:i/>
      <w:iCs/>
    </w:rPr>
  </w:style>
  <w:style w:type="paragraph" w:customStyle="1" w:styleId="Index">
    <w:name w:val="Index"/>
    <w:basedOn w:val="Standard"/>
    <w:rsid w:val="00C66F50"/>
    <w:pPr>
      <w:suppressLineNumbers/>
    </w:pPr>
    <w:rPr>
      <w:rFonts w:cs="Mangal"/>
    </w:rPr>
  </w:style>
  <w:style w:type="paragraph" w:customStyle="1" w:styleId="Literatur">
    <w:name w:val="Literatur"/>
    <w:basedOn w:val="Standard"/>
    <w:rsid w:val="00C66F50"/>
    <w:pPr>
      <w:ind w:left="709" w:hanging="709"/>
    </w:pPr>
    <w:rPr>
      <w:rFonts w:eastAsia="SimSun"/>
      <w:lang w:val="en-US"/>
    </w:rPr>
  </w:style>
  <w:style w:type="paragraph" w:customStyle="1" w:styleId="TableContents">
    <w:name w:val="Table Contents"/>
    <w:basedOn w:val="Standard"/>
    <w:rsid w:val="00C66F50"/>
    <w:pPr>
      <w:suppressLineNumbers/>
    </w:pPr>
  </w:style>
  <w:style w:type="paragraph" w:customStyle="1" w:styleId="TableHeading">
    <w:name w:val="Table Heading"/>
    <w:basedOn w:val="TableContents"/>
    <w:rsid w:val="00C66F50"/>
    <w:pPr>
      <w:jc w:val="center"/>
    </w:pPr>
    <w:rPr>
      <w:b/>
      <w:bCs/>
    </w:rPr>
  </w:style>
  <w:style w:type="paragraph" w:customStyle="1" w:styleId="Convert3">
    <w:name w:val="Convert 3"/>
    <w:basedOn w:val="Standard"/>
    <w:rsid w:val="00C66F50"/>
    <w:rPr>
      <w:lang w:val="en-GB"/>
    </w:rPr>
  </w:style>
  <w:style w:type="paragraph" w:customStyle="1" w:styleId="st">
    <w:name w:val="st"/>
    <w:basedOn w:val="Standard"/>
    <w:link w:val="stZchn"/>
    <w:rsid w:val="00C66F50"/>
    <w:pPr>
      <w:pageBreakBefore/>
      <w:jc w:val="center"/>
    </w:pPr>
    <w:rPr>
      <w:lang w:val="en-GB"/>
    </w:rPr>
  </w:style>
  <w:style w:type="character" w:customStyle="1" w:styleId="stZchn">
    <w:name w:val="st Zchn"/>
    <w:link w:val="st"/>
    <w:locked/>
    <w:rsid w:val="005F2FE8"/>
    <w:rPr>
      <w:sz w:val="24"/>
      <w:lang w:val="en-GB" w:eastAsia="ar-SA" w:bidi="ar-SA"/>
    </w:rPr>
  </w:style>
  <w:style w:type="paragraph" w:styleId="Funotentext">
    <w:name w:val="footnote text"/>
    <w:basedOn w:val="Standard"/>
    <w:link w:val="FunotentextZchn"/>
    <w:uiPriority w:val="99"/>
    <w:rsid w:val="007D01F9"/>
    <w:pPr>
      <w:ind w:firstLine="0"/>
    </w:pPr>
    <w:rPr>
      <w:sz w:val="20"/>
      <w:szCs w:val="20"/>
    </w:rPr>
  </w:style>
  <w:style w:type="character" w:customStyle="1" w:styleId="FunotentextZchn">
    <w:name w:val="Fußnotentext Zchn"/>
    <w:link w:val="Funotentext"/>
    <w:uiPriority w:val="99"/>
    <w:locked/>
    <w:rsid w:val="007D01F9"/>
    <w:rPr>
      <w:lang w:val="x-none" w:eastAsia="ar-SA" w:bidi="ar-SA"/>
    </w:rPr>
  </w:style>
  <w:style w:type="paragraph" w:styleId="Fuzeile">
    <w:name w:val="footer"/>
    <w:basedOn w:val="Standard"/>
    <w:link w:val="FuzeileZchn"/>
    <w:rsid w:val="00C66F50"/>
    <w:pPr>
      <w:tabs>
        <w:tab w:val="center" w:pos="4536"/>
        <w:tab w:val="right" w:pos="9072"/>
      </w:tabs>
    </w:pPr>
    <w:rPr>
      <w:szCs w:val="20"/>
    </w:rPr>
  </w:style>
  <w:style w:type="character" w:customStyle="1" w:styleId="FuzeileZchn">
    <w:name w:val="Fußzeile Zchn"/>
    <w:link w:val="Fuzeile"/>
    <w:semiHidden/>
    <w:locked/>
    <w:rsid w:val="004F3813"/>
    <w:rPr>
      <w:sz w:val="24"/>
      <w:lang w:val="x-none" w:eastAsia="ar-SA" w:bidi="ar-SA"/>
    </w:rPr>
  </w:style>
  <w:style w:type="paragraph" w:customStyle="1" w:styleId="Framecontents">
    <w:name w:val="Frame contents"/>
    <w:basedOn w:val="Textkrper"/>
    <w:rsid w:val="00C66F50"/>
  </w:style>
  <w:style w:type="paragraph" w:styleId="Kopfzeile">
    <w:name w:val="header"/>
    <w:basedOn w:val="Standard"/>
    <w:link w:val="KopfzeileZchn"/>
    <w:uiPriority w:val="99"/>
    <w:rsid w:val="00C66F50"/>
    <w:pPr>
      <w:suppressLineNumbers/>
      <w:tabs>
        <w:tab w:val="center" w:pos="4819"/>
        <w:tab w:val="right" w:pos="9638"/>
      </w:tabs>
    </w:pPr>
    <w:rPr>
      <w:szCs w:val="20"/>
    </w:rPr>
  </w:style>
  <w:style w:type="character" w:customStyle="1" w:styleId="KopfzeileZchn">
    <w:name w:val="Kopfzeile Zchn"/>
    <w:link w:val="Kopfzeile"/>
    <w:uiPriority w:val="99"/>
    <w:locked/>
    <w:rsid w:val="004F3813"/>
    <w:rPr>
      <w:sz w:val="24"/>
      <w:lang w:val="x-none" w:eastAsia="ar-SA" w:bidi="ar-SA"/>
    </w:rPr>
  </w:style>
  <w:style w:type="paragraph" w:styleId="Sprechblasentext">
    <w:name w:val="Balloon Text"/>
    <w:basedOn w:val="Standard"/>
    <w:link w:val="SprechblasentextZchn"/>
    <w:uiPriority w:val="99"/>
    <w:rsid w:val="00CA1D87"/>
    <w:rPr>
      <w:sz w:val="16"/>
      <w:szCs w:val="20"/>
    </w:rPr>
  </w:style>
  <w:style w:type="character" w:customStyle="1" w:styleId="SprechblasentextZchn">
    <w:name w:val="Sprechblasentext Zchn"/>
    <w:link w:val="Sprechblasentext"/>
    <w:uiPriority w:val="99"/>
    <w:locked/>
    <w:rsid w:val="00CA1D87"/>
    <w:rPr>
      <w:sz w:val="16"/>
      <w:lang w:val="de-DE" w:eastAsia="ar-SA" w:bidi="ar-SA"/>
    </w:rPr>
  </w:style>
  <w:style w:type="paragraph" w:customStyle="1" w:styleId="sta">
    <w:name w:val="sta"/>
    <w:basedOn w:val="Standard"/>
    <w:rsid w:val="00C66F50"/>
    <w:pPr>
      <w:pageBreakBefore/>
      <w:jc w:val="center"/>
    </w:pPr>
    <w:rPr>
      <w:lang w:val="en-GB"/>
    </w:rPr>
  </w:style>
  <w:style w:type="table" w:styleId="Tabellenraster">
    <w:name w:val="Table Grid"/>
    <w:basedOn w:val="NormaleTabelle"/>
    <w:rsid w:val="006A04BC"/>
    <w:pPr>
      <w:suppressAutoHyphens/>
      <w:spacing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qFormat/>
    <w:rsid w:val="001E1C2F"/>
    <w:rPr>
      <w:i/>
    </w:rPr>
  </w:style>
  <w:style w:type="character" w:styleId="Kommentarzeichen">
    <w:name w:val="annotation reference"/>
    <w:uiPriority w:val="99"/>
    <w:rsid w:val="00742652"/>
    <w:rPr>
      <w:sz w:val="16"/>
    </w:rPr>
  </w:style>
  <w:style w:type="paragraph" w:styleId="Kommentartext">
    <w:name w:val="annotation text"/>
    <w:basedOn w:val="Standard"/>
    <w:link w:val="KommentartextZchn"/>
    <w:uiPriority w:val="99"/>
    <w:rsid w:val="00742652"/>
    <w:rPr>
      <w:sz w:val="20"/>
      <w:szCs w:val="20"/>
    </w:rPr>
  </w:style>
  <w:style w:type="character" w:customStyle="1" w:styleId="KommentartextZchn">
    <w:name w:val="Kommentartext Zchn"/>
    <w:link w:val="Kommentartext"/>
    <w:uiPriority w:val="99"/>
    <w:locked/>
    <w:rsid w:val="00DB3A2D"/>
    <w:rPr>
      <w:lang w:val="x-none" w:eastAsia="ar-SA" w:bidi="ar-SA"/>
    </w:rPr>
  </w:style>
  <w:style w:type="paragraph" w:styleId="Kommentarthema">
    <w:name w:val="annotation subject"/>
    <w:basedOn w:val="Kommentartext"/>
    <w:next w:val="Kommentartext"/>
    <w:link w:val="KommentarthemaZchn"/>
    <w:semiHidden/>
    <w:rsid w:val="00742652"/>
    <w:rPr>
      <w:b/>
    </w:rPr>
  </w:style>
  <w:style w:type="character" w:customStyle="1" w:styleId="KommentarthemaZchn">
    <w:name w:val="Kommentarthema Zchn"/>
    <w:link w:val="Kommentarthema"/>
    <w:semiHidden/>
    <w:locked/>
    <w:rsid w:val="004F3813"/>
    <w:rPr>
      <w:b/>
      <w:sz w:val="20"/>
      <w:lang w:val="x-none" w:eastAsia="ar-SA" w:bidi="ar-SA"/>
    </w:rPr>
  </w:style>
  <w:style w:type="paragraph" w:customStyle="1" w:styleId="MTDisplayEquation">
    <w:name w:val="MTDisplayEquation"/>
    <w:basedOn w:val="Standard"/>
    <w:next w:val="Standard"/>
    <w:rsid w:val="00B048CF"/>
    <w:pPr>
      <w:tabs>
        <w:tab w:val="center" w:pos="4540"/>
        <w:tab w:val="right" w:pos="9080"/>
      </w:tabs>
      <w:ind w:firstLine="708"/>
    </w:pPr>
    <w:rPr>
      <w:lang w:val="en-US"/>
    </w:rPr>
  </w:style>
  <w:style w:type="paragraph" w:customStyle="1" w:styleId="Bearbeitung1">
    <w:name w:val="Bearbeitung1"/>
    <w:hidden/>
    <w:semiHidden/>
    <w:rsid w:val="006C21E8"/>
    <w:rPr>
      <w:sz w:val="24"/>
      <w:szCs w:val="24"/>
      <w:lang w:eastAsia="ar-SA"/>
    </w:rPr>
  </w:style>
  <w:style w:type="character" w:customStyle="1" w:styleId="slug-doi">
    <w:name w:val="slug-doi"/>
    <w:rsid w:val="00A24FC8"/>
  </w:style>
  <w:style w:type="character" w:customStyle="1" w:styleId="go">
    <w:name w:val="go"/>
    <w:rsid w:val="00961C5F"/>
  </w:style>
  <w:style w:type="paragraph" w:customStyle="1" w:styleId="Zitat1">
    <w:name w:val="Zitat1"/>
    <w:basedOn w:val="Standard"/>
    <w:next w:val="Standard"/>
    <w:link w:val="QuoteChar"/>
    <w:rsid w:val="001E1C2F"/>
    <w:rPr>
      <w:i/>
      <w:color w:val="000000"/>
      <w:szCs w:val="20"/>
    </w:rPr>
  </w:style>
  <w:style w:type="character" w:customStyle="1" w:styleId="QuoteChar">
    <w:name w:val="Quote Char"/>
    <w:link w:val="Zitat1"/>
    <w:locked/>
    <w:rsid w:val="00F12F7B"/>
    <w:rPr>
      <w:i/>
      <w:color w:val="000000"/>
      <w:sz w:val="24"/>
      <w:lang w:val="x-none" w:eastAsia="ar-SA" w:bidi="ar-SA"/>
    </w:rPr>
  </w:style>
  <w:style w:type="paragraph" w:customStyle="1" w:styleId="Listenabsatz1">
    <w:name w:val="Listenabsatz1"/>
    <w:basedOn w:val="Standard"/>
    <w:rsid w:val="001E1C2F"/>
    <w:pPr>
      <w:ind w:left="720"/>
      <w:contextualSpacing/>
    </w:pPr>
  </w:style>
  <w:style w:type="paragraph" w:styleId="StandardWeb">
    <w:name w:val="Normal (Web)"/>
    <w:basedOn w:val="Standard"/>
    <w:uiPriority w:val="99"/>
    <w:rsid w:val="001E1C2F"/>
    <w:pPr>
      <w:suppressAutoHyphens w:val="0"/>
      <w:spacing w:before="100" w:beforeAutospacing="1" w:after="100" w:afterAutospacing="1" w:line="240" w:lineRule="auto"/>
      <w:ind w:firstLine="0"/>
    </w:pPr>
    <w:rPr>
      <w:rFonts w:ascii="Times" w:hAnsi="Times"/>
      <w:sz w:val="20"/>
      <w:szCs w:val="20"/>
      <w:lang w:eastAsia="de-DE"/>
    </w:rPr>
  </w:style>
  <w:style w:type="paragraph" w:customStyle="1" w:styleId="berarbeitung1">
    <w:name w:val="Überarbeitung1"/>
    <w:hidden/>
    <w:rsid w:val="006F1CCE"/>
    <w:rPr>
      <w:sz w:val="24"/>
      <w:szCs w:val="24"/>
      <w:lang w:eastAsia="ar-SA"/>
    </w:rPr>
  </w:style>
  <w:style w:type="character" w:customStyle="1" w:styleId="Platzhaltertext1">
    <w:name w:val="Platzhaltertext1"/>
    <w:rsid w:val="002866F8"/>
    <w:rPr>
      <w:color w:val="808080"/>
    </w:rPr>
  </w:style>
  <w:style w:type="paragraph" w:customStyle="1" w:styleId="FarbigeSchattierung-Akzent11">
    <w:name w:val="Farbige Schattierung - Akzent 11"/>
    <w:hidden/>
    <w:rsid w:val="00A87533"/>
    <w:rPr>
      <w:sz w:val="24"/>
      <w:szCs w:val="24"/>
      <w:lang w:eastAsia="ar-SA"/>
    </w:rPr>
  </w:style>
  <w:style w:type="paragraph" w:customStyle="1" w:styleId="berarbeitung2">
    <w:name w:val="Überarbeitung2"/>
    <w:hidden/>
    <w:semiHidden/>
    <w:rsid w:val="00CA1D87"/>
    <w:rPr>
      <w:sz w:val="24"/>
      <w:szCs w:val="24"/>
      <w:lang w:eastAsia="ar-SA"/>
    </w:rPr>
  </w:style>
  <w:style w:type="character" w:customStyle="1" w:styleId="Platzhaltertext2">
    <w:name w:val="Platzhaltertext2"/>
    <w:semiHidden/>
    <w:rsid w:val="007904E7"/>
    <w:rPr>
      <w:color w:val="808080"/>
    </w:rPr>
  </w:style>
  <w:style w:type="paragraph" w:styleId="Untertitel">
    <w:name w:val="Subtitle"/>
    <w:basedOn w:val="Standard"/>
    <w:next w:val="Standard"/>
    <w:link w:val="UntertitelZchn"/>
    <w:qFormat/>
    <w:locked/>
    <w:rsid w:val="00024C7A"/>
    <w:pPr>
      <w:spacing w:after="60"/>
      <w:jc w:val="center"/>
      <w:outlineLvl w:val="1"/>
    </w:pPr>
    <w:rPr>
      <w:rFonts w:ascii="Cambria" w:hAnsi="Cambria"/>
      <w:szCs w:val="20"/>
    </w:rPr>
  </w:style>
  <w:style w:type="character" w:customStyle="1" w:styleId="UntertitelZchn">
    <w:name w:val="Untertitel Zchn"/>
    <w:link w:val="Untertitel"/>
    <w:locked/>
    <w:rsid w:val="00024C7A"/>
    <w:rPr>
      <w:rFonts w:ascii="Cambria" w:hAnsi="Cambria"/>
      <w:sz w:val="24"/>
      <w:lang w:val="x-none" w:eastAsia="ar-SA" w:bidi="ar-SA"/>
    </w:rPr>
  </w:style>
  <w:style w:type="paragraph" w:styleId="Titel">
    <w:name w:val="Title"/>
    <w:basedOn w:val="Standard"/>
    <w:next w:val="Standard"/>
    <w:link w:val="TitelZchn"/>
    <w:qFormat/>
    <w:locked/>
    <w:rsid w:val="00024C7A"/>
    <w:pPr>
      <w:spacing w:before="240" w:after="60"/>
      <w:jc w:val="center"/>
      <w:outlineLvl w:val="0"/>
    </w:pPr>
    <w:rPr>
      <w:rFonts w:ascii="Cambria" w:hAnsi="Cambria"/>
      <w:b/>
      <w:kern w:val="28"/>
      <w:sz w:val="32"/>
      <w:szCs w:val="20"/>
    </w:rPr>
  </w:style>
  <w:style w:type="character" w:customStyle="1" w:styleId="TitelZchn">
    <w:name w:val="Titel Zchn"/>
    <w:link w:val="Titel"/>
    <w:locked/>
    <w:rsid w:val="00024C7A"/>
    <w:rPr>
      <w:rFonts w:ascii="Cambria" w:hAnsi="Cambria"/>
      <w:b/>
      <w:kern w:val="28"/>
      <w:sz w:val="32"/>
      <w:lang w:val="x-none" w:eastAsia="ar-SA" w:bidi="ar-SA"/>
    </w:rPr>
  </w:style>
  <w:style w:type="character" w:customStyle="1" w:styleId="article-headermeta-info-label">
    <w:name w:val="article-header__meta-info-label"/>
    <w:rsid w:val="006A45B8"/>
  </w:style>
  <w:style w:type="character" w:customStyle="1" w:styleId="article-headermeta-info-data">
    <w:name w:val="article-header__meta-info-data"/>
    <w:rsid w:val="006A45B8"/>
  </w:style>
  <w:style w:type="paragraph" w:customStyle="1" w:styleId="Listenabsatz2">
    <w:name w:val="Listenabsatz2"/>
    <w:basedOn w:val="Standard"/>
    <w:rsid w:val="008F044B"/>
    <w:pPr>
      <w:ind w:left="720"/>
      <w:contextualSpacing/>
    </w:pPr>
  </w:style>
  <w:style w:type="paragraph" w:styleId="Listenabsatz">
    <w:name w:val="List Paragraph"/>
    <w:basedOn w:val="Standard"/>
    <w:uiPriority w:val="34"/>
    <w:qFormat/>
    <w:rsid w:val="008D1AB9"/>
    <w:pPr>
      <w:ind w:left="720"/>
      <w:contextualSpacing/>
    </w:pPr>
  </w:style>
  <w:style w:type="character" w:customStyle="1" w:styleId="Erwhnung1">
    <w:name w:val="Erwähnung1"/>
    <w:basedOn w:val="Absatz-Standardschriftart"/>
    <w:uiPriority w:val="99"/>
    <w:semiHidden/>
    <w:unhideWhenUsed/>
    <w:rsid w:val="00D461DB"/>
    <w:rPr>
      <w:color w:val="2B579A"/>
      <w:shd w:val="clear" w:color="auto" w:fill="E6E6E6"/>
    </w:rPr>
  </w:style>
  <w:style w:type="paragraph" w:styleId="berarbeitung">
    <w:name w:val="Revision"/>
    <w:hidden/>
    <w:uiPriority w:val="99"/>
    <w:semiHidden/>
    <w:rsid w:val="00351E84"/>
    <w:rPr>
      <w:sz w:val="24"/>
      <w:szCs w:val="24"/>
      <w:lang w:eastAsia="ar-SA"/>
    </w:rPr>
  </w:style>
  <w:style w:type="character" w:customStyle="1" w:styleId="berschrift4Zchn">
    <w:name w:val="Überschrift 4 Zchn"/>
    <w:basedOn w:val="Absatz-Standardschriftart"/>
    <w:link w:val="berschrift4"/>
    <w:uiPriority w:val="99"/>
    <w:semiHidden/>
    <w:rsid w:val="00DB768E"/>
    <w:rPr>
      <w:rFonts w:asciiTheme="majorHAnsi" w:eastAsiaTheme="majorEastAsia" w:hAnsiTheme="majorHAnsi" w:cstheme="majorBidi"/>
      <w:i/>
      <w:iCs/>
      <w:color w:val="2F5496" w:themeColor="accent1" w:themeShade="BF"/>
      <w:sz w:val="24"/>
      <w:szCs w:val="24"/>
      <w:lang w:eastAsia="ar-SA"/>
    </w:rPr>
  </w:style>
  <w:style w:type="paragraph" w:customStyle="1" w:styleId="Standard1">
    <w:name w:val="Standard1"/>
    <w:link w:val="normalZchn"/>
    <w:rsid w:val="00DB768E"/>
    <w:pPr>
      <w:spacing w:line="480" w:lineRule="auto"/>
      <w:ind w:firstLine="708"/>
    </w:pPr>
    <w:rPr>
      <w:color w:val="000000"/>
      <w:sz w:val="22"/>
      <w:szCs w:val="22"/>
    </w:rPr>
  </w:style>
  <w:style w:type="character" w:customStyle="1" w:styleId="normalZchn">
    <w:name w:val="normal Zchn"/>
    <w:link w:val="Standard1"/>
    <w:uiPriority w:val="99"/>
    <w:locked/>
    <w:rsid w:val="00DB768E"/>
    <w:rPr>
      <w:color w:val="000000"/>
      <w:sz w:val="22"/>
      <w:szCs w:val="22"/>
    </w:rPr>
  </w:style>
  <w:style w:type="paragraph" w:styleId="Beschriftung">
    <w:name w:val="caption"/>
    <w:basedOn w:val="Standard"/>
    <w:next w:val="Standard"/>
    <w:unhideWhenUsed/>
    <w:qFormat/>
    <w:rsid w:val="00E349E4"/>
    <w:pPr>
      <w:spacing w:after="200"/>
    </w:pPr>
    <w:rPr>
      <w:iCs/>
      <w:szCs w:val="18"/>
    </w:rPr>
  </w:style>
  <w:style w:type="character" w:customStyle="1" w:styleId="NichtaufgelsteErwhnung1">
    <w:name w:val="Nicht aufgelöste Erwähnung1"/>
    <w:basedOn w:val="Absatz-Standardschriftart"/>
    <w:uiPriority w:val="99"/>
    <w:semiHidden/>
    <w:unhideWhenUsed/>
    <w:rsid w:val="002660CD"/>
    <w:rPr>
      <w:color w:val="605E5C"/>
      <w:shd w:val="clear" w:color="auto" w:fill="E1DFDD"/>
    </w:rPr>
  </w:style>
  <w:style w:type="paragraph" w:styleId="Verzeichnis1">
    <w:name w:val="toc 1"/>
    <w:basedOn w:val="Standard"/>
    <w:next w:val="Standard"/>
    <w:autoRedefine/>
    <w:uiPriority w:val="39"/>
    <w:unhideWhenUsed/>
    <w:rsid w:val="00DB0402"/>
    <w:pPr>
      <w:spacing w:after="100"/>
    </w:pPr>
  </w:style>
  <w:style w:type="character" w:styleId="Platzhaltertext">
    <w:name w:val="Placeholder Text"/>
    <w:basedOn w:val="Absatz-Standardschriftart"/>
    <w:uiPriority w:val="99"/>
    <w:semiHidden/>
    <w:rsid w:val="00BB7F0F"/>
    <w:rPr>
      <w:color w:val="808080"/>
    </w:rPr>
  </w:style>
  <w:style w:type="character" w:customStyle="1" w:styleId="NichtaufgelsteErwhnung2">
    <w:name w:val="Nicht aufgelöste Erwähnung2"/>
    <w:basedOn w:val="Absatz-Standardschriftart"/>
    <w:uiPriority w:val="99"/>
    <w:semiHidden/>
    <w:unhideWhenUsed/>
    <w:rsid w:val="00130797"/>
    <w:rPr>
      <w:color w:val="605E5C"/>
      <w:shd w:val="clear" w:color="auto" w:fill="E1DFDD"/>
    </w:rPr>
  </w:style>
  <w:style w:type="paragraph" w:styleId="Endnotentext">
    <w:name w:val="endnote text"/>
    <w:basedOn w:val="Standard"/>
    <w:link w:val="EndnotentextZchn"/>
    <w:semiHidden/>
    <w:unhideWhenUsed/>
    <w:locked/>
    <w:rsid w:val="00BD7594"/>
    <w:pPr>
      <w:spacing w:line="240" w:lineRule="auto"/>
    </w:pPr>
    <w:rPr>
      <w:sz w:val="20"/>
      <w:szCs w:val="20"/>
    </w:rPr>
  </w:style>
  <w:style w:type="character" w:customStyle="1" w:styleId="EndnotentextZchn">
    <w:name w:val="Endnotentext Zchn"/>
    <w:basedOn w:val="Absatz-Standardschriftart"/>
    <w:link w:val="Endnotentext"/>
    <w:semiHidden/>
    <w:rsid w:val="00BD7594"/>
    <w:rPr>
      <w:lang w:eastAsia="ar-SA"/>
    </w:rPr>
  </w:style>
  <w:style w:type="numbering" w:customStyle="1" w:styleId="KeineListe1">
    <w:name w:val="Keine Liste1"/>
    <w:next w:val="KeineListe"/>
    <w:uiPriority w:val="99"/>
    <w:semiHidden/>
    <w:unhideWhenUsed/>
    <w:rsid w:val="008621DB"/>
  </w:style>
  <w:style w:type="character" w:customStyle="1" w:styleId="Fett1">
    <w:name w:val="Fett1"/>
    <w:basedOn w:val="Absatz-Standardschriftart"/>
    <w:uiPriority w:val="1"/>
    <w:qFormat/>
    <w:rsid w:val="008621DB"/>
    <w:rPr>
      <w:b/>
    </w:rPr>
  </w:style>
  <w:style w:type="paragraph" w:customStyle="1" w:styleId="centered">
    <w:name w:val="centered"/>
    <w:basedOn w:val="Standard"/>
    <w:qFormat/>
    <w:rsid w:val="008621DB"/>
    <w:pPr>
      <w:suppressAutoHyphens w:val="0"/>
      <w:spacing w:line="240" w:lineRule="auto"/>
      <w:ind w:firstLine="0"/>
      <w:jc w:val="center"/>
    </w:pPr>
    <w:rPr>
      <w:rFonts w:ascii="Cambria" w:eastAsia="MS Mincho" w:hAnsi="Cambria"/>
      <w:lang w:val="en-US" w:eastAsia="en-US"/>
    </w:rPr>
  </w:style>
  <w:style w:type="table" w:customStyle="1" w:styleId="tabletemplate">
    <w:name w:val="table_template"/>
    <w:basedOn w:val="NormaleTabelle"/>
    <w:uiPriority w:val="59"/>
    <w:rsid w:val="008621DB"/>
    <w:pPr>
      <w:jc w:val="right"/>
    </w:pPr>
    <w:rPr>
      <w:rFonts w:ascii="Cambria" w:eastAsia="MS Mincho" w:hAnsi="Cambria"/>
      <w:sz w:val="24"/>
      <w:szCs w:val="24"/>
      <w:lang w:val="en-US" w:eastAsia="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customStyle="1" w:styleId="HelleListe-Akzent21">
    <w:name w:val="Helle Liste - Akzent 21"/>
    <w:basedOn w:val="NormaleTabelle"/>
    <w:next w:val="HelleListe-Akzent2"/>
    <w:uiPriority w:val="61"/>
    <w:rsid w:val="008621DB"/>
    <w:rPr>
      <w:rFonts w:ascii="Cambria" w:eastAsia="MS Mincho" w:hAnsi="Cambria"/>
      <w:sz w:val="24"/>
      <w:szCs w:val="24"/>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graphictitle">
    <w:name w:val="graphic title"/>
    <w:basedOn w:val="Standard"/>
    <w:qFormat/>
    <w:rsid w:val="008621DB"/>
    <w:pPr>
      <w:suppressAutoHyphens w:val="0"/>
      <w:spacing w:line="240" w:lineRule="auto"/>
      <w:ind w:firstLine="0"/>
      <w:jc w:val="center"/>
    </w:pPr>
    <w:rPr>
      <w:rFonts w:ascii="Cambria" w:eastAsia="MS Mincho" w:hAnsi="Cambria"/>
      <w:b/>
      <w:i/>
      <w:lang w:val="en-US" w:eastAsia="en-US"/>
    </w:rPr>
  </w:style>
  <w:style w:type="paragraph" w:customStyle="1" w:styleId="tabletitle">
    <w:name w:val="table title"/>
    <w:basedOn w:val="graphictitle"/>
    <w:qFormat/>
    <w:rsid w:val="008621DB"/>
  </w:style>
  <w:style w:type="table" w:styleId="TabelleProfessionell">
    <w:name w:val="Table Professional"/>
    <w:basedOn w:val="NormaleTabelle"/>
    <w:uiPriority w:val="99"/>
    <w:semiHidden/>
    <w:unhideWhenUsed/>
    <w:locked/>
    <w:rsid w:val="008621DB"/>
    <w:rPr>
      <w:rFonts w:ascii="Cambria" w:eastAsia="MS Mincho" w:hAnsi="Cambria"/>
      <w:sz w:val="24"/>
      <w:szCs w:val="24"/>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Verzeichnis2">
    <w:name w:val="toc 2"/>
    <w:basedOn w:val="Standard"/>
    <w:next w:val="Standard"/>
    <w:autoRedefine/>
    <w:uiPriority w:val="39"/>
    <w:unhideWhenUsed/>
    <w:rsid w:val="008621DB"/>
    <w:pPr>
      <w:suppressAutoHyphens w:val="0"/>
      <w:spacing w:after="100" w:line="240" w:lineRule="auto"/>
      <w:ind w:left="240" w:firstLine="0"/>
    </w:pPr>
    <w:rPr>
      <w:rFonts w:ascii="Cambria" w:eastAsia="MS Mincho" w:hAnsi="Cambria"/>
      <w:lang w:val="en-US" w:eastAsia="en-US"/>
    </w:rPr>
  </w:style>
  <w:style w:type="character" w:customStyle="1" w:styleId="referenceid">
    <w:name w:val="reference_id"/>
    <w:basedOn w:val="Absatz-Standardschriftart"/>
    <w:uiPriority w:val="1"/>
    <w:rsid w:val="008621DB"/>
    <w:rPr>
      <w:vertAlign w:val="superscript"/>
    </w:rPr>
  </w:style>
  <w:style w:type="table" w:styleId="HelleListe-Akzent2">
    <w:name w:val="Light List Accent 2"/>
    <w:basedOn w:val="NormaleTabelle"/>
    <w:uiPriority w:val="61"/>
    <w:semiHidden/>
    <w:unhideWhenUsed/>
    <w:rsid w:val="008621D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NichtaufgelsteErwhnung3">
    <w:name w:val="Nicht aufgelöste Erwähnung3"/>
    <w:basedOn w:val="Absatz-Standardschriftart"/>
    <w:uiPriority w:val="99"/>
    <w:semiHidden/>
    <w:unhideWhenUsed/>
    <w:rsid w:val="000443B0"/>
    <w:rPr>
      <w:color w:val="605E5C"/>
      <w:shd w:val="clear" w:color="auto" w:fill="E1DFDD"/>
    </w:rPr>
  </w:style>
  <w:style w:type="character" w:customStyle="1" w:styleId="NichtaufgelsteErwhnung4">
    <w:name w:val="Nicht aufgelöste Erwähnung4"/>
    <w:basedOn w:val="Absatz-Standardschriftart"/>
    <w:uiPriority w:val="99"/>
    <w:semiHidden/>
    <w:unhideWhenUsed/>
    <w:rsid w:val="00630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43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11">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sChild>
        <w:div w:id="403">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sChild>
            <w:div w:id="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356">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sChild>
        <w:div w:id="370">
          <w:marLeft w:val="0"/>
          <w:marRight w:val="0"/>
          <w:marTop w:val="0"/>
          <w:marBottom w:val="0"/>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343">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396">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
      <w:marLeft w:val="0"/>
      <w:marRight w:val="0"/>
      <w:marTop w:val="0"/>
      <w:marBottom w:val="0"/>
      <w:divBdr>
        <w:top w:val="none" w:sz="0" w:space="0" w:color="auto"/>
        <w:left w:val="none" w:sz="0" w:space="0" w:color="auto"/>
        <w:bottom w:val="none" w:sz="0" w:space="0" w:color="auto"/>
        <w:right w:val="none" w:sz="0" w:space="0" w:color="auto"/>
      </w:divBdr>
      <w:divsChild>
        <w:div w:id="351">
          <w:marLeft w:val="0"/>
          <w:marRight w:val="0"/>
          <w:marTop w:val="0"/>
          <w:marBottom w:val="0"/>
          <w:divBdr>
            <w:top w:val="none" w:sz="0" w:space="0" w:color="auto"/>
            <w:left w:val="none" w:sz="0" w:space="0" w:color="auto"/>
            <w:bottom w:val="none" w:sz="0" w:space="0" w:color="auto"/>
            <w:right w:val="none" w:sz="0" w:space="0" w:color="auto"/>
          </w:divBdr>
          <w:divsChild>
            <w:div w:id="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sChild>
            <w:div w:id="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324">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
      <w:marLeft w:val="0"/>
      <w:marRight w:val="0"/>
      <w:marTop w:val="0"/>
      <w:marBottom w:val="0"/>
      <w:divBdr>
        <w:top w:val="none" w:sz="0" w:space="0" w:color="auto"/>
        <w:left w:val="none" w:sz="0" w:space="0" w:color="auto"/>
        <w:bottom w:val="none" w:sz="0" w:space="0" w:color="auto"/>
        <w:right w:val="none" w:sz="0" w:space="0" w:color="auto"/>
      </w:divBdr>
      <w:divsChild>
        <w:div w:id="374">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
      <w:marLeft w:val="0"/>
      <w:marRight w:val="0"/>
      <w:marTop w:val="0"/>
      <w:marBottom w:val="0"/>
      <w:divBdr>
        <w:top w:val="none" w:sz="0" w:space="0" w:color="auto"/>
        <w:left w:val="none" w:sz="0" w:space="0" w:color="auto"/>
        <w:bottom w:val="none" w:sz="0" w:space="0" w:color="auto"/>
        <w:right w:val="none" w:sz="0" w:space="0" w:color="auto"/>
      </w:divBdr>
      <w:divsChild>
        <w:div w:id="359">
          <w:marLeft w:val="0"/>
          <w:marRight w:val="0"/>
          <w:marTop w:val="0"/>
          <w:marBottom w:val="0"/>
          <w:divBdr>
            <w:top w:val="none" w:sz="0" w:space="0" w:color="auto"/>
            <w:left w:val="none" w:sz="0" w:space="0" w:color="auto"/>
            <w:bottom w:val="none" w:sz="0" w:space="0" w:color="auto"/>
            <w:right w:val="none" w:sz="0" w:space="0" w:color="auto"/>
          </w:divBdr>
          <w:divsChild>
            <w:div w:id="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
      <w:marLeft w:val="0"/>
      <w:marRight w:val="0"/>
      <w:marTop w:val="0"/>
      <w:marBottom w:val="0"/>
      <w:divBdr>
        <w:top w:val="none" w:sz="0" w:space="0" w:color="auto"/>
        <w:left w:val="none" w:sz="0" w:space="0" w:color="auto"/>
        <w:bottom w:val="none" w:sz="0" w:space="0" w:color="auto"/>
        <w:right w:val="none" w:sz="0" w:space="0" w:color="auto"/>
      </w:divBdr>
      <w:divsChild>
        <w:div w:id="428">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0"/>
          <w:divBdr>
            <w:top w:val="none" w:sz="0" w:space="0" w:color="auto"/>
            <w:left w:val="none" w:sz="0" w:space="0" w:color="auto"/>
            <w:bottom w:val="none" w:sz="0" w:space="0" w:color="auto"/>
            <w:right w:val="none" w:sz="0" w:space="0" w:color="auto"/>
          </w:divBdr>
          <w:divsChild>
            <w:div w:id="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
      <w:marLeft w:val="0"/>
      <w:marRight w:val="0"/>
      <w:marTop w:val="0"/>
      <w:marBottom w:val="0"/>
      <w:divBdr>
        <w:top w:val="none" w:sz="0" w:space="0" w:color="auto"/>
        <w:left w:val="none" w:sz="0" w:space="0" w:color="auto"/>
        <w:bottom w:val="none" w:sz="0" w:space="0" w:color="auto"/>
        <w:right w:val="none" w:sz="0" w:space="0" w:color="auto"/>
      </w:divBdr>
      <w:divsChild>
        <w:div w:id="419">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sChild>
            <w:div w:id="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
      <w:marLeft w:val="0"/>
      <w:marRight w:val="0"/>
      <w:marTop w:val="0"/>
      <w:marBottom w:val="0"/>
      <w:divBdr>
        <w:top w:val="none" w:sz="0" w:space="0" w:color="auto"/>
        <w:left w:val="none" w:sz="0" w:space="0" w:color="auto"/>
        <w:bottom w:val="none" w:sz="0" w:space="0" w:color="auto"/>
        <w:right w:val="none" w:sz="0" w:space="0" w:color="auto"/>
      </w:divBdr>
      <w:divsChild>
        <w:div w:id="295">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none" w:sz="0" w:space="0" w:color="auto"/>
            <w:left w:val="none" w:sz="0" w:space="0" w:color="auto"/>
            <w:bottom w:val="none" w:sz="0" w:space="0" w:color="auto"/>
            <w:right w:val="none" w:sz="0" w:space="0" w:color="auto"/>
          </w:divBdr>
          <w:divsChild>
            <w:div w:id="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
      <w:marLeft w:val="0"/>
      <w:marRight w:val="0"/>
      <w:marTop w:val="0"/>
      <w:marBottom w:val="0"/>
      <w:divBdr>
        <w:top w:val="none" w:sz="0" w:space="0" w:color="auto"/>
        <w:left w:val="none" w:sz="0" w:space="0" w:color="auto"/>
        <w:bottom w:val="none" w:sz="0" w:space="0" w:color="auto"/>
        <w:right w:val="none" w:sz="0" w:space="0" w:color="auto"/>
      </w:divBdr>
      <w:divsChild>
        <w:div w:id="305">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sChild>
        <w:div w:id="209">
          <w:marLeft w:val="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sChild>
        <w:div w:id="247">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sChild>
        <w:div w:id="261">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sChild>
                <w:div w:id="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
      <w:marLeft w:val="0"/>
      <w:marRight w:val="0"/>
      <w:marTop w:val="0"/>
      <w:marBottom w:val="0"/>
      <w:divBdr>
        <w:top w:val="none" w:sz="0" w:space="0" w:color="auto"/>
        <w:left w:val="none" w:sz="0" w:space="0" w:color="auto"/>
        <w:bottom w:val="none" w:sz="0" w:space="0" w:color="auto"/>
        <w:right w:val="none" w:sz="0" w:space="0" w:color="auto"/>
      </w:divBdr>
      <w:divsChild>
        <w:div w:id="234">
          <w:marLeft w:val="0"/>
          <w:marRight w:val="0"/>
          <w:marTop w:val="0"/>
          <w:marBottom w:val="0"/>
          <w:divBdr>
            <w:top w:val="none" w:sz="0" w:space="0" w:color="auto"/>
            <w:left w:val="none" w:sz="0" w:space="0" w:color="auto"/>
            <w:bottom w:val="none" w:sz="0" w:space="0" w:color="auto"/>
            <w:right w:val="none" w:sz="0" w:space="0" w:color="auto"/>
          </w:divBdr>
          <w:divsChild>
            <w:div w:id="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
      <w:marLeft w:val="0"/>
      <w:marRight w:val="0"/>
      <w:marTop w:val="0"/>
      <w:marBottom w:val="0"/>
      <w:divBdr>
        <w:top w:val="none" w:sz="0" w:space="0" w:color="auto"/>
        <w:left w:val="none" w:sz="0" w:space="0" w:color="auto"/>
        <w:bottom w:val="none" w:sz="0" w:space="0" w:color="auto"/>
        <w:right w:val="none" w:sz="0" w:space="0" w:color="auto"/>
      </w:divBdr>
      <w:divsChild>
        <w:div w:id="169">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
      <w:marLeft w:val="0"/>
      <w:marRight w:val="0"/>
      <w:marTop w:val="0"/>
      <w:marBottom w:val="0"/>
      <w:divBdr>
        <w:top w:val="none" w:sz="0" w:space="0" w:color="auto"/>
        <w:left w:val="none" w:sz="0" w:space="0" w:color="auto"/>
        <w:bottom w:val="none" w:sz="0" w:space="0" w:color="auto"/>
        <w:right w:val="none" w:sz="0" w:space="0" w:color="auto"/>
      </w:divBdr>
      <w:divsChild>
        <w:div w:id="242">
          <w:marLeft w:val="0"/>
          <w:marRight w:val="0"/>
          <w:marTop w:val="0"/>
          <w:marBottom w:val="0"/>
          <w:divBdr>
            <w:top w:val="none" w:sz="0" w:space="0" w:color="auto"/>
            <w:left w:val="none" w:sz="0" w:space="0" w:color="auto"/>
            <w:bottom w:val="none" w:sz="0" w:space="0" w:color="auto"/>
            <w:right w:val="none" w:sz="0" w:space="0" w:color="auto"/>
          </w:divBdr>
          <w:divsChild>
            <w:div w:id="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199">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
      <w:marLeft w:val="0"/>
      <w:marRight w:val="0"/>
      <w:marTop w:val="0"/>
      <w:marBottom w:val="0"/>
      <w:divBdr>
        <w:top w:val="none" w:sz="0" w:space="0" w:color="auto"/>
        <w:left w:val="none" w:sz="0" w:space="0" w:color="auto"/>
        <w:bottom w:val="none" w:sz="0" w:space="0" w:color="auto"/>
        <w:right w:val="none" w:sz="0" w:space="0" w:color="auto"/>
      </w:divBdr>
      <w:divsChild>
        <w:div w:id="284">
          <w:marLeft w:val="0"/>
          <w:marRight w:val="0"/>
          <w:marTop w:val="0"/>
          <w:marBottom w:val="0"/>
          <w:divBdr>
            <w:top w:val="none" w:sz="0" w:space="0" w:color="auto"/>
            <w:left w:val="none" w:sz="0" w:space="0" w:color="auto"/>
            <w:bottom w:val="none" w:sz="0" w:space="0" w:color="auto"/>
            <w:right w:val="none" w:sz="0" w:space="0" w:color="auto"/>
          </w:divBdr>
          <w:divsChild>
            <w:div w:id="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151">
              <w:marLeft w:val="0"/>
              <w:marRight w:val="0"/>
              <w:marTop w:val="0"/>
              <w:marBottom w:val="0"/>
              <w:divBdr>
                <w:top w:val="none" w:sz="0" w:space="0" w:color="auto"/>
                <w:left w:val="none" w:sz="0" w:space="0" w:color="auto"/>
                <w:bottom w:val="none" w:sz="0" w:space="0" w:color="auto"/>
                <w:right w:val="none" w:sz="0" w:space="0" w:color="auto"/>
              </w:divBdr>
              <w:divsChild>
                <w:div w:id="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sChild>
        <w:div w:id="192">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
      <w:marLeft w:val="0"/>
      <w:marRight w:val="0"/>
      <w:marTop w:val="0"/>
      <w:marBottom w:val="0"/>
      <w:divBdr>
        <w:top w:val="none" w:sz="0" w:space="0" w:color="auto"/>
        <w:left w:val="none" w:sz="0" w:space="0" w:color="auto"/>
        <w:bottom w:val="none" w:sz="0" w:space="0" w:color="auto"/>
        <w:right w:val="none" w:sz="0" w:space="0" w:color="auto"/>
      </w:divBdr>
      <w:divsChild>
        <w:div w:id="132">
          <w:marLeft w:val="0"/>
          <w:marRight w:val="0"/>
          <w:marTop w:val="0"/>
          <w:marBottom w:val="0"/>
          <w:divBdr>
            <w:top w:val="none" w:sz="0" w:space="0" w:color="auto"/>
            <w:left w:val="none" w:sz="0" w:space="0" w:color="auto"/>
            <w:bottom w:val="none" w:sz="0" w:space="0" w:color="auto"/>
            <w:right w:val="none" w:sz="0" w:space="0" w:color="auto"/>
          </w:divBdr>
          <w:divsChild>
            <w:div w:id="215">
              <w:marLeft w:val="0"/>
              <w:marRight w:val="0"/>
              <w:marTop w:val="0"/>
              <w:marBottom w:val="0"/>
              <w:divBdr>
                <w:top w:val="none" w:sz="0" w:space="0" w:color="auto"/>
                <w:left w:val="none" w:sz="0" w:space="0" w:color="auto"/>
                <w:bottom w:val="none" w:sz="0" w:space="0" w:color="auto"/>
                <w:right w:val="none" w:sz="0" w:space="0" w:color="auto"/>
              </w:divBdr>
              <w:divsChild>
                <w:div w:id="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
      <w:marLeft w:val="0"/>
      <w:marRight w:val="0"/>
      <w:marTop w:val="0"/>
      <w:marBottom w:val="0"/>
      <w:divBdr>
        <w:top w:val="none" w:sz="0" w:space="0" w:color="auto"/>
        <w:left w:val="none" w:sz="0" w:space="0" w:color="auto"/>
        <w:bottom w:val="none" w:sz="0" w:space="0" w:color="auto"/>
        <w:right w:val="none" w:sz="0" w:space="0" w:color="auto"/>
      </w:divBdr>
      <w:divsChild>
        <w:div w:id="265">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
      <w:marLeft w:val="0"/>
      <w:marRight w:val="0"/>
      <w:marTop w:val="0"/>
      <w:marBottom w:val="0"/>
      <w:divBdr>
        <w:top w:val="none" w:sz="0" w:space="0" w:color="auto"/>
        <w:left w:val="none" w:sz="0" w:space="0" w:color="auto"/>
        <w:bottom w:val="none" w:sz="0" w:space="0" w:color="auto"/>
        <w:right w:val="none" w:sz="0" w:space="0" w:color="auto"/>
      </w:divBdr>
      <w:divsChild>
        <w:div w:id="250">
          <w:marLeft w:val="0"/>
          <w:marRight w:val="0"/>
          <w:marTop w:val="0"/>
          <w:marBottom w:val="0"/>
          <w:divBdr>
            <w:top w:val="none" w:sz="0" w:space="0" w:color="auto"/>
            <w:left w:val="none" w:sz="0" w:space="0" w:color="auto"/>
            <w:bottom w:val="none" w:sz="0" w:space="0" w:color="auto"/>
            <w:right w:val="none" w:sz="0" w:space="0" w:color="auto"/>
          </w:divBdr>
          <w:divsChild>
            <w:div w:id="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sChild>
            <w:div w:id="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
      <w:marLeft w:val="0"/>
      <w:marRight w:val="0"/>
      <w:marTop w:val="0"/>
      <w:marBottom w:val="0"/>
      <w:divBdr>
        <w:top w:val="none" w:sz="0" w:space="0" w:color="auto"/>
        <w:left w:val="none" w:sz="0" w:space="0" w:color="auto"/>
        <w:bottom w:val="none" w:sz="0" w:space="0" w:color="auto"/>
        <w:right w:val="none" w:sz="0" w:space="0" w:color="auto"/>
      </w:divBdr>
      <w:divsChild>
        <w:div w:id="189">
          <w:marLeft w:val="0"/>
          <w:marRight w:val="0"/>
          <w:marTop w:val="0"/>
          <w:marBottom w:val="0"/>
          <w:divBdr>
            <w:top w:val="none" w:sz="0" w:space="0" w:color="auto"/>
            <w:left w:val="none" w:sz="0" w:space="0" w:color="auto"/>
            <w:bottom w:val="none" w:sz="0" w:space="0" w:color="auto"/>
            <w:right w:val="none" w:sz="0" w:space="0" w:color="auto"/>
          </w:divBdr>
          <w:divsChild>
            <w:div w:id="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
      <w:marLeft w:val="0"/>
      <w:marRight w:val="0"/>
      <w:marTop w:val="0"/>
      <w:marBottom w:val="0"/>
      <w:divBdr>
        <w:top w:val="none" w:sz="0" w:space="0" w:color="auto"/>
        <w:left w:val="none" w:sz="0" w:space="0" w:color="auto"/>
        <w:bottom w:val="none" w:sz="0" w:space="0" w:color="auto"/>
        <w:right w:val="none" w:sz="0" w:space="0" w:color="auto"/>
      </w:divBdr>
      <w:divsChild>
        <w:div w:id="311">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
      <w:marLeft w:val="0"/>
      <w:marRight w:val="0"/>
      <w:marTop w:val="0"/>
      <w:marBottom w:val="0"/>
      <w:divBdr>
        <w:top w:val="none" w:sz="0" w:space="0" w:color="auto"/>
        <w:left w:val="none" w:sz="0" w:space="0" w:color="auto"/>
        <w:bottom w:val="none" w:sz="0" w:space="0" w:color="auto"/>
        <w:right w:val="none" w:sz="0" w:space="0" w:color="auto"/>
      </w:divBdr>
      <w:divsChild>
        <w:div w:id="235">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
      <w:marLeft w:val="0"/>
      <w:marRight w:val="0"/>
      <w:marTop w:val="0"/>
      <w:marBottom w:val="0"/>
      <w:divBdr>
        <w:top w:val="none" w:sz="0" w:space="0" w:color="auto"/>
        <w:left w:val="none" w:sz="0" w:space="0" w:color="auto"/>
        <w:bottom w:val="none" w:sz="0" w:space="0" w:color="auto"/>
        <w:right w:val="none" w:sz="0" w:space="0" w:color="auto"/>
      </w:divBdr>
      <w:divsChild>
        <w:div w:id="294">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
      <w:marLeft w:val="0"/>
      <w:marRight w:val="0"/>
      <w:marTop w:val="0"/>
      <w:marBottom w:val="0"/>
      <w:divBdr>
        <w:top w:val="none" w:sz="0" w:space="0" w:color="auto"/>
        <w:left w:val="none" w:sz="0" w:space="0" w:color="auto"/>
        <w:bottom w:val="none" w:sz="0" w:space="0" w:color="auto"/>
        <w:right w:val="none" w:sz="0" w:space="0" w:color="auto"/>
      </w:divBdr>
      <w:divsChild>
        <w:div w:id="321">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232">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sChild>
        <w:div w:id="149">
          <w:marLeft w:val="0"/>
          <w:marRight w:val="0"/>
          <w:marTop w:val="0"/>
          <w:marBottom w:val="0"/>
          <w:divBdr>
            <w:top w:val="none" w:sz="0" w:space="0" w:color="auto"/>
            <w:left w:val="none" w:sz="0" w:space="0" w:color="auto"/>
            <w:bottom w:val="none" w:sz="0" w:space="0" w:color="auto"/>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none" w:sz="0" w:space="0" w:color="auto"/>
            <w:left w:val="none" w:sz="0" w:space="0" w:color="auto"/>
            <w:bottom w:val="none" w:sz="0" w:space="0" w:color="auto"/>
            <w:right w:val="none" w:sz="0" w:space="0" w:color="auto"/>
          </w:divBdr>
          <w:divsChild>
            <w:div w:id="231">
              <w:marLeft w:val="0"/>
              <w:marRight w:val="0"/>
              <w:marTop w:val="0"/>
              <w:marBottom w:val="0"/>
              <w:divBdr>
                <w:top w:val="none" w:sz="0" w:space="0" w:color="auto"/>
                <w:left w:val="none" w:sz="0" w:space="0" w:color="auto"/>
                <w:bottom w:val="none" w:sz="0" w:space="0" w:color="auto"/>
                <w:right w:val="none" w:sz="0" w:space="0" w:color="auto"/>
              </w:divBdr>
              <w:divsChild>
                <w:div w:id="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none" w:sz="0" w:space="0" w:color="auto"/>
            <w:left w:val="none" w:sz="0" w:space="0" w:color="auto"/>
            <w:bottom w:val="none" w:sz="0" w:space="0" w:color="auto"/>
            <w:right w:val="none" w:sz="0" w:space="0" w:color="auto"/>
          </w:divBdr>
          <w:divsChild>
            <w:div w:id="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
      <w:marLeft w:val="0"/>
      <w:marRight w:val="0"/>
      <w:marTop w:val="0"/>
      <w:marBottom w:val="0"/>
      <w:divBdr>
        <w:top w:val="none" w:sz="0" w:space="0" w:color="auto"/>
        <w:left w:val="none" w:sz="0" w:space="0" w:color="auto"/>
        <w:bottom w:val="none" w:sz="0" w:space="0" w:color="auto"/>
        <w:right w:val="none" w:sz="0" w:space="0" w:color="auto"/>
      </w:divBdr>
      <w:divsChild>
        <w:div w:id="299">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
      <w:marLeft w:val="0"/>
      <w:marRight w:val="0"/>
      <w:marTop w:val="0"/>
      <w:marBottom w:val="0"/>
      <w:divBdr>
        <w:top w:val="none" w:sz="0" w:space="0" w:color="auto"/>
        <w:left w:val="none" w:sz="0" w:space="0" w:color="auto"/>
        <w:bottom w:val="none" w:sz="0" w:space="0" w:color="auto"/>
        <w:right w:val="none" w:sz="0" w:space="0" w:color="auto"/>
      </w:divBdr>
      <w:divsChild>
        <w:div w:id="182">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sChild>
            <w:div w:id="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
      <w:marLeft w:val="0"/>
      <w:marRight w:val="0"/>
      <w:marTop w:val="0"/>
      <w:marBottom w:val="0"/>
      <w:divBdr>
        <w:top w:val="none" w:sz="0" w:space="0" w:color="auto"/>
        <w:left w:val="none" w:sz="0" w:space="0" w:color="auto"/>
        <w:bottom w:val="none" w:sz="0" w:space="0" w:color="auto"/>
        <w:right w:val="none" w:sz="0" w:space="0" w:color="auto"/>
      </w:divBdr>
      <w:divsChild>
        <w:div w:id="289">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
      <w:marLeft w:val="0"/>
      <w:marRight w:val="0"/>
      <w:marTop w:val="0"/>
      <w:marBottom w:val="0"/>
      <w:divBdr>
        <w:top w:val="none" w:sz="0" w:space="0" w:color="auto"/>
        <w:left w:val="none" w:sz="0" w:space="0" w:color="auto"/>
        <w:bottom w:val="none" w:sz="0" w:space="0" w:color="auto"/>
        <w:right w:val="none" w:sz="0" w:space="0" w:color="auto"/>
      </w:divBdr>
      <w:divsChild>
        <w:div w:id="220">
          <w:marLeft w:val="0"/>
          <w:marRight w:val="0"/>
          <w:marTop w:val="0"/>
          <w:marBottom w:val="0"/>
          <w:divBdr>
            <w:top w:val="none" w:sz="0" w:space="0" w:color="auto"/>
            <w:left w:val="none" w:sz="0" w:space="0" w:color="auto"/>
            <w:bottom w:val="none" w:sz="0" w:space="0" w:color="auto"/>
            <w:right w:val="none" w:sz="0" w:space="0" w:color="auto"/>
          </w:divBdr>
          <w:divsChild>
            <w:div w:id="274">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sChild>
            <w:div w:id="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
      <w:marLeft w:val="0"/>
      <w:marRight w:val="0"/>
      <w:marTop w:val="0"/>
      <w:marBottom w:val="0"/>
      <w:divBdr>
        <w:top w:val="none" w:sz="0" w:space="0" w:color="auto"/>
        <w:left w:val="none" w:sz="0" w:space="0" w:color="auto"/>
        <w:bottom w:val="none" w:sz="0" w:space="0" w:color="auto"/>
        <w:right w:val="none" w:sz="0" w:space="0" w:color="auto"/>
      </w:divBdr>
    </w:div>
    <w:div w:id="291">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
      <w:marLeft w:val="0"/>
      <w:marRight w:val="0"/>
      <w:marTop w:val="0"/>
      <w:marBottom w:val="0"/>
      <w:divBdr>
        <w:top w:val="none" w:sz="0" w:space="0" w:color="auto"/>
        <w:left w:val="none" w:sz="0" w:space="0" w:color="auto"/>
        <w:bottom w:val="none" w:sz="0" w:space="0" w:color="auto"/>
        <w:right w:val="none" w:sz="0" w:space="0" w:color="auto"/>
      </w:divBdr>
      <w:divsChild>
        <w:div w:id="257">
          <w:marLeft w:val="0"/>
          <w:marRight w:val="0"/>
          <w:marTop w:val="0"/>
          <w:marBottom w:val="0"/>
          <w:divBdr>
            <w:top w:val="none" w:sz="0" w:space="0" w:color="auto"/>
            <w:left w:val="none" w:sz="0" w:space="0" w:color="auto"/>
            <w:bottom w:val="none" w:sz="0" w:space="0" w:color="auto"/>
            <w:right w:val="none" w:sz="0" w:space="0" w:color="auto"/>
          </w:divBdr>
        </w:div>
      </w:divsChild>
    </w:div>
    <w:div w:id="296">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sChild>
            <w:div w:id="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
      <w:marLeft w:val="0"/>
      <w:marRight w:val="0"/>
      <w:marTop w:val="0"/>
      <w:marBottom w:val="0"/>
      <w:divBdr>
        <w:top w:val="none" w:sz="0" w:space="0" w:color="auto"/>
        <w:left w:val="none" w:sz="0" w:space="0" w:color="auto"/>
        <w:bottom w:val="none" w:sz="0" w:space="0" w:color="auto"/>
        <w:right w:val="none" w:sz="0" w:space="0" w:color="auto"/>
      </w:divBdr>
      <w:divsChild>
        <w:div w:id="309">
          <w:marLeft w:val="0"/>
          <w:marRight w:val="0"/>
          <w:marTop w:val="0"/>
          <w:marBottom w:val="0"/>
          <w:divBdr>
            <w:top w:val="none" w:sz="0" w:space="0" w:color="auto"/>
            <w:left w:val="none" w:sz="0" w:space="0" w:color="auto"/>
            <w:bottom w:val="none" w:sz="0" w:space="0" w:color="auto"/>
            <w:right w:val="none" w:sz="0" w:space="0" w:color="auto"/>
          </w:divBdr>
          <w:divsChild>
            <w:div w:id="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
      <w:marLeft w:val="0"/>
      <w:marRight w:val="0"/>
      <w:marTop w:val="0"/>
      <w:marBottom w:val="0"/>
      <w:divBdr>
        <w:top w:val="none" w:sz="0" w:space="0" w:color="auto"/>
        <w:left w:val="none" w:sz="0" w:space="0" w:color="auto"/>
        <w:bottom w:val="none" w:sz="0" w:space="0" w:color="auto"/>
        <w:right w:val="none" w:sz="0" w:space="0" w:color="auto"/>
      </w:divBdr>
      <w:divsChild>
        <w:div w:id="253">
          <w:marLeft w:val="0"/>
          <w:marRight w:val="0"/>
          <w:marTop w:val="0"/>
          <w:marBottom w:val="0"/>
          <w:divBdr>
            <w:top w:val="none" w:sz="0" w:space="0" w:color="auto"/>
            <w:left w:val="none" w:sz="0" w:space="0" w:color="auto"/>
            <w:bottom w:val="none" w:sz="0" w:space="0" w:color="auto"/>
            <w:right w:val="none" w:sz="0" w:space="0" w:color="auto"/>
          </w:divBdr>
          <w:divsChild>
            <w:div w:id="230">
              <w:marLeft w:val="0"/>
              <w:marRight w:val="0"/>
              <w:marTop w:val="0"/>
              <w:marBottom w:val="0"/>
              <w:divBdr>
                <w:top w:val="none" w:sz="0" w:space="0" w:color="auto"/>
                <w:left w:val="none" w:sz="0" w:space="0" w:color="auto"/>
                <w:bottom w:val="none" w:sz="0" w:space="0" w:color="auto"/>
                <w:right w:val="none" w:sz="0" w:space="0" w:color="auto"/>
              </w:divBdr>
              <w:divsChild>
                <w:div w:id="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
      <w:marLeft w:val="0"/>
      <w:marRight w:val="0"/>
      <w:marTop w:val="0"/>
      <w:marBottom w:val="0"/>
      <w:divBdr>
        <w:top w:val="none" w:sz="0" w:space="0" w:color="auto"/>
        <w:left w:val="none" w:sz="0" w:space="0" w:color="auto"/>
        <w:bottom w:val="none" w:sz="0" w:space="0" w:color="auto"/>
        <w:right w:val="none" w:sz="0" w:space="0" w:color="auto"/>
      </w:divBdr>
      <w:divsChild>
        <w:div w:id="402">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
      <w:marLeft w:val="0"/>
      <w:marRight w:val="0"/>
      <w:marTop w:val="0"/>
      <w:marBottom w:val="0"/>
      <w:divBdr>
        <w:top w:val="none" w:sz="0" w:space="0" w:color="auto"/>
        <w:left w:val="none" w:sz="0" w:space="0" w:color="auto"/>
        <w:bottom w:val="none" w:sz="0" w:space="0" w:color="auto"/>
        <w:right w:val="none" w:sz="0" w:space="0" w:color="auto"/>
      </w:divBdr>
      <w:divsChild>
        <w:div w:id="429">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
      <w:marLeft w:val="0"/>
      <w:marRight w:val="0"/>
      <w:marTop w:val="0"/>
      <w:marBottom w:val="0"/>
      <w:divBdr>
        <w:top w:val="none" w:sz="0" w:space="0" w:color="auto"/>
        <w:left w:val="none" w:sz="0" w:space="0" w:color="auto"/>
        <w:bottom w:val="none" w:sz="0" w:space="0" w:color="auto"/>
        <w:right w:val="none" w:sz="0" w:space="0" w:color="auto"/>
      </w:divBdr>
    </w:div>
    <w:div w:id="33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
      <w:marLeft w:val="0"/>
      <w:marRight w:val="0"/>
      <w:marTop w:val="0"/>
      <w:marBottom w:val="0"/>
      <w:divBdr>
        <w:top w:val="none" w:sz="0" w:space="0" w:color="auto"/>
        <w:left w:val="none" w:sz="0" w:space="0" w:color="auto"/>
        <w:bottom w:val="none" w:sz="0" w:space="0" w:color="auto"/>
        <w:right w:val="none" w:sz="0" w:space="0" w:color="auto"/>
      </w:divBdr>
      <w:divsChild>
        <w:div w:id="377">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none" w:sz="0" w:space="0" w:color="auto"/>
                <w:left w:val="none" w:sz="0" w:space="0" w:color="auto"/>
                <w:bottom w:val="none" w:sz="0" w:space="0" w:color="auto"/>
                <w:right w:val="none" w:sz="0" w:space="0" w:color="auto"/>
              </w:divBdr>
              <w:divsChild>
                <w:div w:id="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
      <w:marLeft w:val="0"/>
      <w:marRight w:val="0"/>
      <w:marTop w:val="0"/>
      <w:marBottom w:val="0"/>
      <w:divBdr>
        <w:top w:val="none" w:sz="0" w:space="0" w:color="auto"/>
        <w:left w:val="none" w:sz="0" w:space="0" w:color="auto"/>
        <w:bottom w:val="none" w:sz="0" w:space="0" w:color="auto"/>
        <w:right w:val="none" w:sz="0" w:space="0" w:color="auto"/>
      </w:divBdr>
      <w:divsChild>
        <w:div w:id="407">
          <w:marLeft w:val="0"/>
          <w:marRight w:val="0"/>
          <w:marTop w:val="0"/>
          <w:marBottom w:val="0"/>
          <w:divBdr>
            <w:top w:val="none" w:sz="0" w:space="0" w:color="auto"/>
            <w:left w:val="none" w:sz="0" w:space="0" w:color="auto"/>
            <w:bottom w:val="none" w:sz="0" w:space="0" w:color="auto"/>
            <w:right w:val="none" w:sz="0" w:space="0" w:color="auto"/>
          </w:divBdr>
          <w:divsChild>
            <w:div w:id="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
      <w:marLeft w:val="0"/>
      <w:marRight w:val="0"/>
      <w:marTop w:val="0"/>
      <w:marBottom w:val="0"/>
      <w:divBdr>
        <w:top w:val="none" w:sz="0" w:space="0" w:color="auto"/>
        <w:left w:val="none" w:sz="0" w:space="0" w:color="auto"/>
        <w:bottom w:val="none" w:sz="0" w:space="0" w:color="auto"/>
        <w:right w:val="none" w:sz="0" w:space="0" w:color="auto"/>
      </w:divBdr>
      <w:divsChild>
        <w:div w:id="397">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388">
              <w:marLeft w:val="0"/>
              <w:marRight w:val="0"/>
              <w:marTop w:val="0"/>
              <w:marBottom w:val="0"/>
              <w:divBdr>
                <w:top w:val="none" w:sz="0" w:space="0" w:color="auto"/>
                <w:left w:val="none" w:sz="0" w:space="0" w:color="auto"/>
                <w:bottom w:val="none" w:sz="0" w:space="0" w:color="auto"/>
                <w:right w:val="none" w:sz="0" w:space="0" w:color="auto"/>
              </w:divBdr>
            </w:div>
            <w:div w:id="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
      <w:marLeft w:val="0"/>
      <w:marRight w:val="0"/>
      <w:marTop w:val="0"/>
      <w:marBottom w:val="0"/>
      <w:divBdr>
        <w:top w:val="none" w:sz="0" w:space="0" w:color="auto"/>
        <w:left w:val="none" w:sz="0" w:space="0" w:color="auto"/>
        <w:bottom w:val="none" w:sz="0" w:space="0" w:color="auto"/>
        <w:right w:val="none" w:sz="0" w:space="0" w:color="auto"/>
      </w:divBdr>
      <w:divsChild>
        <w:div w:id="329">
          <w:marLeft w:val="0"/>
          <w:marRight w:val="0"/>
          <w:marTop w:val="0"/>
          <w:marBottom w:val="0"/>
          <w:divBdr>
            <w:top w:val="none" w:sz="0" w:space="0" w:color="auto"/>
            <w:left w:val="none" w:sz="0" w:space="0" w:color="auto"/>
            <w:bottom w:val="none" w:sz="0" w:space="0" w:color="auto"/>
            <w:right w:val="none" w:sz="0" w:space="0" w:color="auto"/>
          </w:divBdr>
          <w:divsChild>
            <w:div w:id="38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
      <w:marLeft w:val="0"/>
      <w:marRight w:val="0"/>
      <w:marTop w:val="0"/>
      <w:marBottom w:val="0"/>
      <w:divBdr>
        <w:top w:val="none" w:sz="0" w:space="0" w:color="auto"/>
        <w:left w:val="none" w:sz="0" w:space="0" w:color="auto"/>
        <w:bottom w:val="none" w:sz="0" w:space="0" w:color="auto"/>
        <w:right w:val="none" w:sz="0" w:space="0" w:color="auto"/>
      </w:divBdr>
      <w:divsChild>
        <w:div w:id="328">
          <w:marLeft w:val="0"/>
          <w:marRight w:val="0"/>
          <w:marTop w:val="0"/>
          <w:marBottom w:val="0"/>
          <w:divBdr>
            <w:top w:val="none" w:sz="0" w:space="0" w:color="auto"/>
            <w:left w:val="none" w:sz="0" w:space="0" w:color="auto"/>
            <w:bottom w:val="none" w:sz="0" w:space="0" w:color="auto"/>
            <w:right w:val="none" w:sz="0" w:space="0" w:color="auto"/>
          </w:divBdr>
          <w:divsChild>
            <w:div w:id="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
      <w:marLeft w:val="0"/>
      <w:marRight w:val="0"/>
      <w:marTop w:val="0"/>
      <w:marBottom w:val="0"/>
      <w:divBdr>
        <w:top w:val="none" w:sz="0" w:space="0" w:color="auto"/>
        <w:left w:val="none" w:sz="0" w:space="0" w:color="auto"/>
        <w:bottom w:val="none" w:sz="0" w:space="0" w:color="auto"/>
        <w:right w:val="none" w:sz="0" w:space="0" w:color="auto"/>
      </w:divBdr>
    </w:div>
    <w:div w:id="379">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
      <w:marLeft w:val="0"/>
      <w:marRight w:val="0"/>
      <w:marTop w:val="0"/>
      <w:marBottom w:val="0"/>
      <w:divBdr>
        <w:top w:val="none" w:sz="0" w:space="0" w:color="auto"/>
        <w:left w:val="none" w:sz="0" w:space="0" w:color="auto"/>
        <w:bottom w:val="none" w:sz="0" w:space="0" w:color="auto"/>
        <w:right w:val="none" w:sz="0" w:space="0" w:color="auto"/>
      </w:divBdr>
    </w:div>
    <w:div w:id="399">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
      <w:marLeft w:val="0"/>
      <w:marRight w:val="0"/>
      <w:marTop w:val="0"/>
      <w:marBottom w:val="0"/>
      <w:divBdr>
        <w:top w:val="none" w:sz="0" w:space="0" w:color="auto"/>
        <w:left w:val="none" w:sz="0" w:space="0" w:color="auto"/>
        <w:bottom w:val="none" w:sz="0" w:space="0" w:color="auto"/>
        <w:right w:val="none" w:sz="0" w:space="0" w:color="auto"/>
      </w:divBdr>
      <w:divsChild>
        <w:div w:id="366">
          <w:marLeft w:val="0"/>
          <w:marRight w:val="0"/>
          <w:marTop w:val="0"/>
          <w:marBottom w:val="0"/>
          <w:divBdr>
            <w:top w:val="none" w:sz="0" w:space="0" w:color="auto"/>
            <w:left w:val="none" w:sz="0" w:space="0" w:color="auto"/>
            <w:bottom w:val="none" w:sz="0" w:space="0" w:color="auto"/>
            <w:right w:val="none" w:sz="0" w:space="0" w:color="auto"/>
          </w:divBdr>
        </w:div>
      </w:divsChild>
    </w:div>
    <w:div w:id="404">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
      <w:marLeft w:val="0"/>
      <w:marRight w:val="0"/>
      <w:marTop w:val="0"/>
      <w:marBottom w:val="0"/>
      <w:divBdr>
        <w:top w:val="none" w:sz="0" w:space="0" w:color="auto"/>
        <w:left w:val="none" w:sz="0" w:space="0" w:color="auto"/>
        <w:bottom w:val="none" w:sz="0" w:space="0" w:color="auto"/>
        <w:right w:val="none" w:sz="0" w:space="0" w:color="auto"/>
      </w:divBdr>
    </w:div>
    <w:div w:id="408">
      <w:marLeft w:val="0"/>
      <w:marRight w:val="0"/>
      <w:marTop w:val="0"/>
      <w:marBottom w:val="0"/>
      <w:divBdr>
        <w:top w:val="none" w:sz="0" w:space="0" w:color="auto"/>
        <w:left w:val="none" w:sz="0" w:space="0" w:color="auto"/>
        <w:bottom w:val="none" w:sz="0" w:space="0" w:color="auto"/>
        <w:right w:val="none" w:sz="0" w:space="0" w:color="auto"/>
      </w:divBdr>
      <w:divsChild>
        <w:div w:id="371">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
      <w:marLeft w:val="0"/>
      <w:marRight w:val="0"/>
      <w:marTop w:val="0"/>
      <w:marBottom w:val="0"/>
      <w:divBdr>
        <w:top w:val="none" w:sz="0" w:space="0" w:color="auto"/>
        <w:left w:val="none" w:sz="0" w:space="0" w:color="auto"/>
        <w:bottom w:val="none" w:sz="0" w:space="0" w:color="auto"/>
        <w:right w:val="none" w:sz="0" w:space="0" w:color="auto"/>
      </w:divBdr>
      <w:divsChild>
        <w:div w:id="372">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
      <w:marLeft w:val="0"/>
      <w:marRight w:val="0"/>
      <w:marTop w:val="0"/>
      <w:marBottom w:val="0"/>
      <w:divBdr>
        <w:top w:val="none" w:sz="0" w:space="0" w:color="auto"/>
        <w:left w:val="none" w:sz="0" w:space="0" w:color="auto"/>
        <w:bottom w:val="none" w:sz="0" w:space="0" w:color="auto"/>
        <w:right w:val="none" w:sz="0" w:space="0" w:color="auto"/>
      </w:divBdr>
      <w:divsChild>
        <w:div w:id="417">
          <w:marLeft w:val="0"/>
          <w:marRight w:val="0"/>
          <w:marTop w:val="0"/>
          <w:marBottom w:val="0"/>
          <w:divBdr>
            <w:top w:val="none" w:sz="0" w:space="0" w:color="auto"/>
            <w:left w:val="none" w:sz="0" w:space="0" w:color="auto"/>
            <w:bottom w:val="none" w:sz="0" w:space="0" w:color="auto"/>
            <w:right w:val="none" w:sz="0" w:space="0" w:color="auto"/>
          </w:divBdr>
          <w:divsChild>
            <w:div w:id="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
      <w:marLeft w:val="0"/>
      <w:marRight w:val="0"/>
      <w:marTop w:val="0"/>
      <w:marBottom w:val="0"/>
      <w:divBdr>
        <w:top w:val="none" w:sz="0" w:space="0" w:color="auto"/>
        <w:left w:val="none" w:sz="0" w:space="0" w:color="auto"/>
        <w:bottom w:val="none" w:sz="0" w:space="0" w:color="auto"/>
        <w:right w:val="none" w:sz="0" w:space="0" w:color="auto"/>
      </w:divBdr>
      <w:divsChild>
        <w:div w:id="409">
          <w:marLeft w:val="0"/>
          <w:marRight w:val="0"/>
          <w:marTop w:val="0"/>
          <w:marBottom w:val="0"/>
          <w:divBdr>
            <w:top w:val="none" w:sz="0" w:space="0" w:color="auto"/>
            <w:left w:val="none" w:sz="0" w:space="0" w:color="auto"/>
            <w:bottom w:val="none" w:sz="0" w:space="0" w:color="auto"/>
            <w:right w:val="none" w:sz="0" w:space="0" w:color="auto"/>
          </w:divBdr>
          <w:divsChild>
            <w:div w:id="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
      <w:marLeft w:val="0"/>
      <w:marRight w:val="0"/>
      <w:marTop w:val="0"/>
      <w:marBottom w:val="0"/>
      <w:divBdr>
        <w:top w:val="none" w:sz="0" w:space="0" w:color="auto"/>
        <w:left w:val="none" w:sz="0" w:space="0" w:color="auto"/>
        <w:bottom w:val="none" w:sz="0" w:space="0" w:color="auto"/>
        <w:right w:val="none" w:sz="0" w:space="0" w:color="auto"/>
      </w:divBdr>
      <w:divsChild>
        <w:div w:id="362">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sChild>
                <w:div w:id="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431">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 w:id="432">
      <w:marLeft w:val="0"/>
      <w:marRight w:val="0"/>
      <w:marTop w:val="0"/>
      <w:marBottom w:val="0"/>
      <w:divBdr>
        <w:top w:val="none" w:sz="0" w:space="0" w:color="auto"/>
        <w:left w:val="none" w:sz="0" w:space="0" w:color="auto"/>
        <w:bottom w:val="none" w:sz="0" w:space="0" w:color="auto"/>
        <w:right w:val="none" w:sz="0" w:space="0" w:color="auto"/>
      </w:divBdr>
      <w:divsChild>
        <w:div w:id="433">
          <w:marLeft w:val="0"/>
          <w:marRight w:val="0"/>
          <w:marTop w:val="0"/>
          <w:marBottom w:val="0"/>
          <w:divBdr>
            <w:top w:val="none" w:sz="0" w:space="0" w:color="auto"/>
            <w:left w:val="none" w:sz="0" w:space="0" w:color="auto"/>
            <w:bottom w:val="none" w:sz="0" w:space="0" w:color="auto"/>
            <w:right w:val="none" w:sz="0" w:space="0" w:color="auto"/>
          </w:divBdr>
        </w:div>
      </w:divsChild>
    </w:div>
    <w:div w:id="434">
      <w:marLeft w:val="0"/>
      <w:marRight w:val="0"/>
      <w:marTop w:val="0"/>
      <w:marBottom w:val="0"/>
      <w:divBdr>
        <w:top w:val="none" w:sz="0" w:space="0" w:color="auto"/>
        <w:left w:val="none" w:sz="0" w:space="0" w:color="auto"/>
        <w:bottom w:val="none" w:sz="0" w:space="0" w:color="auto"/>
        <w:right w:val="none" w:sz="0" w:space="0" w:color="auto"/>
      </w:divBdr>
    </w:div>
    <w:div w:id="436">
      <w:marLeft w:val="0"/>
      <w:marRight w:val="0"/>
      <w:marTop w:val="0"/>
      <w:marBottom w:val="0"/>
      <w:divBdr>
        <w:top w:val="none" w:sz="0" w:space="0" w:color="auto"/>
        <w:left w:val="none" w:sz="0" w:space="0" w:color="auto"/>
        <w:bottom w:val="none" w:sz="0" w:space="0" w:color="auto"/>
        <w:right w:val="none" w:sz="0" w:space="0" w:color="auto"/>
      </w:divBdr>
      <w:divsChild>
        <w:div w:id="435">
          <w:marLeft w:val="0"/>
          <w:marRight w:val="0"/>
          <w:marTop w:val="0"/>
          <w:marBottom w:val="0"/>
          <w:divBdr>
            <w:top w:val="none" w:sz="0" w:space="0" w:color="auto"/>
            <w:left w:val="none" w:sz="0" w:space="0" w:color="auto"/>
            <w:bottom w:val="none" w:sz="0" w:space="0" w:color="auto"/>
            <w:right w:val="none" w:sz="0" w:space="0" w:color="auto"/>
          </w:divBdr>
        </w:div>
      </w:divsChild>
    </w:div>
    <w:div w:id="438">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516237344">
      <w:bodyDiv w:val="1"/>
      <w:marLeft w:val="0"/>
      <w:marRight w:val="0"/>
      <w:marTop w:val="0"/>
      <w:marBottom w:val="0"/>
      <w:divBdr>
        <w:top w:val="none" w:sz="0" w:space="0" w:color="auto"/>
        <w:left w:val="none" w:sz="0" w:space="0" w:color="auto"/>
        <w:bottom w:val="none" w:sz="0" w:space="0" w:color="auto"/>
        <w:right w:val="none" w:sz="0" w:space="0" w:color="auto"/>
      </w:divBdr>
      <w:divsChild>
        <w:div w:id="458572772">
          <w:marLeft w:val="0"/>
          <w:marRight w:val="0"/>
          <w:marTop w:val="0"/>
          <w:marBottom w:val="0"/>
          <w:divBdr>
            <w:top w:val="none" w:sz="0" w:space="0" w:color="auto"/>
            <w:left w:val="none" w:sz="0" w:space="0" w:color="auto"/>
            <w:bottom w:val="none" w:sz="0" w:space="0" w:color="auto"/>
            <w:right w:val="none" w:sz="0" w:space="0" w:color="auto"/>
          </w:divBdr>
          <w:divsChild>
            <w:div w:id="35554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00584">
      <w:bodyDiv w:val="1"/>
      <w:marLeft w:val="0"/>
      <w:marRight w:val="0"/>
      <w:marTop w:val="0"/>
      <w:marBottom w:val="0"/>
      <w:divBdr>
        <w:top w:val="none" w:sz="0" w:space="0" w:color="auto"/>
        <w:left w:val="none" w:sz="0" w:space="0" w:color="auto"/>
        <w:bottom w:val="none" w:sz="0" w:space="0" w:color="auto"/>
        <w:right w:val="none" w:sz="0" w:space="0" w:color="auto"/>
      </w:divBdr>
      <w:divsChild>
        <w:div w:id="1551114477">
          <w:marLeft w:val="0"/>
          <w:marRight w:val="0"/>
          <w:marTop w:val="0"/>
          <w:marBottom w:val="0"/>
          <w:divBdr>
            <w:top w:val="none" w:sz="0" w:space="0" w:color="auto"/>
            <w:left w:val="none" w:sz="0" w:space="0" w:color="auto"/>
            <w:bottom w:val="none" w:sz="0" w:space="0" w:color="auto"/>
            <w:right w:val="none" w:sz="0" w:space="0" w:color="auto"/>
          </w:divBdr>
          <w:divsChild>
            <w:div w:id="61540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0347">
      <w:bodyDiv w:val="1"/>
      <w:marLeft w:val="0"/>
      <w:marRight w:val="0"/>
      <w:marTop w:val="0"/>
      <w:marBottom w:val="0"/>
      <w:divBdr>
        <w:top w:val="none" w:sz="0" w:space="0" w:color="auto"/>
        <w:left w:val="none" w:sz="0" w:space="0" w:color="auto"/>
        <w:bottom w:val="none" w:sz="0" w:space="0" w:color="auto"/>
        <w:right w:val="none" w:sz="0" w:space="0" w:color="auto"/>
      </w:divBdr>
    </w:div>
    <w:div w:id="664936580">
      <w:bodyDiv w:val="1"/>
      <w:marLeft w:val="0"/>
      <w:marRight w:val="0"/>
      <w:marTop w:val="0"/>
      <w:marBottom w:val="0"/>
      <w:divBdr>
        <w:top w:val="none" w:sz="0" w:space="0" w:color="auto"/>
        <w:left w:val="none" w:sz="0" w:space="0" w:color="auto"/>
        <w:bottom w:val="none" w:sz="0" w:space="0" w:color="auto"/>
        <w:right w:val="none" w:sz="0" w:space="0" w:color="auto"/>
      </w:divBdr>
    </w:div>
    <w:div w:id="1197161400">
      <w:bodyDiv w:val="1"/>
      <w:marLeft w:val="0"/>
      <w:marRight w:val="0"/>
      <w:marTop w:val="0"/>
      <w:marBottom w:val="0"/>
      <w:divBdr>
        <w:top w:val="none" w:sz="0" w:space="0" w:color="auto"/>
        <w:left w:val="none" w:sz="0" w:space="0" w:color="auto"/>
        <w:bottom w:val="none" w:sz="0" w:space="0" w:color="auto"/>
        <w:right w:val="none" w:sz="0" w:space="0" w:color="auto"/>
      </w:divBdr>
      <w:divsChild>
        <w:div w:id="1559319459">
          <w:marLeft w:val="0"/>
          <w:marRight w:val="0"/>
          <w:marTop w:val="0"/>
          <w:marBottom w:val="0"/>
          <w:divBdr>
            <w:top w:val="none" w:sz="0" w:space="0" w:color="auto"/>
            <w:left w:val="none" w:sz="0" w:space="0" w:color="auto"/>
            <w:bottom w:val="none" w:sz="0" w:space="0" w:color="auto"/>
            <w:right w:val="none" w:sz="0" w:space="0" w:color="auto"/>
          </w:divBdr>
          <w:divsChild>
            <w:div w:id="1694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3486">
      <w:bodyDiv w:val="1"/>
      <w:marLeft w:val="0"/>
      <w:marRight w:val="0"/>
      <w:marTop w:val="0"/>
      <w:marBottom w:val="0"/>
      <w:divBdr>
        <w:top w:val="none" w:sz="0" w:space="0" w:color="auto"/>
        <w:left w:val="none" w:sz="0" w:space="0" w:color="auto"/>
        <w:bottom w:val="none" w:sz="0" w:space="0" w:color="auto"/>
        <w:right w:val="none" w:sz="0" w:space="0" w:color="auto"/>
      </w:divBdr>
      <w:divsChild>
        <w:div w:id="697777882">
          <w:marLeft w:val="0"/>
          <w:marRight w:val="0"/>
          <w:marTop w:val="0"/>
          <w:marBottom w:val="0"/>
          <w:divBdr>
            <w:top w:val="none" w:sz="0" w:space="0" w:color="auto"/>
            <w:left w:val="none" w:sz="0" w:space="0" w:color="auto"/>
            <w:bottom w:val="none" w:sz="0" w:space="0" w:color="auto"/>
            <w:right w:val="none" w:sz="0" w:space="0" w:color="auto"/>
          </w:divBdr>
        </w:div>
      </w:divsChild>
    </w:div>
    <w:div w:id="139450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1/jama.295.6.676" TargetMode="External"/><Relationship Id="rId18" Type="http://schemas.openxmlformats.org/officeDocument/2006/relationships/hyperlink" Target="https://doi.org/10.1177/1745691616650874"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177/1745691616662243" TargetMode="External"/><Relationship Id="rId17" Type="http://schemas.openxmlformats.org/officeDocument/2006/relationships/hyperlink" Target="https://doi.org/10.31222/osf.io/zqjr9" TargetMode="External"/><Relationship Id="rId2" Type="http://schemas.openxmlformats.org/officeDocument/2006/relationships/numbering" Target="numbering.xml"/><Relationship Id="rId16" Type="http://schemas.openxmlformats.org/officeDocument/2006/relationships/hyperlink" Target="https://doi.org/10.1016/S0895-4356(01)00377-8" TargetMode="External"/><Relationship Id="rId20" Type="http://schemas.openxmlformats.org/officeDocument/2006/relationships/hyperlink" Target="https://doi.org/10.1037/1082-989X.10.4.4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36/bmj.333.7568.59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37/a0033242" TargetMode="External"/><Relationship Id="rId23" Type="http://schemas.openxmlformats.org/officeDocument/2006/relationships/fontTable" Target="fontTable.xml"/><Relationship Id="rId10" Type="http://schemas.openxmlformats.org/officeDocument/2006/relationships/hyperlink" Target="https://CRAN.R-project.org/package=weightr" TargetMode="External"/><Relationship Id="rId19" Type="http://schemas.openxmlformats.org/officeDocument/2006/relationships/hyperlink" Target="https://doi.org/10.1037/met0000025" TargetMode="External"/><Relationship Id="rId4" Type="http://schemas.openxmlformats.org/officeDocument/2006/relationships/settings" Target="settings.xml"/><Relationship Id="rId9" Type="http://schemas.openxmlformats.org/officeDocument/2006/relationships/hyperlink" Target="https://doi.org/10.2307/2533446" TargetMode="External"/><Relationship Id="rId14" Type="http://schemas.openxmlformats.org/officeDocument/2006/relationships/hyperlink" Target="https://doi.org/10.1037/xge0000104" TargetMode="External"/><Relationship Id="rId22"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A17F1-DA7C-4785-86B4-8680A1A80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1657</Words>
  <Characters>9445</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Table 1</vt:lpstr>
    </vt:vector>
  </TitlesOfParts>
  <Company>Toshiba</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dc:title>
  <dc:creator>Timo Gnambs</dc:creator>
  <cp:lastModifiedBy>Timo Gnambs</cp:lastModifiedBy>
  <cp:revision>214</cp:revision>
  <cp:lastPrinted>2015-07-18T06:25:00Z</cp:lastPrinted>
  <dcterms:created xsi:type="dcterms:W3CDTF">2018-06-04T06:21:00Z</dcterms:created>
  <dcterms:modified xsi:type="dcterms:W3CDTF">2020-06-16T18:15:00Z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