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4E834" w14:textId="4F220B97" w:rsidR="00157D23" w:rsidRPr="001A4319" w:rsidRDefault="00157D23" w:rsidP="00157D23">
      <w:pPr>
        <w:spacing w:after="0" w:line="360" w:lineRule="auto"/>
        <w:jc w:val="center"/>
        <w:rPr>
          <w:rFonts w:ascii="Calibri" w:hAnsi="Calibri" w:cs="Calibri"/>
          <w:b/>
          <w:color w:val="FF0000"/>
          <w:sz w:val="24"/>
          <w:szCs w:val="24"/>
          <w:lang w:val="en-CA"/>
        </w:rPr>
      </w:pPr>
      <w:r w:rsidRPr="001A4319">
        <w:rPr>
          <w:rFonts w:ascii="Calibri" w:hAnsi="Calibri" w:cs="Calibri"/>
          <w:b/>
          <w:color w:val="FF0000"/>
          <w:sz w:val="24"/>
          <w:szCs w:val="24"/>
          <w:lang w:val="en-CA"/>
        </w:rPr>
        <w:t>Supplemental Material</w:t>
      </w:r>
      <w:r w:rsidR="001A4319" w:rsidRPr="001A4319">
        <w:rPr>
          <w:rFonts w:ascii="Calibri" w:hAnsi="Calibri" w:cs="Calibri"/>
          <w:b/>
          <w:color w:val="FF0000"/>
          <w:sz w:val="24"/>
          <w:szCs w:val="24"/>
          <w:lang w:val="en-CA"/>
        </w:rPr>
        <w:t xml:space="preserve"> A</w:t>
      </w:r>
    </w:p>
    <w:p w14:paraId="5CDB4A58" w14:textId="6A299F24" w:rsidR="00157D23" w:rsidRPr="00F50013" w:rsidRDefault="00157D23" w:rsidP="00157D23">
      <w:pPr>
        <w:spacing w:after="0" w:line="360" w:lineRule="auto"/>
        <w:rPr>
          <w:rFonts w:ascii="Calibri" w:hAnsi="Calibri" w:cs="Calibri"/>
          <w:color w:val="FF0000"/>
          <w:sz w:val="24"/>
          <w:szCs w:val="24"/>
          <w:lang w:val="en-CA"/>
        </w:rPr>
      </w:pPr>
      <w:r>
        <w:rPr>
          <w:rFonts w:ascii="Calibri" w:hAnsi="Calibri" w:cs="Calibri"/>
          <w:sz w:val="24"/>
          <w:szCs w:val="24"/>
          <w:lang w:val="en-CA"/>
        </w:rPr>
        <w:tab/>
      </w:r>
      <w:r w:rsidRPr="00961009">
        <w:rPr>
          <w:rFonts w:ascii="Calibri" w:hAnsi="Calibri" w:cs="Calibri"/>
          <w:sz w:val="24"/>
          <w:szCs w:val="24"/>
          <w:lang w:val="en-CA"/>
        </w:rPr>
        <w:t xml:space="preserve">The analysis of percentages of choice errors confirmed the results from the analysis of RTs and showed no signs of speed-accuracy trade-off. The error percentages on distractor-absent trials did not differ between Experiments 1 and 2 (3.6% vs. 4.5%), </w:t>
      </w:r>
      <w:proofErr w:type="gramStart"/>
      <w:r w:rsidRPr="00961009">
        <w:rPr>
          <w:rFonts w:ascii="Calibri" w:hAnsi="Calibri" w:cs="Calibri"/>
          <w:i/>
          <w:sz w:val="24"/>
          <w:szCs w:val="24"/>
          <w:lang w:val="en-CA"/>
        </w:rPr>
        <w:t>t</w:t>
      </w:r>
      <w:r w:rsidRPr="00961009">
        <w:rPr>
          <w:rFonts w:ascii="Calibri" w:hAnsi="Calibri" w:cs="Calibri"/>
          <w:sz w:val="24"/>
          <w:szCs w:val="24"/>
          <w:lang w:val="en-CA"/>
        </w:rPr>
        <w:t>(</w:t>
      </w:r>
      <w:proofErr w:type="gramEnd"/>
      <w:r w:rsidRPr="00961009">
        <w:rPr>
          <w:rFonts w:ascii="Calibri" w:hAnsi="Calibri" w:cs="Calibri"/>
          <w:sz w:val="24"/>
          <w:szCs w:val="24"/>
          <w:lang w:val="en-CA"/>
        </w:rPr>
        <w:t xml:space="preserve">77) = 1.50, </w:t>
      </w:r>
      <w:r w:rsidRPr="00961009">
        <w:rPr>
          <w:rFonts w:ascii="Calibri" w:hAnsi="Calibri" w:cs="Calibri"/>
          <w:i/>
          <w:sz w:val="24"/>
          <w:szCs w:val="24"/>
          <w:lang w:val="en-CA"/>
        </w:rPr>
        <w:t>p</w:t>
      </w:r>
      <w:r w:rsidRPr="00961009">
        <w:rPr>
          <w:rFonts w:ascii="Calibri" w:hAnsi="Calibri" w:cs="Calibri"/>
          <w:sz w:val="24"/>
          <w:szCs w:val="24"/>
          <w:lang w:val="en-CA"/>
        </w:rPr>
        <w:t xml:space="preserve"> = .14, Cohen’s </w:t>
      </w:r>
      <w:r w:rsidRPr="00961009">
        <w:rPr>
          <w:rFonts w:ascii="Calibri" w:hAnsi="Calibri" w:cs="Calibri"/>
          <w:i/>
          <w:sz w:val="24"/>
          <w:szCs w:val="24"/>
          <w:lang w:val="en-CA"/>
        </w:rPr>
        <w:t>d</w:t>
      </w:r>
      <w:r w:rsidRPr="00961009">
        <w:rPr>
          <w:rFonts w:ascii="Calibri" w:hAnsi="Calibri" w:cs="Calibri"/>
          <w:i/>
          <w:sz w:val="24"/>
          <w:szCs w:val="24"/>
          <w:vertAlign w:val="subscript"/>
          <w:lang w:val="en-CA"/>
        </w:rPr>
        <w:t>s</w:t>
      </w:r>
      <w:r w:rsidRPr="00961009">
        <w:rPr>
          <w:rFonts w:ascii="Calibri" w:hAnsi="Calibri" w:cs="Calibri"/>
          <w:sz w:val="24"/>
          <w:szCs w:val="24"/>
          <w:lang w:val="en-CA"/>
        </w:rPr>
        <w:t xml:space="preserve"> = 0.34</w:t>
      </w:r>
      <w:r w:rsidR="001E0F20">
        <w:rPr>
          <w:rFonts w:ascii="Calibri" w:hAnsi="Calibri" w:cs="Calibri"/>
          <w:sz w:val="24"/>
          <w:szCs w:val="24"/>
          <w:lang w:val="en-CA"/>
        </w:rPr>
        <w:t xml:space="preserve">, </w:t>
      </w:r>
      <w:r w:rsidR="001E0F20" w:rsidRPr="001E0F20">
        <w:rPr>
          <w:rFonts w:ascii="Calibri" w:hAnsi="Calibri" w:cs="Calibri"/>
          <w:color w:val="FF0000"/>
          <w:sz w:val="24"/>
          <w:szCs w:val="24"/>
          <w:lang w:val="en-CA"/>
        </w:rPr>
        <w:t xml:space="preserve">confirming that overall performance </w:t>
      </w:r>
      <w:r w:rsidR="00F72265">
        <w:rPr>
          <w:rFonts w:ascii="Calibri" w:hAnsi="Calibri" w:cs="Calibri"/>
          <w:color w:val="FF0000"/>
          <w:sz w:val="24"/>
          <w:szCs w:val="24"/>
          <w:lang w:val="en-CA"/>
        </w:rPr>
        <w:t>was similar</w:t>
      </w:r>
      <w:r w:rsidRPr="00961009">
        <w:rPr>
          <w:rFonts w:ascii="Calibri" w:hAnsi="Calibri" w:cs="Calibri"/>
          <w:sz w:val="24"/>
          <w:szCs w:val="24"/>
          <w:lang w:val="en-CA"/>
        </w:rPr>
        <w:t xml:space="preserve">. </w:t>
      </w:r>
    </w:p>
    <w:p w14:paraId="63BFEAD5" w14:textId="77777777" w:rsidR="00157D23" w:rsidRPr="00961009" w:rsidRDefault="00157D23" w:rsidP="00157D23">
      <w:pPr>
        <w:tabs>
          <w:tab w:val="left" w:pos="709"/>
        </w:tabs>
        <w:spacing w:after="0" w:line="360" w:lineRule="auto"/>
        <w:rPr>
          <w:rFonts w:ascii="Calibri" w:hAnsi="Calibri" w:cs="Calibri"/>
          <w:sz w:val="24"/>
          <w:szCs w:val="24"/>
          <w:lang w:val="en-CA"/>
        </w:rPr>
      </w:pPr>
      <w:r w:rsidRPr="00961009">
        <w:rPr>
          <w:rFonts w:ascii="Calibri" w:hAnsi="Calibri" w:cs="Calibri"/>
          <w:sz w:val="24"/>
          <w:szCs w:val="24"/>
          <w:lang w:val="en-CA"/>
        </w:rPr>
        <w:tab/>
        <w:t xml:space="preserve">Next, we evaluated differences in error percentages between distractor-present and -absent trials separately for each experiment. In Experiment 1, a paired t-test showed that 3.4% more errors occurred on distractor-present than -absent trials (7.0% vs. 3.6%), </w:t>
      </w:r>
      <w:proofErr w:type="gramStart"/>
      <w:r w:rsidRPr="00961009">
        <w:rPr>
          <w:rFonts w:ascii="Calibri" w:hAnsi="Calibri" w:cs="Calibri"/>
          <w:i/>
          <w:sz w:val="24"/>
          <w:szCs w:val="24"/>
          <w:lang w:val="en-CA"/>
        </w:rPr>
        <w:t>t</w:t>
      </w:r>
      <w:r w:rsidRPr="00961009">
        <w:rPr>
          <w:rFonts w:ascii="Calibri" w:hAnsi="Calibri" w:cs="Calibri"/>
          <w:sz w:val="24"/>
          <w:szCs w:val="24"/>
          <w:lang w:val="en-CA"/>
        </w:rPr>
        <w:t>(</w:t>
      </w:r>
      <w:proofErr w:type="gramEnd"/>
      <w:r w:rsidRPr="00961009">
        <w:rPr>
          <w:rFonts w:ascii="Calibri" w:hAnsi="Calibri" w:cs="Calibri"/>
          <w:sz w:val="24"/>
          <w:szCs w:val="24"/>
          <w:lang w:val="en-CA"/>
        </w:rPr>
        <w:t xml:space="preserve">39) = 10.40, </w:t>
      </w:r>
      <w:r w:rsidRPr="00961009">
        <w:rPr>
          <w:rFonts w:ascii="Calibri" w:hAnsi="Calibri" w:cs="Calibri"/>
          <w:i/>
          <w:sz w:val="24"/>
          <w:szCs w:val="24"/>
          <w:lang w:val="en-CA"/>
        </w:rPr>
        <w:t>p</w:t>
      </w:r>
      <w:r w:rsidRPr="00961009">
        <w:rPr>
          <w:rFonts w:ascii="Calibri" w:hAnsi="Calibri" w:cs="Calibri"/>
          <w:sz w:val="24"/>
          <w:szCs w:val="24"/>
          <w:lang w:val="en-CA"/>
        </w:rPr>
        <w:t xml:space="preserve"> &lt; .01, Cohen’s </w:t>
      </w:r>
      <w:proofErr w:type="spellStart"/>
      <w:r w:rsidRPr="00961009">
        <w:rPr>
          <w:rFonts w:ascii="Calibri" w:hAnsi="Calibri" w:cs="Calibri"/>
          <w:i/>
          <w:sz w:val="24"/>
          <w:szCs w:val="24"/>
          <w:lang w:val="en-CA"/>
        </w:rPr>
        <w:t>d</w:t>
      </w:r>
      <w:r w:rsidRPr="00961009">
        <w:rPr>
          <w:rFonts w:ascii="Calibri" w:hAnsi="Calibri" w:cs="Calibri"/>
          <w:i/>
          <w:sz w:val="24"/>
          <w:szCs w:val="24"/>
          <w:vertAlign w:val="subscript"/>
          <w:lang w:val="en-CA"/>
        </w:rPr>
        <w:t>z</w:t>
      </w:r>
      <w:proofErr w:type="spellEnd"/>
      <w:r w:rsidRPr="00961009">
        <w:rPr>
          <w:rFonts w:ascii="Calibri" w:hAnsi="Calibri" w:cs="Calibri"/>
          <w:sz w:val="24"/>
          <w:szCs w:val="24"/>
          <w:lang w:val="en-CA"/>
        </w:rPr>
        <w:t xml:space="preserve"> = 1.64. Similarly, in Experiment 2, more errors occurred on distractor-present than -absent trials with distractors on the high-probability position (5.9% vs. 4.5%), </w:t>
      </w:r>
      <w:proofErr w:type="gramStart"/>
      <w:r w:rsidRPr="00961009">
        <w:rPr>
          <w:rFonts w:ascii="Calibri" w:hAnsi="Calibri" w:cs="Calibri"/>
          <w:i/>
          <w:sz w:val="24"/>
          <w:szCs w:val="24"/>
          <w:lang w:val="en-CA"/>
        </w:rPr>
        <w:t>t</w:t>
      </w:r>
      <w:r w:rsidRPr="00961009">
        <w:rPr>
          <w:rFonts w:ascii="Calibri" w:hAnsi="Calibri" w:cs="Calibri"/>
          <w:sz w:val="24"/>
          <w:szCs w:val="24"/>
          <w:lang w:val="en-CA"/>
        </w:rPr>
        <w:t>(</w:t>
      </w:r>
      <w:proofErr w:type="gramEnd"/>
      <w:r w:rsidRPr="00961009">
        <w:rPr>
          <w:rFonts w:ascii="Calibri" w:hAnsi="Calibri" w:cs="Calibri"/>
          <w:sz w:val="24"/>
          <w:szCs w:val="24"/>
          <w:lang w:val="en-CA"/>
        </w:rPr>
        <w:t xml:space="preserve">38) = 3.74, </w:t>
      </w:r>
      <w:r w:rsidRPr="00961009">
        <w:rPr>
          <w:rFonts w:ascii="Calibri" w:hAnsi="Calibri" w:cs="Calibri"/>
          <w:i/>
          <w:sz w:val="24"/>
          <w:szCs w:val="24"/>
          <w:lang w:val="en-CA"/>
        </w:rPr>
        <w:t>p</w:t>
      </w:r>
      <w:r w:rsidRPr="00961009">
        <w:rPr>
          <w:rFonts w:ascii="Calibri" w:hAnsi="Calibri" w:cs="Calibri"/>
          <w:sz w:val="24"/>
          <w:szCs w:val="24"/>
          <w:lang w:val="en-CA"/>
        </w:rPr>
        <w:t xml:space="preserve"> &lt; .01, Cohen’s </w:t>
      </w:r>
      <w:proofErr w:type="spellStart"/>
      <w:r w:rsidRPr="00961009">
        <w:rPr>
          <w:rFonts w:ascii="Calibri" w:hAnsi="Calibri" w:cs="Calibri"/>
          <w:i/>
          <w:sz w:val="24"/>
          <w:szCs w:val="24"/>
          <w:lang w:val="en-CA"/>
        </w:rPr>
        <w:t>d</w:t>
      </w:r>
      <w:r w:rsidRPr="00961009">
        <w:rPr>
          <w:rFonts w:ascii="Calibri" w:hAnsi="Calibri" w:cs="Calibri"/>
          <w:i/>
          <w:sz w:val="24"/>
          <w:szCs w:val="24"/>
          <w:vertAlign w:val="subscript"/>
          <w:lang w:val="en-CA"/>
        </w:rPr>
        <w:t>z</w:t>
      </w:r>
      <w:proofErr w:type="spellEnd"/>
      <w:r w:rsidRPr="00961009">
        <w:rPr>
          <w:rFonts w:ascii="Calibri" w:hAnsi="Calibri" w:cs="Calibri"/>
          <w:sz w:val="24"/>
          <w:szCs w:val="24"/>
          <w:lang w:val="en-CA"/>
        </w:rPr>
        <w:t xml:space="preserve"> = 0.60, and also with distractors on the low-probability location (9.1% vs. 4.5%), </w:t>
      </w:r>
      <w:r w:rsidRPr="00961009">
        <w:rPr>
          <w:rFonts w:ascii="Calibri" w:hAnsi="Calibri" w:cs="Calibri"/>
          <w:i/>
          <w:sz w:val="24"/>
          <w:szCs w:val="24"/>
          <w:lang w:val="en-CA"/>
        </w:rPr>
        <w:t>t</w:t>
      </w:r>
      <w:r w:rsidRPr="00961009">
        <w:rPr>
          <w:rFonts w:ascii="Calibri" w:hAnsi="Calibri" w:cs="Calibri"/>
          <w:sz w:val="24"/>
          <w:szCs w:val="24"/>
          <w:lang w:val="en-CA"/>
        </w:rPr>
        <w:t xml:space="preserve">(38) = 7.69, </w:t>
      </w:r>
      <w:r w:rsidRPr="00961009">
        <w:rPr>
          <w:rFonts w:ascii="Calibri" w:hAnsi="Calibri" w:cs="Calibri"/>
          <w:i/>
          <w:sz w:val="24"/>
          <w:szCs w:val="24"/>
          <w:lang w:val="en-CA"/>
        </w:rPr>
        <w:t>p</w:t>
      </w:r>
      <w:r w:rsidRPr="00961009">
        <w:rPr>
          <w:rFonts w:ascii="Calibri" w:hAnsi="Calibri" w:cs="Calibri"/>
          <w:sz w:val="24"/>
          <w:szCs w:val="24"/>
          <w:lang w:val="en-CA"/>
        </w:rPr>
        <w:t xml:space="preserve"> &lt; .01, Cohen’s </w:t>
      </w:r>
      <w:proofErr w:type="spellStart"/>
      <w:r w:rsidRPr="00961009">
        <w:rPr>
          <w:rFonts w:ascii="Calibri" w:hAnsi="Calibri" w:cs="Calibri"/>
          <w:i/>
          <w:sz w:val="24"/>
          <w:szCs w:val="24"/>
          <w:lang w:val="en-CA"/>
        </w:rPr>
        <w:t>d</w:t>
      </w:r>
      <w:r w:rsidRPr="00961009">
        <w:rPr>
          <w:rFonts w:ascii="Calibri" w:hAnsi="Calibri" w:cs="Calibri"/>
          <w:i/>
          <w:sz w:val="24"/>
          <w:szCs w:val="24"/>
          <w:vertAlign w:val="subscript"/>
          <w:lang w:val="en-CA"/>
        </w:rPr>
        <w:t>z</w:t>
      </w:r>
      <w:proofErr w:type="spellEnd"/>
      <w:r w:rsidRPr="00961009">
        <w:rPr>
          <w:rFonts w:ascii="Calibri" w:hAnsi="Calibri" w:cs="Calibri"/>
          <w:sz w:val="24"/>
          <w:szCs w:val="24"/>
          <w:lang w:val="en-CA"/>
        </w:rPr>
        <w:t xml:space="preserve"> = 1.23. Interference was reduced with distractors on the high-probability compared to the low-probability positions (1.4% vs. 4.6%), </w:t>
      </w:r>
      <w:proofErr w:type="gramStart"/>
      <w:r w:rsidRPr="00961009">
        <w:rPr>
          <w:rFonts w:ascii="Calibri" w:hAnsi="Calibri" w:cs="Calibri"/>
          <w:i/>
          <w:sz w:val="24"/>
          <w:szCs w:val="24"/>
          <w:lang w:val="en-CA"/>
        </w:rPr>
        <w:t>t</w:t>
      </w:r>
      <w:r w:rsidRPr="00961009">
        <w:rPr>
          <w:rFonts w:ascii="Calibri" w:hAnsi="Calibri" w:cs="Calibri"/>
          <w:sz w:val="24"/>
          <w:szCs w:val="24"/>
          <w:lang w:val="en-CA"/>
        </w:rPr>
        <w:t>(</w:t>
      </w:r>
      <w:proofErr w:type="gramEnd"/>
      <w:r w:rsidRPr="00961009">
        <w:rPr>
          <w:rFonts w:ascii="Calibri" w:hAnsi="Calibri" w:cs="Calibri"/>
          <w:sz w:val="24"/>
          <w:szCs w:val="24"/>
          <w:lang w:val="en-CA"/>
        </w:rPr>
        <w:t xml:space="preserve">38) = 6.08, </w:t>
      </w:r>
      <w:r w:rsidRPr="00961009">
        <w:rPr>
          <w:rFonts w:ascii="Calibri" w:hAnsi="Calibri" w:cs="Calibri"/>
          <w:i/>
          <w:sz w:val="24"/>
          <w:szCs w:val="24"/>
          <w:lang w:val="en-CA"/>
        </w:rPr>
        <w:t>p</w:t>
      </w:r>
      <w:r w:rsidRPr="00961009">
        <w:rPr>
          <w:rFonts w:ascii="Calibri" w:hAnsi="Calibri" w:cs="Calibri"/>
          <w:sz w:val="24"/>
          <w:szCs w:val="24"/>
          <w:lang w:val="en-CA"/>
        </w:rPr>
        <w:t xml:space="preserve"> &lt; .01, Cohen’s </w:t>
      </w:r>
      <w:proofErr w:type="spellStart"/>
      <w:r w:rsidRPr="00961009">
        <w:rPr>
          <w:rFonts w:ascii="Calibri" w:hAnsi="Calibri" w:cs="Calibri"/>
          <w:i/>
          <w:sz w:val="24"/>
          <w:szCs w:val="24"/>
          <w:lang w:val="en-CA"/>
        </w:rPr>
        <w:t>d</w:t>
      </w:r>
      <w:r w:rsidRPr="00961009">
        <w:rPr>
          <w:rFonts w:ascii="Calibri" w:hAnsi="Calibri" w:cs="Calibri"/>
          <w:i/>
          <w:sz w:val="24"/>
          <w:szCs w:val="24"/>
          <w:vertAlign w:val="subscript"/>
          <w:lang w:val="en-CA"/>
        </w:rPr>
        <w:t>z</w:t>
      </w:r>
      <w:proofErr w:type="spellEnd"/>
      <w:r w:rsidRPr="00961009">
        <w:rPr>
          <w:rFonts w:ascii="Calibri" w:hAnsi="Calibri" w:cs="Calibri"/>
          <w:sz w:val="24"/>
          <w:szCs w:val="24"/>
          <w:lang w:val="en-CA"/>
        </w:rPr>
        <w:t xml:space="preserve"> = 0.97.</w:t>
      </w:r>
    </w:p>
    <w:p w14:paraId="54A0D78D" w14:textId="77777777" w:rsidR="00157D23" w:rsidRPr="00961009" w:rsidRDefault="00157D23" w:rsidP="00157D23">
      <w:pPr>
        <w:tabs>
          <w:tab w:val="left" w:pos="709"/>
        </w:tabs>
        <w:spacing w:after="0" w:line="360" w:lineRule="auto"/>
        <w:rPr>
          <w:rFonts w:ascii="Calibri" w:hAnsi="Calibri" w:cs="Calibri"/>
          <w:sz w:val="24"/>
          <w:szCs w:val="24"/>
          <w:lang w:val="en-CA"/>
        </w:rPr>
      </w:pPr>
      <w:r w:rsidRPr="00961009">
        <w:rPr>
          <w:rFonts w:ascii="Calibri" w:hAnsi="Calibri" w:cs="Calibri"/>
          <w:sz w:val="24"/>
          <w:szCs w:val="24"/>
          <w:lang w:val="en-CA"/>
        </w:rPr>
        <w:tab/>
        <w:t xml:space="preserve">Concerning the comparisons between Experiments 1 and 2, independent-samples t-tests showed that interference with equal-probability distractor placement was larger than with distractors on the high-probability position (3.4% vs. 1.4%), </w:t>
      </w:r>
      <w:r w:rsidRPr="00961009">
        <w:rPr>
          <w:rFonts w:ascii="Calibri" w:hAnsi="Calibri" w:cs="Calibri"/>
          <w:i/>
          <w:sz w:val="24"/>
          <w:szCs w:val="24"/>
          <w:lang w:val="en-CA"/>
        </w:rPr>
        <w:t>t</w:t>
      </w:r>
      <w:r w:rsidRPr="00961009">
        <w:rPr>
          <w:rFonts w:ascii="Calibri" w:hAnsi="Calibri" w:cs="Calibri"/>
          <w:sz w:val="24"/>
          <w:szCs w:val="24"/>
          <w:lang w:val="en-CA"/>
        </w:rPr>
        <w:t xml:space="preserve">(77) = 3.79, </w:t>
      </w:r>
      <w:r w:rsidRPr="00961009">
        <w:rPr>
          <w:rFonts w:ascii="Calibri" w:hAnsi="Calibri" w:cs="Calibri"/>
          <w:i/>
          <w:sz w:val="24"/>
          <w:szCs w:val="24"/>
          <w:lang w:val="en-CA"/>
        </w:rPr>
        <w:t>p</w:t>
      </w:r>
      <w:r w:rsidRPr="00961009">
        <w:rPr>
          <w:rFonts w:ascii="Calibri" w:hAnsi="Calibri" w:cs="Calibri"/>
          <w:sz w:val="24"/>
          <w:szCs w:val="24"/>
          <w:lang w:val="en-CA"/>
        </w:rPr>
        <w:t xml:space="preserve"> &lt; .01, Cohen’s </w:t>
      </w:r>
      <w:r w:rsidRPr="00961009">
        <w:rPr>
          <w:rFonts w:ascii="Calibri" w:hAnsi="Calibri" w:cs="Calibri"/>
          <w:i/>
          <w:sz w:val="24"/>
          <w:szCs w:val="24"/>
          <w:lang w:val="en-CA"/>
        </w:rPr>
        <w:t>d</w:t>
      </w:r>
      <w:r w:rsidRPr="00961009">
        <w:rPr>
          <w:rFonts w:ascii="Calibri" w:hAnsi="Calibri" w:cs="Calibri"/>
          <w:i/>
          <w:sz w:val="24"/>
          <w:szCs w:val="24"/>
          <w:vertAlign w:val="subscript"/>
          <w:lang w:val="en-CA"/>
        </w:rPr>
        <w:t>s</w:t>
      </w:r>
      <w:r w:rsidRPr="00961009">
        <w:rPr>
          <w:rFonts w:ascii="Calibri" w:hAnsi="Calibri" w:cs="Calibri"/>
          <w:sz w:val="24"/>
          <w:szCs w:val="24"/>
          <w:lang w:val="en-CA"/>
        </w:rPr>
        <w:t xml:space="preserve"> = 0.85, and tended to be smaller than with distractors on the low-probability position (3.4% vs. 4.6%), </w:t>
      </w:r>
      <w:r w:rsidRPr="00961009">
        <w:rPr>
          <w:rFonts w:ascii="Calibri" w:hAnsi="Calibri" w:cs="Calibri"/>
          <w:i/>
          <w:sz w:val="24"/>
          <w:szCs w:val="24"/>
          <w:lang w:val="en-CA"/>
        </w:rPr>
        <w:t>t</w:t>
      </w:r>
      <w:r w:rsidRPr="00961009">
        <w:rPr>
          <w:rFonts w:ascii="Calibri" w:hAnsi="Calibri" w:cs="Calibri"/>
          <w:sz w:val="24"/>
          <w:szCs w:val="24"/>
          <w:lang w:val="en-CA"/>
        </w:rPr>
        <w:t xml:space="preserve">(77) = 1.83, </w:t>
      </w:r>
      <w:r w:rsidRPr="00961009">
        <w:rPr>
          <w:rFonts w:ascii="Calibri" w:hAnsi="Calibri" w:cs="Calibri"/>
          <w:i/>
          <w:sz w:val="24"/>
          <w:szCs w:val="24"/>
          <w:lang w:val="en-CA"/>
        </w:rPr>
        <w:t>p</w:t>
      </w:r>
      <w:r w:rsidRPr="00961009">
        <w:rPr>
          <w:rFonts w:ascii="Calibri" w:hAnsi="Calibri" w:cs="Calibri"/>
          <w:sz w:val="24"/>
          <w:szCs w:val="24"/>
          <w:lang w:val="en-CA"/>
        </w:rPr>
        <w:t xml:space="preserve"> = .07, Cohen’s </w:t>
      </w:r>
      <w:r w:rsidRPr="00961009">
        <w:rPr>
          <w:rFonts w:ascii="Calibri" w:hAnsi="Calibri" w:cs="Calibri"/>
          <w:i/>
          <w:sz w:val="24"/>
          <w:szCs w:val="24"/>
          <w:lang w:val="en-CA"/>
        </w:rPr>
        <w:t>d</w:t>
      </w:r>
      <w:r w:rsidRPr="00961009">
        <w:rPr>
          <w:rFonts w:ascii="Calibri" w:hAnsi="Calibri" w:cs="Calibri"/>
          <w:i/>
          <w:sz w:val="24"/>
          <w:szCs w:val="24"/>
          <w:vertAlign w:val="subscript"/>
          <w:lang w:val="en-CA"/>
        </w:rPr>
        <w:t>s</w:t>
      </w:r>
      <w:r w:rsidRPr="00961009">
        <w:rPr>
          <w:rFonts w:ascii="Calibri" w:hAnsi="Calibri" w:cs="Calibri"/>
          <w:sz w:val="24"/>
          <w:szCs w:val="24"/>
          <w:lang w:val="en-CA"/>
        </w:rPr>
        <w:t xml:space="preserve"> = 0.35.</w:t>
      </w:r>
    </w:p>
    <w:p w14:paraId="50E89B89" w14:textId="4DDF62D4" w:rsidR="001B610A" w:rsidRPr="003F0BDD" w:rsidRDefault="00157D23" w:rsidP="003F0BDD">
      <w:pPr>
        <w:tabs>
          <w:tab w:val="left" w:pos="709"/>
        </w:tabs>
        <w:spacing w:after="0" w:line="360" w:lineRule="auto"/>
        <w:rPr>
          <w:rFonts w:ascii="Calibri" w:hAnsi="Calibri" w:cs="Calibri"/>
          <w:sz w:val="24"/>
          <w:szCs w:val="24"/>
          <w:lang w:val="en-CA"/>
        </w:rPr>
      </w:pPr>
      <w:r w:rsidRPr="00961009">
        <w:rPr>
          <w:rFonts w:ascii="Calibri" w:hAnsi="Calibri" w:cs="Calibri"/>
          <w:sz w:val="24"/>
          <w:szCs w:val="24"/>
          <w:lang w:val="en-CA"/>
        </w:rPr>
        <w:tab/>
        <w:t xml:space="preserve">Concerning suppression of target-processing in Experiment 2, we found that on distractor-absent trials, error percentages tended to be larger with targets on the high-probability distractor position compared with targets on the low-probability distractor position (5.7% vs. 4.3%), </w:t>
      </w:r>
      <w:proofErr w:type="gramStart"/>
      <w:r w:rsidRPr="00961009">
        <w:rPr>
          <w:rFonts w:ascii="Calibri" w:hAnsi="Calibri" w:cs="Calibri"/>
          <w:i/>
          <w:sz w:val="24"/>
          <w:szCs w:val="24"/>
          <w:lang w:val="en-CA"/>
        </w:rPr>
        <w:t>t</w:t>
      </w:r>
      <w:r w:rsidRPr="00961009">
        <w:rPr>
          <w:rFonts w:ascii="Calibri" w:hAnsi="Calibri" w:cs="Calibri"/>
          <w:sz w:val="24"/>
          <w:szCs w:val="24"/>
          <w:lang w:val="en-CA"/>
        </w:rPr>
        <w:t>(</w:t>
      </w:r>
      <w:proofErr w:type="gramEnd"/>
      <w:r w:rsidRPr="00961009">
        <w:rPr>
          <w:rFonts w:ascii="Calibri" w:hAnsi="Calibri" w:cs="Calibri"/>
          <w:sz w:val="24"/>
          <w:szCs w:val="24"/>
          <w:lang w:val="en-CA"/>
        </w:rPr>
        <w:t xml:space="preserve">38) = 2.01, </w:t>
      </w:r>
      <w:r w:rsidRPr="00961009">
        <w:rPr>
          <w:rFonts w:ascii="Calibri" w:hAnsi="Calibri" w:cs="Calibri"/>
          <w:i/>
          <w:sz w:val="24"/>
          <w:szCs w:val="24"/>
          <w:lang w:val="en-CA"/>
        </w:rPr>
        <w:t>p</w:t>
      </w:r>
      <w:r w:rsidRPr="00961009">
        <w:rPr>
          <w:rFonts w:ascii="Calibri" w:hAnsi="Calibri" w:cs="Calibri"/>
          <w:sz w:val="24"/>
          <w:szCs w:val="24"/>
          <w:lang w:val="en-CA"/>
        </w:rPr>
        <w:t xml:space="preserve"> = .052, Cohen’s </w:t>
      </w:r>
      <w:proofErr w:type="spellStart"/>
      <w:r w:rsidRPr="00961009">
        <w:rPr>
          <w:rFonts w:ascii="Calibri" w:hAnsi="Calibri" w:cs="Calibri"/>
          <w:i/>
          <w:sz w:val="24"/>
          <w:szCs w:val="24"/>
          <w:lang w:val="en-CA"/>
        </w:rPr>
        <w:t>d</w:t>
      </w:r>
      <w:r w:rsidRPr="00961009">
        <w:rPr>
          <w:rFonts w:ascii="Calibri" w:hAnsi="Calibri" w:cs="Calibri"/>
          <w:i/>
          <w:sz w:val="24"/>
          <w:szCs w:val="24"/>
          <w:vertAlign w:val="subscript"/>
          <w:lang w:val="en-CA"/>
        </w:rPr>
        <w:t>z</w:t>
      </w:r>
      <w:proofErr w:type="spellEnd"/>
      <w:r w:rsidRPr="00961009">
        <w:rPr>
          <w:rFonts w:ascii="Calibri" w:hAnsi="Calibri" w:cs="Calibri"/>
          <w:sz w:val="24"/>
          <w:szCs w:val="24"/>
          <w:lang w:val="en-CA"/>
        </w:rPr>
        <w:t xml:space="preserve"> = 0.32. For distractor-present trials in Experiment 2, error percentages increased with increasing distance from the high-probability distractor location (5.9%, 8.0%, 9.1%, 10%, 9.4% </w:t>
      </w:r>
      <w:proofErr w:type="spellStart"/>
      <w:r w:rsidRPr="00961009">
        <w:rPr>
          <w:rFonts w:ascii="Calibri" w:hAnsi="Calibri" w:cs="Calibri"/>
          <w:sz w:val="24"/>
          <w:szCs w:val="24"/>
          <w:lang w:val="en-CA"/>
        </w:rPr>
        <w:t>ms</w:t>
      </w:r>
      <w:proofErr w:type="spellEnd"/>
      <w:r w:rsidRPr="00961009">
        <w:rPr>
          <w:rFonts w:ascii="Calibri" w:hAnsi="Calibri" w:cs="Calibri"/>
          <w:sz w:val="24"/>
          <w:szCs w:val="24"/>
          <w:lang w:val="en-CA"/>
        </w:rPr>
        <w:t xml:space="preserve"> for distances 0 - 4, respectively), </w:t>
      </w:r>
      <w:r w:rsidRPr="00961009">
        <w:rPr>
          <w:rFonts w:ascii="Calibri" w:hAnsi="Calibri" w:cs="Calibri"/>
          <w:i/>
          <w:sz w:val="24"/>
          <w:szCs w:val="24"/>
          <w:lang w:val="en-CA"/>
        </w:rPr>
        <w:t>F</w:t>
      </w:r>
      <w:r w:rsidRPr="00961009">
        <w:rPr>
          <w:rFonts w:ascii="Calibri" w:hAnsi="Calibri" w:cs="Calibri"/>
          <w:sz w:val="24"/>
          <w:szCs w:val="24"/>
          <w:lang w:val="en-CA"/>
        </w:rPr>
        <w:t>(</w:t>
      </w:r>
      <w:r w:rsidRPr="008D6A3A">
        <w:rPr>
          <w:rFonts w:ascii="Calibri" w:hAnsi="Calibri" w:cs="Calibri"/>
          <w:color w:val="FF0000"/>
          <w:sz w:val="24"/>
          <w:szCs w:val="24"/>
          <w:lang w:val="en-CA"/>
        </w:rPr>
        <w:t>4, 152</w:t>
      </w:r>
      <w:r w:rsidRPr="00961009">
        <w:rPr>
          <w:rFonts w:ascii="Calibri" w:hAnsi="Calibri" w:cs="Calibri"/>
          <w:sz w:val="24"/>
          <w:szCs w:val="24"/>
          <w:lang w:val="en-CA"/>
        </w:rPr>
        <w:t xml:space="preserve">) = 6.16, </w:t>
      </w:r>
      <w:r w:rsidRPr="00961009">
        <w:rPr>
          <w:rFonts w:ascii="Calibri" w:hAnsi="Calibri" w:cs="Calibri"/>
          <w:i/>
          <w:sz w:val="24"/>
          <w:szCs w:val="24"/>
          <w:lang w:val="en-CA"/>
        </w:rPr>
        <w:t>p</w:t>
      </w:r>
      <w:r w:rsidRPr="00961009">
        <w:rPr>
          <w:rFonts w:ascii="Calibri" w:hAnsi="Calibri" w:cs="Calibri"/>
          <w:sz w:val="24"/>
          <w:szCs w:val="24"/>
          <w:lang w:val="en-CA"/>
        </w:rPr>
        <w:t xml:space="preserve"> &lt; .01, </w:t>
      </w:r>
      <w:r w:rsidRPr="00961009">
        <w:rPr>
          <w:rFonts w:cstheme="minorHAnsi"/>
          <w:sz w:val="24"/>
          <w:szCs w:val="24"/>
        </w:rPr>
        <w:t>η</w:t>
      </w:r>
      <w:r w:rsidRPr="00961009">
        <w:rPr>
          <w:rFonts w:cstheme="minorHAnsi"/>
          <w:sz w:val="24"/>
          <w:szCs w:val="24"/>
          <w:vertAlign w:val="subscript"/>
          <w:lang w:val="en-US"/>
        </w:rPr>
        <w:t>p</w:t>
      </w:r>
      <w:r w:rsidRPr="00961009">
        <w:rPr>
          <w:rFonts w:cstheme="minorHAnsi"/>
          <w:sz w:val="24"/>
          <w:szCs w:val="24"/>
          <w:vertAlign w:val="superscript"/>
          <w:lang w:val="en-US"/>
        </w:rPr>
        <w:t>2</w:t>
      </w:r>
      <w:r w:rsidRPr="00961009">
        <w:rPr>
          <w:rFonts w:cstheme="minorHAnsi"/>
          <w:sz w:val="24"/>
          <w:szCs w:val="24"/>
          <w:lang w:val="en-US"/>
        </w:rPr>
        <w:t xml:space="preserve"> = .139</w:t>
      </w:r>
      <w:r>
        <w:rPr>
          <w:rFonts w:cstheme="minorHAnsi"/>
          <w:sz w:val="24"/>
          <w:szCs w:val="24"/>
          <w:lang w:val="en-US"/>
        </w:rPr>
        <w:t xml:space="preserve">, </w:t>
      </w:r>
      <w:r w:rsidRPr="00A91A06">
        <w:rPr>
          <w:rFonts w:cstheme="minorHAnsi"/>
          <w:color w:val="FF0000"/>
          <w:sz w:val="24"/>
          <w:szCs w:val="24"/>
          <w:lang w:val="en-US"/>
        </w:rPr>
        <w:t>but this effect was no longer significant when the high-frequency position was excluded,</w:t>
      </w:r>
      <w:r w:rsidRPr="00A91A06">
        <w:rPr>
          <w:rFonts w:ascii="Calibri" w:hAnsi="Calibri" w:cs="Calibri"/>
          <w:color w:val="FF0000"/>
          <w:sz w:val="24"/>
          <w:szCs w:val="24"/>
          <w:lang w:val="en-CA"/>
        </w:rPr>
        <w:t xml:space="preserve"> </w:t>
      </w:r>
      <w:r w:rsidRPr="00A91A06">
        <w:rPr>
          <w:rFonts w:ascii="Calibri" w:hAnsi="Calibri" w:cs="Calibri"/>
          <w:i/>
          <w:color w:val="FF0000"/>
          <w:sz w:val="24"/>
          <w:szCs w:val="24"/>
          <w:lang w:val="en-CA"/>
        </w:rPr>
        <w:t>F</w:t>
      </w:r>
      <w:r w:rsidRPr="00A91A06">
        <w:rPr>
          <w:rFonts w:ascii="Calibri" w:hAnsi="Calibri" w:cs="Calibri"/>
          <w:color w:val="FF0000"/>
          <w:sz w:val="24"/>
          <w:szCs w:val="24"/>
          <w:lang w:val="en-CA"/>
        </w:rPr>
        <w:t>(</w:t>
      </w:r>
      <w:r>
        <w:rPr>
          <w:rFonts w:ascii="Calibri" w:hAnsi="Calibri" w:cs="Calibri"/>
          <w:color w:val="FF0000"/>
          <w:sz w:val="24"/>
          <w:szCs w:val="24"/>
          <w:lang w:val="en-CA"/>
        </w:rPr>
        <w:t>3</w:t>
      </w:r>
      <w:r w:rsidRPr="00A91A06">
        <w:rPr>
          <w:rFonts w:ascii="Calibri" w:hAnsi="Calibri" w:cs="Calibri"/>
          <w:color w:val="FF0000"/>
          <w:sz w:val="24"/>
          <w:szCs w:val="24"/>
          <w:lang w:val="en-CA"/>
        </w:rPr>
        <w:t xml:space="preserve">, </w:t>
      </w:r>
      <w:r>
        <w:rPr>
          <w:rFonts w:ascii="Calibri" w:hAnsi="Calibri" w:cs="Calibri"/>
          <w:color w:val="FF0000"/>
          <w:sz w:val="24"/>
          <w:szCs w:val="24"/>
          <w:lang w:val="en-CA"/>
        </w:rPr>
        <w:t>114</w:t>
      </w:r>
      <w:r w:rsidRPr="00A91A06">
        <w:rPr>
          <w:rFonts w:ascii="Calibri" w:hAnsi="Calibri" w:cs="Calibri"/>
          <w:color w:val="FF0000"/>
          <w:sz w:val="24"/>
          <w:szCs w:val="24"/>
          <w:lang w:val="en-CA"/>
        </w:rPr>
        <w:t xml:space="preserve">) = </w:t>
      </w:r>
      <w:r>
        <w:rPr>
          <w:rFonts w:ascii="Calibri" w:hAnsi="Calibri" w:cs="Calibri"/>
          <w:color w:val="FF0000"/>
          <w:sz w:val="24"/>
          <w:szCs w:val="24"/>
          <w:lang w:val="en-CA"/>
        </w:rPr>
        <w:t>1.42</w:t>
      </w:r>
      <w:r w:rsidRPr="00A91A06">
        <w:rPr>
          <w:rFonts w:ascii="Calibri" w:hAnsi="Calibri" w:cs="Calibri"/>
          <w:color w:val="FF0000"/>
          <w:sz w:val="24"/>
          <w:szCs w:val="24"/>
          <w:lang w:val="en-CA"/>
        </w:rPr>
        <w:t xml:space="preserve">, </w:t>
      </w:r>
      <w:r w:rsidRPr="00A91A06">
        <w:rPr>
          <w:rFonts w:ascii="Calibri" w:hAnsi="Calibri" w:cs="Calibri"/>
          <w:i/>
          <w:color w:val="FF0000"/>
          <w:sz w:val="24"/>
          <w:szCs w:val="24"/>
          <w:lang w:val="en-CA"/>
        </w:rPr>
        <w:t>p</w:t>
      </w:r>
      <w:r w:rsidRPr="00A91A06">
        <w:rPr>
          <w:rFonts w:ascii="Calibri" w:hAnsi="Calibri" w:cs="Calibri"/>
          <w:color w:val="FF0000"/>
          <w:sz w:val="24"/>
          <w:szCs w:val="24"/>
          <w:lang w:val="en-CA"/>
        </w:rPr>
        <w:t xml:space="preserve"> </w:t>
      </w:r>
      <w:r>
        <w:rPr>
          <w:rFonts w:ascii="Calibri" w:hAnsi="Calibri" w:cs="Calibri"/>
          <w:color w:val="FF0000"/>
          <w:sz w:val="24"/>
          <w:szCs w:val="24"/>
          <w:lang w:val="en-CA"/>
        </w:rPr>
        <w:t>=</w:t>
      </w:r>
      <w:r w:rsidRPr="00A91A06">
        <w:rPr>
          <w:rFonts w:ascii="Calibri" w:hAnsi="Calibri" w:cs="Calibri"/>
          <w:color w:val="FF0000"/>
          <w:sz w:val="24"/>
          <w:szCs w:val="24"/>
          <w:lang w:val="en-CA"/>
        </w:rPr>
        <w:t xml:space="preserve"> .</w:t>
      </w:r>
      <w:r>
        <w:rPr>
          <w:rFonts w:ascii="Calibri" w:hAnsi="Calibri" w:cs="Calibri"/>
          <w:color w:val="FF0000"/>
          <w:sz w:val="24"/>
          <w:szCs w:val="24"/>
          <w:lang w:val="en-CA"/>
        </w:rPr>
        <w:t>24</w:t>
      </w:r>
      <w:r w:rsidRPr="00A91A06">
        <w:rPr>
          <w:rFonts w:ascii="Calibri" w:hAnsi="Calibri" w:cs="Calibri"/>
          <w:color w:val="FF0000"/>
          <w:sz w:val="24"/>
          <w:szCs w:val="24"/>
          <w:lang w:val="en-CA"/>
        </w:rPr>
        <w:t xml:space="preserve">, </w:t>
      </w:r>
      <w:r w:rsidRPr="00A91A06">
        <w:rPr>
          <w:rFonts w:cstheme="minorHAnsi"/>
          <w:color w:val="FF0000"/>
          <w:sz w:val="24"/>
          <w:szCs w:val="24"/>
        </w:rPr>
        <w:t>η</w:t>
      </w:r>
      <w:r w:rsidRPr="00A91A06">
        <w:rPr>
          <w:rFonts w:cstheme="minorHAnsi"/>
          <w:color w:val="FF0000"/>
          <w:sz w:val="24"/>
          <w:szCs w:val="24"/>
          <w:vertAlign w:val="subscript"/>
          <w:lang w:val="en-US"/>
        </w:rPr>
        <w:t>p</w:t>
      </w:r>
      <w:r w:rsidRPr="00A91A06">
        <w:rPr>
          <w:rFonts w:cstheme="minorHAnsi"/>
          <w:color w:val="FF0000"/>
          <w:sz w:val="24"/>
          <w:szCs w:val="24"/>
          <w:vertAlign w:val="superscript"/>
          <w:lang w:val="en-US"/>
        </w:rPr>
        <w:t>2</w:t>
      </w:r>
      <w:r w:rsidRPr="00A91A06">
        <w:rPr>
          <w:rFonts w:cstheme="minorHAnsi"/>
          <w:color w:val="FF0000"/>
          <w:sz w:val="24"/>
          <w:szCs w:val="24"/>
          <w:lang w:val="en-US"/>
        </w:rPr>
        <w:t xml:space="preserve"> = .</w:t>
      </w:r>
      <w:r>
        <w:rPr>
          <w:rFonts w:cstheme="minorHAnsi"/>
          <w:color w:val="FF0000"/>
          <w:sz w:val="24"/>
          <w:szCs w:val="24"/>
          <w:lang w:val="en-US"/>
        </w:rPr>
        <w:t>036.</w:t>
      </w:r>
    </w:p>
    <w:p w14:paraId="417FFA87" w14:textId="68236FCD" w:rsidR="001A4319" w:rsidRPr="001A4319" w:rsidRDefault="001A4319" w:rsidP="00855ABB">
      <w:pPr>
        <w:keepNext/>
        <w:spacing w:after="0" w:line="360" w:lineRule="auto"/>
        <w:jc w:val="center"/>
        <w:rPr>
          <w:rFonts w:ascii="Calibri" w:hAnsi="Calibri" w:cs="Calibri"/>
          <w:b/>
          <w:color w:val="FF0000"/>
          <w:sz w:val="24"/>
          <w:szCs w:val="24"/>
          <w:lang w:val="en-CA"/>
        </w:rPr>
      </w:pPr>
      <w:r w:rsidRPr="001A4319">
        <w:rPr>
          <w:rFonts w:ascii="Calibri" w:hAnsi="Calibri" w:cs="Calibri"/>
          <w:b/>
          <w:color w:val="FF0000"/>
          <w:sz w:val="24"/>
          <w:szCs w:val="24"/>
          <w:lang w:val="en-CA"/>
        </w:rPr>
        <w:lastRenderedPageBreak/>
        <w:t>Supplemental Material B</w:t>
      </w:r>
    </w:p>
    <w:p w14:paraId="7F0AD61A" w14:textId="272A7116" w:rsidR="00F72265" w:rsidRPr="00855ABB" w:rsidRDefault="001A4319" w:rsidP="00855ABB">
      <w:pPr>
        <w:keepNext/>
        <w:spacing w:after="0" w:line="360" w:lineRule="auto"/>
        <w:rPr>
          <w:rFonts w:cstheme="minorHAnsi"/>
          <w:color w:val="FF0000"/>
          <w:sz w:val="24"/>
          <w:szCs w:val="24"/>
          <w:lang w:val="en-CA"/>
        </w:rPr>
      </w:pPr>
      <w:r>
        <w:rPr>
          <w:rFonts w:ascii="Calibri" w:hAnsi="Calibri" w:cs="Calibri"/>
          <w:sz w:val="24"/>
          <w:szCs w:val="24"/>
          <w:lang w:val="en-CA"/>
        </w:rPr>
        <w:tab/>
      </w:r>
      <w:r w:rsidRPr="00961009">
        <w:rPr>
          <w:rFonts w:ascii="Calibri" w:hAnsi="Calibri" w:cs="Calibri"/>
          <w:sz w:val="24"/>
          <w:szCs w:val="24"/>
          <w:lang w:val="en-CA"/>
        </w:rPr>
        <w:t xml:space="preserve">We analyzed judgments of the most frequent distractor position in Experiment 2. The probability of correctly guessing one of eight positions by chance is 12.5%. Out of 39 participants, 17 or 43.6% indicated the correct position, which is above chance performance by binomial test, </w:t>
      </w:r>
      <w:r w:rsidRPr="00961009">
        <w:rPr>
          <w:rFonts w:ascii="Calibri" w:hAnsi="Calibri" w:cs="Calibri"/>
          <w:i/>
          <w:sz w:val="24"/>
          <w:szCs w:val="24"/>
          <w:lang w:val="en-CA"/>
        </w:rPr>
        <w:t>p</w:t>
      </w:r>
      <w:r w:rsidRPr="00961009">
        <w:rPr>
          <w:rFonts w:ascii="Calibri" w:hAnsi="Calibri" w:cs="Calibri"/>
          <w:sz w:val="24"/>
          <w:szCs w:val="24"/>
          <w:lang w:val="en-CA"/>
        </w:rPr>
        <w:t xml:space="preserve"> &lt; .01. This result is comparable to </w:t>
      </w:r>
      <w:r w:rsidR="00F72265">
        <w:rPr>
          <w:rFonts w:ascii="Calibri" w:hAnsi="Calibri" w:cs="Calibri"/>
          <w:sz w:val="24"/>
          <w:szCs w:val="24"/>
          <w:lang w:val="en-CA"/>
        </w:rPr>
        <w:fldChar w:fldCharType="begin"/>
      </w:r>
      <w:r w:rsidR="00F72265">
        <w:rPr>
          <w:rFonts w:ascii="Calibri" w:hAnsi="Calibri" w:cs="Calibri"/>
          <w:sz w:val="24"/>
          <w:szCs w:val="24"/>
          <w:lang w:val="en-CA"/>
        </w:rPr>
        <w:instrText xml:space="preserve"> ADDIN EN.CITE &lt;EndNote&gt;&lt;Cite AuthorYear="1"&gt;&lt;Author&gt;Wang&lt;/Author&gt;&lt;Year&gt;2018&lt;/Year&gt;&lt;RecNum&gt;5339&lt;/RecNum&gt;&lt;DisplayText&gt;Wang and Theeuwes (2018)&lt;/DisplayText&gt;&lt;record&gt;&lt;rec-number&gt;5339&lt;/rec-number&gt;&lt;foreign-keys&gt;&lt;key app="EN" db-id="xsertx0rhx2x2ge5wezp5exfp5vx2sp9aa5z" timestamp="1568361265"&gt;5339&lt;/key&gt;&lt;/foreign-keys&gt;&lt;ref-type name="Journal Article"&gt;17&lt;/ref-type&gt;&lt;contributors&gt;&lt;authors&gt;&lt;author&gt;Wang, B.&lt;/author&gt;&lt;author&gt;Theeuwes, J.&lt;/author&gt;&lt;/authors&gt;&lt;/contributors&gt;&lt;auth-address&gt;Department of Experimental and Applied Psychology, Vrije Universiteit Amsterdam.&lt;/auth-address&gt;&lt;titles&gt;&lt;title&gt;Statistical regularities modulate attentional capture&lt;/title&gt;&lt;secondary-title&gt;J Exp Psychol Hum Percept Perform&lt;/secondary-title&gt;&lt;/titles&gt;&lt;periodical&gt;&lt;full-title&gt;Journal of Experimental Psychology: Human Perception and Performance&lt;/full-title&gt;&lt;abbr-1&gt;J. Exp. Psychol. Hum. Percept. Perform.&lt;/abbr-1&gt;&lt;abbr-2&gt;J Exp Psychol Hum Percept Perform&lt;/abbr-2&gt;&lt;abbr-3&gt;Journal of Experimental Psychology: Human Perception &amp;amp; Performance&lt;/abbr-3&gt;&lt;/periodical&gt;&lt;pages&gt;13-17&lt;/pages&gt;&lt;volume&gt;44&lt;/volume&gt;&lt;number&gt;1&lt;/number&gt;&lt;edition&gt;2018/01/09&lt;/edition&gt;&lt;keywords&gt;&lt;keyword&gt;Adult&lt;/keyword&gt;&lt;keyword&gt;Attention/*physiology&lt;/keyword&gt;&lt;keyword&gt;Color Perception/*physiology&lt;/keyword&gt;&lt;keyword&gt;Female&lt;/keyword&gt;&lt;keyword&gt;Humans&lt;/keyword&gt;&lt;keyword&gt;Male&lt;/keyword&gt;&lt;keyword&gt;Pattern Recognition, Visual/*physiology&lt;/keyword&gt;&lt;keyword&gt;*Probability Learning&lt;/keyword&gt;&lt;keyword&gt;Psychomotor Performance/*physiology&lt;/keyword&gt;&lt;keyword&gt;Space Perception/*physiology&lt;/keyword&gt;&lt;keyword&gt;Young Adult&lt;/keyword&gt;&lt;/keywords&gt;&lt;dates&gt;&lt;year&gt;2018&lt;/year&gt;&lt;pub-dates&gt;&lt;date&gt;Jan&lt;/date&gt;&lt;/pub-dates&gt;&lt;/dates&gt;&lt;isbn&gt;1939-1277 (Electronic)&amp;#xD;0096-1523 (Linking)&lt;/isbn&gt;&lt;accession-num&gt;29309194&lt;/accession-num&gt;&lt;urls&gt;&lt;related-urls&gt;&lt;url&gt;&lt;style face="underline" font="default" size="100%"&gt;https://www.ncbi.nlm.nih.gov/pubmed/29309194&lt;/style&gt;&lt;/url&gt;&lt;/related-urls&gt;&lt;/urls&gt;&lt;electronic-resource-num&gt;10.1037/xhp0000472&lt;/electronic-resource-num&gt;&lt;/record&gt;&lt;/Cite&gt;&lt;/EndNote&gt;</w:instrText>
      </w:r>
      <w:r w:rsidR="00F72265">
        <w:rPr>
          <w:rFonts w:ascii="Calibri" w:hAnsi="Calibri" w:cs="Calibri"/>
          <w:sz w:val="24"/>
          <w:szCs w:val="24"/>
          <w:lang w:val="en-CA"/>
        </w:rPr>
        <w:fldChar w:fldCharType="separate"/>
      </w:r>
      <w:r w:rsidR="00F72265">
        <w:rPr>
          <w:rFonts w:ascii="Calibri" w:hAnsi="Calibri" w:cs="Calibri"/>
          <w:noProof/>
          <w:sz w:val="24"/>
          <w:szCs w:val="24"/>
          <w:lang w:val="en-CA"/>
        </w:rPr>
        <w:t>Wang and Theeuwes (2018)</w:t>
      </w:r>
      <w:r w:rsidR="00F72265">
        <w:rPr>
          <w:rFonts w:ascii="Calibri" w:hAnsi="Calibri" w:cs="Calibri"/>
          <w:sz w:val="24"/>
          <w:szCs w:val="24"/>
          <w:lang w:val="en-CA"/>
        </w:rPr>
        <w:fldChar w:fldCharType="end"/>
      </w:r>
      <w:r w:rsidRPr="00961009">
        <w:rPr>
          <w:rFonts w:ascii="Calibri" w:hAnsi="Calibri" w:cs="Calibri"/>
          <w:sz w:val="24"/>
          <w:szCs w:val="24"/>
          <w:lang w:val="en-CA"/>
        </w:rPr>
        <w:t xml:space="preserve"> who reported 47% correct judgments with a </w:t>
      </w:r>
      <w:r w:rsidRPr="00855ABB">
        <w:rPr>
          <w:rFonts w:cstheme="minorHAnsi"/>
          <w:sz w:val="24"/>
          <w:szCs w:val="24"/>
          <w:lang w:val="en-CA"/>
        </w:rPr>
        <w:t xml:space="preserve">sample size of 32 participants. </w:t>
      </w:r>
      <w:r w:rsidRPr="00855ABB">
        <w:rPr>
          <w:rFonts w:cstheme="minorHAnsi"/>
          <w:color w:val="FF0000"/>
          <w:sz w:val="24"/>
          <w:szCs w:val="24"/>
          <w:lang w:val="en-CA"/>
        </w:rPr>
        <w:t xml:space="preserve">As in </w:t>
      </w:r>
      <w:r w:rsidR="00F72265" w:rsidRPr="00855ABB">
        <w:rPr>
          <w:rFonts w:cstheme="minorHAnsi"/>
          <w:color w:val="FF0000"/>
          <w:sz w:val="24"/>
          <w:szCs w:val="24"/>
          <w:lang w:val="en-CA"/>
        </w:rPr>
        <w:fldChar w:fldCharType="begin"/>
      </w:r>
      <w:r w:rsidR="00F72265" w:rsidRPr="00855ABB">
        <w:rPr>
          <w:rFonts w:cstheme="minorHAnsi"/>
          <w:color w:val="FF0000"/>
          <w:sz w:val="24"/>
          <w:szCs w:val="24"/>
          <w:lang w:val="en-CA"/>
        </w:rPr>
        <w:instrText xml:space="preserve"> ADDIN EN.CITE &lt;EndNote&gt;&lt;Cite AuthorYear="1"&gt;&lt;Author&gt;Wang&lt;/Author&gt;&lt;Year&gt;2018&lt;/Year&gt;&lt;RecNum&gt;5339&lt;/RecNum&gt;&lt;DisplayText&gt;Wang and Theeuwes (2018)&lt;/DisplayText&gt;&lt;record&gt;&lt;rec-number&gt;5339&lt;/rec-number&gt;&lt;foreign-keys&gt;&lt;key app="EN" db-id="xsertx0rhx2x2ge5wezp5exfp5vx2sp9aa5z" timestamp="1568361265"&gt;5339&lt;/key&gt;&lt;/foreign-keys&gt;&lt;ref-type name="Journal Article"&gt;17&lt;/ref-type&gt;&lt;contributors&gt;&lt;authors&gt;&lt;author&gt;Wang, B.&lt;/author&gt;&lt;author&gt;Theeuwes, J.&lt;/author&gt;&lt;/authors&gt;&lt;/contributors&gt;&lt;auth-address&gt;Department of Experimental and Applied Psychology, Vrije Universiteit Amsterdam.&lt;/auth-address&gt;&lt;titles&gt;&lt;title&gt;Statistical regularities modulate attentional capture&lt;/title&gt;&lt;secondary-title&gt;J Exp Psychol Hum Percept Perform&lt;/secondary-title&gt;&lt;/titles&gt;&lt;periodical&gt;&lt;full-title&gt;Journal of Experimental Psychology: Human Perception and Performance&lt;/full-title&gt;&lt;abbr-1&gt;J. Exp. Psychol. Hum. Percept. Perform.&lt;/abbr-1&gt;&lt;abbr-2&gt;J Exp Psychol Hum Percept Perform&lt;/abbr-2&gt;&lt;abbr-3&gt;Journal of Experimental Psychology: Human Perception &amp;amp; Performance&lt;/abbr-3&gt;&lt;/periodical&gt;&lt;pages&gt;13-17&lt;/pages&gt;&lt;volume&gt;44&lt;/volume&gt;&lt;number&gt;1&lt;/number&gt;&lt;edition&gt;2018/01/09&lt;/edition&gt;&lt;keywords&gt;&lt;keyword&gt;Adult&lt;/keyword&gt;&lt;keyword&gt;Attention/*physiology&lt;/keyword&gt;&lt;keyword&gt;Color Perception/*physiology&lt;/keyword&gt;&lt;keyword&gt;Female&lt;/keyword&gt;&lt;keyword&gt;Humans&lt;/keyword&gt;&lt;keyword&gt;Male&lt;/keyword&gt;&lt;keyword&gt;Pattern Recognition, Visual/*physiology&lt;/keyword&gt;&lt;keyword&gt;*Probability Learning&lt;/keyword&gt;&lt;keyword&gt;Psychomotor Performance/*physiology&lt;/keyword&gt;&lt;keyword&gt;Space Perception/*physiology&lt;/keyword&gt;&lt;keyword&gt;Young Adult&lt;/keyword&gt;&lt;/keywords&gt;&lt;dates&gt;&lt;year&gt;2018&lt;/year&gt;&lt;pub-dates&gt;&lt;date&gt;Jan&lt;/date&gt;&lt;/pub-dates&gt;&lt;/dates&gt;&lt;isbn&gt;1939-1277 (Electronic)&amp;#xD;0096-1523 (Linking)&lt;/isbn&gt;&lt;accession-num&gt;29309194&lt;/accession-num&gt;&lt;urls&gt;&lt;related-urls&gt;&lt;url&gt;&lt;style face="underline" font="default" size="100%"&gt;https://www.ncbi.nlm.nih.gov/pubmed/29309194&lt;/style&gt;&lt;/url&gt;&lt;/related-urls&gt;&lt;/urls&gt;&lt;electronic-resource-num&gt;10.1037/xhp0000472&lt;/electronic-resource-num&gt;&lt;/record&gt;&lt;/Cite&gt;&lt;/EndNote&gt;</w:instrText>
      </w:r>
      <w:r w:rsidR="00F72265" w:rsidRPr="00855ABB">
        <w:rPr>
          <w:rFonts w:cstheme="minorHAnsi"/>
          <w:color w:val="FF0000"/>
          <w:sz w:val="24"/>
          <w:szCs w:val="24"/>
          <w:lang w:val="en-CA"/>
        </w:rPr>
        <w:fldChar w:fldCharType="separate"/>
      </w:r>
      <w:r w:rsidR="00F72265" w:rsidRPr="00855ABB">
        <w:rPr>
          <w:rFonts w:cstheme="minorHAnsi"/>
          <w:noProof/>
          <w:color w:val="FF0000"/>
          <w:sz w:val="24"/>
          <w:szCs w:val="24"/>
          <w:lang w:val="en-CA"/>
        </w:rPr>
        <w:t>Wang and Theeuwes (2018)</w:t>
      </w:r>
      <w:r w:rsidR="00F72265" w:rsidRPr="00855ABB">
        <w:rPr>
          <w:rFonts w:cstheme="minorHAnsi"/>
          <w:color w:val="FF0000"/>
          <w:sz w:val="24"/>
          <w:szCs w:val="24"/>
          <w:lang w:val="en-CA"/>
        </w:rPr>
        <w:fldChar w:fldCharType="end"/>
      </w:r>
      <w:r w:rsidRPr="00855ABB">
        <w:rPr>
          <w:rFonts w:cstheme="minorHAnsi"/>
          <w:color w:val="FF0000"/>
          <w:sz w:val="24"/>
          <w:szCs w:val="24"/>
          <w:lang w:val="en-CA"/>
        </w:rPr>
        <w:t>, the main results were unchanged when participants who had correctly indicated the high-frequency position were excluded.</w:t>
      </w:r>
    </w:p>
    <w:p w14:paraId="58996D93" w14:textId="3AA6AC3D" w:rsidR="00F72265" w:rsidRPr="00855ABB" w:rsidRDefault="00F72265" w:rsidP="00F72265">
      <w:pPr>
        <w:jc w:val="center"/>
        <w:rPr>
          <w:rFonts w:cstheme="minorHAnsi"/>
          <w:b/>
          <w:sz w:val="24"/>
          <w:szCs w:val="24"/>
          <w:lang w:val="en-CA"/>
        </w:rPr>
      </w:pPr>
      <w:r w:rsidRPr="00855ABB">
        <w:rPr>
          <w:rFonts w:cstheme="minorHAnsi"/>
          <w:b/>
          <w:sz w:val="24"/>
          <w:szCs w:val="24"/>
          <w:lang w:val="en-CA"/>
        </w:rPr>
        <w:t>References</w:t>
      </w:r>
    </w:p>
    <w:p w14:paraId="2B4C8397" w14:textId="77777777" w:rsidR="00F72265" w:rsidRPr="00855ABB" w:rsidRDefault="00F72265" w:rsidP="00F72265">
      <w:pPr>
        <w:pStyle w:val="EndNoteBibliography"/>
        <w:ind w:left="720" w:hanging="720"/>
        <w:rPr>
          <w:rFonts w:asciiTheme="minorHAnsi" w:hAnsiTheme="minorHAnsi" w:cstheme="minorHAnsi"/>
          <w:sz w:val="24"/>
          <w:szCs w:val="24"/>
        </w:rPr>
      </w:pPr>
      <w:r w:rsidRPr="00855ABB">
        <w:rPr>
          <w:rFonts w:asciiTheme="minorHAnsi" w:hAnsiTheme="minorHAnsi" w:cstheme="minorHAnsi"/>
          <w:sz w:val="24"/>
          <w:szCs w:val="24"/>
          <w:lang w:val="en-CA"/>
        </w:rPr>
        <w:fldChar w:fldCharType="begin"/>
      </w:r>
      <w:r w:rsidRPr="00855ABB">
        <w:rPr>
          <w:rFonts w:asciiTheme="minorHAnsi" w:hAnsiTheme="minorHAnsi" w:cstheme="minorHAnsi"/>
          <w:sz w:val="24"/>
          <w:szCs w:val="24"/>
          <w:lang w:val="en-CA"/>
        </w:rPr>
        <w:instrText xml:space="preserve"> ADDIN EN.REFLIST </w:instrText>
      </w:r>
      <w:r w:rsidRPr="00855ABB">
        <w:rPr>
          <w:rFonts w:asciiTheme="minorHAnsi" w:hAnsiTheme="minorHAnsi" w:cstheme="minorHAnsi"/>
          <w:sz w:val="24"/>
          <w:szCs w:val="24"/>
          <w:lang w:val="en-CA"/>
        </w:rPr>
        <w:fldChar w:fldCharType="separate"/>
      </w:r>
      <w:r w:rsidRPr="00855ABB">
        <w:rPr>
          <w:rFonts w:asciiTheme="minorHAnsi" w:hAnsiTheme="minorHAnsi" w:cstheme="minorHAnsi"/>
          <w:sz w:val="24"/>
          <w:szCs w:val="24"/>
        </w:rPr>
        <w:t xml:space="preserve">Wang, B., &amp; Theeuwes, J. (2018). Statistical regularities modulate attentional capture. </w:t>
      </w:r>
      <w:r w:rsidRPr="00855ABB">
        <w:rPr>
          <w:rFonts w:asciiTheme="minorHAnsi" w:hAnsiTheme="minorHAnsi" w:cstheme="minorHAnsi"/>
          <w:i/>
          <w:sz w:val="24"/>
          <w:szCs w:val="24"/>
        </w:rPr>
        <w:t>Journal of Experimental Psychology: Human Perception and Performance, 44</w:t>
      </w:r>
      <w:r w:rsidRPr="00855ABB">
        <w:rPr>
          <w:rFonts w:asciiTheme="minorHAnsi" w:hAnsiTheme="minorHAnsi" w:cstheme="minorHAnsi"/>
          <w:sz w:val="24"/>
          <w:szCs w:val="24"/>
        </w:rPr>
        <w:t xml:space="preserve">(1), 13-17. https://doi.org/10.1037/xhp0000472 </w:t>
      </w:r>
    </w:p>
    <w:p w14:paraId="2D37953E" w14:textId="31610E40" w:rsidR="00F72265" w:rsidRPr="00855ABB" w:rsidRDefault="00F72265">
      <w:pPr>
        <w:rPr>
          <w:rFonts w:cstheme="minorHAnsi"/>
          <w:sz w:val="24"/>
          <w:szCs w:val="24"/>
          <w:lang w:val="en-CA"/>
        </w:rPr>
      </w:pPr>
      <w:r w:rsidRPr="00855ABB">
        <w:rPr>
          <w:rFonts w:cstheme="minorHAnsi"/>
          <w:sz w:val="24"/>
          <w:szCs w:val="24"/>
          <w:lang w:val="en-CA"/>
        </w:rPr>
        <w:fldChar w:fldCharType="end"/>
      </w:r>
      <w:bookmarkStart w:id="0" w:name="_GoBack"/>
      <w:bookmarkEnd w:id="0"/>
    </w:p>
    <w:sectPr w:rsidR="00F72265" w:rsidRPr="00855ABB" w:rsidSect="00EE6BD5">
      <w:headerReference w:type="default" r:id="rId6"/>
      <w:footerReference w:type="default" r:id="rId7"/>
      <w:pgSz w:w="12240" w:h="15840" w:code="1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A57C8" w14:textId="77777777" w:rsidR="00E211BE" w:rsidRDefault="00E211BE" w:rsidP="00AB2266">
      <w:pPr>
        <w:spacing w:after="0" w:line="240" w:lineRule="auto"/>
      </w:pPr>
      <w:r>
        <w:separator/>
      </w:r>
    </w:p>
  </w:endnote>
  <w:endnote w:type="continuationSeparator" w:id="0">
    <w:p w14:paraId="7DE2A58F" w14:textId="77777777" w:rsidR="00E211BE" w:rsidRDefault="00E211BE" w:rsidP="00AB2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C8EA4" w14:textId="09694C71" w:rsidR="00AB2266" w:rsidRDefault="00AB2266">
    <w:pPr>
      <w:pStyle w:val="Pieddepage"/>
      <w:jc w:val="right"/>
    </w:pPr>
    <w:r>
      <w:t>--</w:t>
    </w:r>
    <w:sdt>
      <w:sdtPr>
        <w:id w:val="1290022043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  <w:r>
          <w:t>--</w:t>
        </w:r>
      </w:sdtContent>
    </w:sdt>
  </w:p>
  <w:p w14:paraId="5939533E" w14:textId="77777777" w:rsidR="00AB2266" w:rsidRDefault="00AB22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471A8" w14:textId="77777777" w:rsidR="00E211BE" w:rsidRDefault="00E211BE" w:rsidP="00AB2266">
      <w:pPr>
        <w:spacing w:after="0" w:line="240" w:lineRule="auto"/>
      </w:pPr>
      <w:r>
        <w:separator/>
      </w:r>
    </w:p>
  </w:footnote>
  <w:footnote w:type="continuationSeparator" w:id="0">
    <w:p w14:paraId="71EA6C67" w14:textId="77777777" w:rsidR="00E211BE" w:rsidRDefault="00E211BE" w:rsidP="00AB2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B0BB4" w14:textId="146A2E0B" w:rsidR="00AB2266" w:rsidRPr="004663EE" w:rsidRDefault="00AB2266" w:rsidP="00AB2266">
    <w:pPr>
      <w:pStyle w:val="En-tte"/>
      <w:jc w:val="right"/>
      <w:rPr>
        <w:i/>
        <w:lang w:val="en-US"/>
      </w:rPr>
    </w:pPr>
    <w:r>
      <w:rPr>
        <w:i/>
        <w:lang w:val="en-US"/>
      </w:rPr>
      <w:t>Contributions of distractor rarity to statistical learning</w:t>
    </w:r>
  </w:p>
  <w:p w14:paraId="04DF3923" w14:textId="5D941157" w:rsidR="00AB2266" w:rsidRPr="00AB2266" w:rsidRDefault="00AB2266">
    <w:pPr>
      <w:pStyle w:val="En-tte"/>
      <w:rPr>
        <w:lang w:val="en-US"/>
      </w:rPr>
    </w:pPr>
  </w:p>
  <w:p w14:paraId="67D010AB" w14:textId="77777777" w:rsidR="00AB2266" w:rsidRPr="00AB2266" w:rsidRDefault="00AB2266">
    <w:pPr>
      <w:pStyle w:val="En-tt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sertx0rhx2x2ge5wezp5exfp5vx2sp9aa5z&quot;&gt;DirkLibrary-Endnote11-Saved-Converted&lt;record-ids&gt;&lt;item&gt;5339&lt;/item&gt;&lt;/record-ids&gt;&lt;/item&gt;&lt;/Libraries&gt;"/>
  </w:docVars>
  <w:rsids>
    <w:rsidRoot w:val="00A351D4"/>
    <w:rsid w:val="000C5EF3"/>
    <w:rsid w:val="00157D23"/>
    <w:rsid w:val="001A4319"/>
    <w:rsid w:val="001B610A"/>
    <w:rsid w:val="001E0F20"/>
    <w:rsid w:val="003F0BDD"/>
    <w:rsid w:val="006B3301"/>
    <w:rsid w:val="00855ABB"/>
    <w:rsid w:val="00A351D4"/>
    <w:rsid w:val="00AB2266"/>
    <w:rsid w:val="00B31AD0"/>
    <w:rsid w:val="00DB3721"/>
    <w:rsid w:val="00E211BE"/>
    <w:rsid w:val="00EE6BD5"/>
    <w:rsid w:val="00F50013"/>
    <w:rsid w:val="00F7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70F1DE"/>
  <w15:chartTrackingRefBased/>
  <w15:docId w15:val="{B7A63C8B-9E9F-4023-8B30-A66C654D4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7D23"/>
    <w:rPr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ar"/>
    <w:rsid w:val="00F7226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F7226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ar"/>
    <w:rsid w:val="00F7226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F72265"/>
    <w:rPr>
      <w:rFonts w:ascii="Calibri" w:hAnsi="Calibri" w:cs="Calibri"/>
      <w:noProof/>
    </w:rPr>
  </w:style>
  <w:style w:type="character" w:styleId="Numrodeligne">
    <w:name w:val="line number"/>
    <w:basedOn w:val="Policepardfaut"/>
    <w:uiPriority w:val="99"/>
    <w:semiHidden/>
    <w:unhideWhenUsed/>
    <w:rsid w:val="00AB2266"/>
  </w:style>
  <w:style w:type="paragraph" w:styleId="En-tte">
    <w:name w:val="header"/>
    <w:basedOn w:val="Normal"/>
    <w:link w:val="En-tteCar"/>
    <w:uiPriority w:val="99"/>
    <w:unhideWhenUsed/>
    <w:rsid w:val="00AB226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B2266"/>
    <w:rPr>
      <w:lang w:val="fr-CH"/>
    </w:rPr>
  </w:style>
  <w:style w:type="paragraph" w:styleId="Pieddepage">
    <w:name w:val="footer"/>
    <w:basedOn w:val="Normal"/>
    <w:link w:val="PieddepageCar"/>
    <w:uiPriority w:val="99"/>
    <w:unhideWhenUsed/>
    <w:rsid w:val="00AB226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2266"/>
    <w:rPr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1087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Genève</Company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Kerzel</dc:creator>
  <cp:keywords/>
  <dc:description/>
  <cp:lastModifiedBy>Dirk Kerzel</cp:lastModifiedBy>
  <cp:revision>11</cp:revision>
  <dcterms:created xsi:type="dcterms:W3CDTF">2022-03-09T10:17:00Z</dcterms:created>
  <dcterms:modified xsi:type="dcterms:W3CDTF">2022-03-13T16:47:00Z</dcterms:modified>
</cp:coreProperties>
</file>