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3E0B8F" w14:textId="77777777" w:rsidR="007E3A12" w:rsidRDefault="009939C2">
      <w:pPr>
        <w:widowControl w:val="0"/>
        <w:spacing w:line="480" w:lineRule="auto"/>
        <w:jc w:val="center"/>
        <w:rPr>
          <w:b/>
        </w:rPr>
      </w:pPr>
      <w:bookmarkStart w:id="0" w:name="_GoBack"/>
      <w:bookmarkEnd w:id="0"/>
      <w:r>
        <w:rPr>
          <w:b/>
        </w:rPr>
        <w:t>Supplementary Materials</w:t>
      </w:r>
    </w:p>
    <w:p w14:paraId="244E5D92" w14:textId="77777777" w:rsidR="007E3A12" w:rsidRDefault="009939C2">
      <w:pPr>
        <w:widowControl w:val="0"/>
        <w:spacing w:line="480" w:lineRule="auto"/>
        <w:jc w:val="both"/>
      </w:pPr>
      <w:r>
        <w:t xml:space="preserve"> </w:t>
      </w:r>
    </w:p>
    <w:p w14:paraId="6D685DBD" w14:textId="77777777" w:rsidR="007E3A12" w:rsidRDefault="009939C2">
      <w:pPr>
        <w:widowControl w:val="0"/>
        <w:spacing w:line="480" w:lineRule="auto"/>
        <w:jc w:val="both"/>
      </w:pPr>
      <w:r>
        <w:t>Here, we report the general structure of our main measures: type I performance (</w:t>
      </w:r>
      <w:r>
        <w:rPr>
          <w:i/>
        </w:rPr>
        <w:t>d</w:t>
      </w:r>
      <w:r>
        <w:rPr>
          <w:i/>
          <w:color w:val="202124"/>
          <w:highlight w:val="white"/>
        </w:rPr>
        <w:t>′</w:t>
      </w:r>
      <w:r>
        <w:t>) and mean confidence ratings for all modalities.</w:t>
      </w:r>
    </w:p>
    <w:p w14:paraId="57E1023C" w14:textId="77777777" w:rsidR="007E3A12" w:rsidRDefault="009939C2">
      <w:pPr>
        <w:widowControl w:val="0"/>
        <w:spacing w:line="480" w:lineRule="auto"/>
        <w:jc w:val="both"/>
      </w:pPr>
      <w:r>
        <w:t xml:space="preserve"> </w:t>
      </w:r>
      <w:r>
        <w:rPr>
          <w:noProof/>
          <w:lang w:val="en-PH" w:eastAsia="en-PH"/>
        </w:rPr>
        <w:drawing>
          <wp:inline distT="114300" distB="114300" distL="114300" distR="114300" wp14:anchorId="4C9CA631" wp14:editId="30A0808A">
            <wp:extent cx="5943600" cy="2387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2387600"/>
                    </a:xfrm>
                    <a:prstGeom prst="rect">
                      <a:avLst/>
                    </a:prstGeom>
                    <a:ln/>
                  </pic:spPr>
                </pic:pic>
              </a:graphicData>
            </a:graphic>
          </wp:inline>
        </w:drawing>
      </w:r>
    </w:p>
    <w:p w14:paraId="6E1FAB42" w14:textId="77777777" w:rsidR="007E3A12" w:rsidRDefault="009939C2">
      <w:pPr>
        <w:widowControl w:val="0"/>
        <w:spacing w:line="480" w:lineRule="auto"/>
        <w:jc w:val="both"/>
        <w:rPr>
          <w:sz w:val="20"/>
          <w:szCs w:val="20"/>
        </w:rPr>
      </w:pPr>
      <w:r>
        <w:rPr>
          <w:b/>
          <w:sz w:val="20"/>
          <w:szCs w:val="20"/>
        </w:rPr>
        <w:t>Figure S1.</w:t>
      </w:r>
      <w:r>
        <w:rPr>
          <w:sz w:val="20"/>
          <w:szCs w:val="20"/>
        </w:rPr>
        <w:t xml:space="preserve"> Population values for (A) </w:t>
      </w:r>
      <w:r>
        <w:rPr>
          <w:i/>
          <w:sz w:val="20"/>
          <w:szCs w:val="20"/>
        </w:rPr>
        <w:t>d′</w:t>
      </w:r>
      <w:r>
        <w:rPr>
          <w:sz w:val="20"/>
          <w:szCs w:val="20"/>
        </w:rPr>
        <w:t xml:space="preserve"> and (B) mean confidence. In these raincloud plots (Allen et al., 2021), split violin plots reflect the probability density of the data, boxplots show the interquartile range (IQR), the thick line represents the median, the whiskers show ±1.5 IQR, and the dots reflect individual participants’ values. </w:t>
      </w:r>
    </w:p>
    <w:p w14:paraId="4FF9FFA8" w14:textId="77777777" w:rsidR="007E3A12" w:rsidRDefault="009939C2">
      <w:pPr>
        <w:widowControl w:val="0"/>
        <w:spacing w:line="480" w:lineRule="auto"/>
        <w:jc w:val="both"/>
      </w:pPr>
      <w:r>
        <w:t xml:space="preserve"> </w:t>
      </w:r>
    </w:p>
    <w:p w14:paraId="44D1B376" w14:textId="77777777" w:rsidR="007E3A12" w:rsidRDefault="009939C2">
      <w:pPr>
        <w:widowControl w:val="0"/>
        <w:spacing w:line="480" w:lineRule="auto"/>
        <w:jc w:val="both"/>
        <w:rPr>
          <w:b/>
        </w:rPr>
      </w:pPr>
      <w:r>
        <w:rPr>
          <w:b/>
        </w:rPr>
        <w:t>Type I performance</w:t>
      </w:r>
    </w:p>
    <w:p w14:paraId="3BDE9121" w14:textId="77777777" w:rsidR="007E3A12" w:rsidRDefault="009939C2">
      <w:pPr>
        <w:widowControl w:val="0"/>
        <w:spacing w:line="480" w:lineRule="auto"/>
        <w:jc w:val="both"/>
      </w:pPr>
      <w:r>
        <w:t xml:space="preserve">Since the accuracy of the type I tasks was controlled during the task, either by an online staircase (in visual, </w:t>
      </w:r>
      <w:proofErr w:type="spellStart"/>
      <w:r>
        <w:t>visuomotor</w:t>
      </w:r>
      <w:proofErr w:type="spellEnd"/>
      <w:r>
        <w:t xml:space="preserve"> and motor tasks) or after every block (memory task), we did not expect a difference in </w:t>
      </w:r>
      <w:r>
        <w:rPr>
          <w:i/>
        </w:rPr>
        <w:t>d</w:t>
      </w:r>
      <w:r>
        <w:rPr>
          <w:i/>
          <w:color w:val="202124"/>
          <w:highlight w:val="white"/>
        </w:rPr>
        <w:t>′</w:t>
      </w:r>
      <w:r>
        <w:t xml:space="preserve">. Indeed, a one-way ANOVA confirms that there was no significant difference in </w:t>
      </w:r>
      <w:r>
        <w:rPr>
          <w:i/>
        </w:rPr>
        <w:t>d</w:t>
      </w:r>
      <w:r>
        <w:rPr>
          <w:i/>
          <w:color w:val="202124"/>
          <w:highlight w:val="white"/>
        </w:rPr>
        <w:t>′</w:t>
      </w:r>
      <w:r>
        <w:t xml:space="preserve"> across tasks: (Greenhouse-</w:t>
      </w:r>
      <w:proofErr w:type="spellStart"/>
      <w:r>
        <w:t>Geisser</w:t>
      </w:r>
      <w:proofErr w:type="spellEnd"/>
      <w:r>
        <w:t xml:space="preserve">-corrected because of </w:t>
      </w:r>
      <w:proofErr w:type="spellStart"/>
      <w:r>
        <w:t>sphericity</w:t>
      </w:r>
      <w:proofErr w:type="spellEnd"/>
      <w:r>
        <w:t xml:space="preserve"> violations, </w:t>
      </w:r>
      <w:proofErr w:type="gramStart"/>
      <w:r>
        <w:t>F(</w:t>
      </w:r>
      <w:proofErr w:type="gramEnd"/>
      <w:r>
        <w:t xml:space="preserve">1.58, 28.50) = 0.90, p = .40, mean (M) confidence and standard deviation (SD): </w:t>
      </w:r>
      <w:proofErr w:type="spellStart"/>
      <w:r>
        <w:t>visuomotor</w:t>
      </w:r>
      <w:proofErr w:type="spellEnd"/>
      <w:r>
        <w:t xml:space="preserve"> – 1.16 (0.12), motor – 1.11 (0.15), visual – 1.19 (0.14), memory – 1.16 (0.23)). </w:t>
      </w:r>
    </w:p>
    <w:p w14:paraId="647281F7" w14:textId="77777777" w:rsidR="007E3A12" w:rsidRDefault="009939C2">
      <w:pPr>
        <w:widowControl w:val="0"/>
        <w:spacing w:line="480" w:lineRule="auto"/>
        <w:jc w:val="both"/>
      </w:pPr>
      <w:r>
        <w:t xml:space="preserve">It should be noted that the SD in the memory task is considerably larger than in other tasks (see </w:t>
      </w:r>
      <w:r>
        <w:lastRenderedPageBreak/>
        <w:t xml:space="preserve">Figure S1.A), which can be explained by a coarser online difficulty adjustment and has been observed in the same task previously (Morales et al., 2018). </w:t>
      </w:r>
    </w:p>
    <w:p w14:paraId="17F0DEEA" w14:textId="77777777" w:rsidR="007E3A12" w:rsidRDefault="009939C2">
      <w:pPr>
        <w:widowControl w:val="0"/>
        <w:spacing w:line="480" w:lineRule="auto"/>
        <w:jc w:val="both"/>
      </w:pPr>
      <w:r>
        <w:t xml:space="preserve"> </w:t>
      </w:r>
    </w:p>
    <w:p w14:paraId="0EA465FE" w14:textId="77777777" w:rsidR="007E3A12" w:rsidRDefault="009939C2">
      <w:pPr>
        <w:widowControl w:val="0"/>
        <w:spacing w:line="480" w:lineRule="auto"/>
        <w:jc w:val="both"/>
        <w:rPr>
          <w:b/>
        </w:rPr>
      </w:pPr>
      <w:r>
        <w:rPr>
          <w:b/>
        </w:rPr>
        <w:t>Confidence</w:t>
      </w:r>
    </w:p>
    <w:p w14:paraId="53E9707A" w14:textId="77777777" w:rsidR="007E3A12" w:rsidRDefault="009939C2">
      <w:pPr>
        <w:widowControl w:val="0"/>
        <w:spacing w:line="480" w:lineRule="auto"/>
        <w:jc w:val="both"/>
      </w:pPr>
      <w:r>
        <w:t>We also checked mean confidence ratings across all tasks (Figure S1.B). A one-way ANOVA showed a difference in mean confidence levels (Greenhouse-</w:t>
      </w:r>
      <w:proofErr w:type="spellStart"/>
      <w:r>
        <w:t>Geisser</w:t>
      </w:r>
      <w:proofErr w:type="spellEnd"/>
      <w:r>
        <w:t xml:space="preserve">-corrected, </w:t>
      </w:r>
      <w:proofErr w:type="gramStart"/>
      <w:r>
        <w:t>F(</w:t>
      </w:r>
      <w:proofErr w:type="gramEnd"/>
      <w:r>
        <w:t xml:space="preserve">2.08, 37.48) = 8.72, p &lt; .001, M (SD): </w:t>
      </w:r>
      <w:proofErr w:type="spellStart"/>
      <w:r>
        <w:t>visuomotor</w:t>
      </w:r>
      <w:proofErr w:type="spellEnd"/>
      <w:r>
        <w:t xml:space="preserve"> – 2.86 (0.31), motor – 2.83 (0.34), visual – 2.69 (0.37), memory – 2.64 (0.31)). Bonferroni-corrected, post-hoc pairwise t-tests showed that mean confidence ratings in the memory task were lower than in the motor task (p = 0.002), as well as in the </w:t>
      </w:r>
      <w:proofErr w:type="spellStart"/>
      <w:r>
        <w:t>visuomotor</w:t>
      </w:r>
      <w:proofErr w:type="spellEnd"/>
      <w:r>
        <w:t xml:space="preserve"> task (p &lt; 0.001). No other pairwise comparison yielded a statistically significant difference.</w:t>
      </w:r>
    </w:p>
    <w:p w14:paraId="3D8CE2CB" w14:textId="77777777" w:rsidR="007E3A12" w:rsidRDefault="007E3A12">
      <w:pPr>
        <w:widowControl w:val="0"/>
        <w:pBdr>
          <w:top w:val="nil"/>
          <w:left w:val="nil"/>
          <w:bottom w:val="nil"/>
          <w:right w:val="nil"/>
          <w:between w:val="nil"/>
        </w:pBdr>
        <w:spacing w:line="480" w:lineRule="auto"/>
        <w:ind w:left="720" w:hanging="720"/>
        <w:jc w:val="both"/>
        <w:rPr>
          <w:b/>
        </w:rPr>
      </w:pPr>
    </w:p>
    <w:p w14:paraId="60E563DB" w14:textId="77777777" w:rsidR="007E3A12" w:rsidRDefault="009939C2">
      <w:pPr>
        <w:widowControl w:val="0"/>
        <w:pBdr>
          <w:top w:val="nil"/>
          <w:left w:val="nil"/>
          <w:bottom w:val="nil"/>
          <w:right w:val="nil"/>
          <w:between w:val="nil"/>
        </w:pBdr>
        <w:spacing w:line="480" w:lineRule="auto"/>
        <w:ind w:left="720" w:hanging="720"/>
        <w:jc w:val="center"/>
        <w:rPr>
          <w:b/>
        </w:rPr>
      </w:pPr>
      <w:r>
        <w:rPr>
          <w:b/>
        </w:rPr>
        <w:t>Supplementary references:</w:t>
      </w:r>
    </w:p>
    <w:p w14:paraId="5B34A7CB" w14:textId="77777777" w:rsidR="007E3A12" w:rsidRDefault="009939C2" w:rsidP="003B6615">
      <w:pPr>
        <w:widowControl w:val="0"/>
        <w:spacing w:line="480" w:lineRule="auto"/>
        <w:ind w:left="720" w:hanging="720"/>
        <w:jc w:val="both"/>
        <w:rPr>
          <w:color w:val="222222"/>
          <w:highlight w:val="white"/>
        </w:rPr>
      </w:pPr>
      <w:proofErr w:type="gramStart"/>
      <w:r>
        <w:rPr>
          <w:color w:val="222222"/>
          <w:highlight w:val="white"/>
        </w:rPr>
        <w:t xml:space="preserve">Allen, M., Poggiali, D., Whitaker, K., Marshall, T. R., &amp; </w:t>
      </w:r>
      <w:proofErr w:type="spellStart"/>
      <w:r>
        <w:rPr>
          <w:color w:val="222222"/>
          <w:highlight w:val="white"/>
        </w:rPr>
        <w:t>Kievit</w:t>
      </w:r>
      <w:proofErr w:type="spellEnd"/>
      <w:r>
        <w:rPr>
          <w:color w:val="222222"/>
          <w:highlight w:val="white"/>
        </w:rPr>
        <w:t>, R. A. (2019).</w:t>
      </w:r>
      <w:proofErr w:type="gramEnd"/>
      <w:r>
        <w:rPr>
          <w:color w:val="222222"/>
          <w:highlight w:val="white"/>
        </w:rPr>
        <w:t xml:space="preserve"> Raincloud plots: a multi-platform tool for robust data visualization. </w:t>
      </w:r>
      <w:proofErr w:type="spellStart"/>
      <w:r>
        <w:rPr>
          <w:i/>
          <w:color w:val="222222"/>
        </w:rPr>
        <w:t>Wellcome</w:t>
      </w:r>
      <w:proofErr w:type="spellEnd"/>
      <w:r>
        <w:rPr>
          <w:i/>
          <w:color w:val="222222"/>
        </w:rPr>
        <w:t xml:space="preserve"> </w:t>
      </w:r>
      <w:proofErr w:type="gramStart"/>
      <w:r>
        <w:rPr>
          <w:i/>
          <w:color w:val="222222"/>
        </w:rPr>
        <w:t>open</w:t>
      </w:r>
      <w:proofErr w:type="gramEnd"/>
      <w:r>
        <w:rPr>
          <w:i/>
          <w:color w:val="222222"/>
        </w:rPr>
        <w:t xml:space="preserve"> research</w:t>
      </w:r>
      <w:r>
        <w:rPr>
          <w:color w:val="222222"/>
          <w:highlight w:val="white"/>
        </w:rPr>
        <w:t xml:space="preserve">, </w:t>
      </w:r>
      <w:r>
        <w:rPr>
          <w:i/>
          <w:color w:val="222222"/>
        </w:rPr>
        <w:t>4</w:t>
      </w:r>
      <w:r>
        <w:rPr>
          <w:color w:val="222222"/>
          <w:highlight w:val="white"/>
        </w:rPr>
        <w:t>.</w:t>
      </w:r>
    </w:p>
    <w:p w14:paraId="0E15EB6B" w14:textId="77777777" w:rsidR="007E3A12" w:rsidRDefault="009844BB" w:rsidP="003B6615">
      <w:pPr>
        <w:widowControl w:val="0"/>
        <w:spacing w:line="480" w:lineRule="auto"/>
        <w:ind w:left="720" w:hanging="720"/>
      </w:pPr>
      <w:hyperlink r:id="rId8">
        <w:r w:rsidR="009939C2">
          <w:t xml:space="preserve">Morales, J., Lau, H., &amp; Fleming, S. M. (2018). Domain-General and Domain-Specific Patterns of Activity Supporting Metacognition in Human Prefrontal Cortex. </w:t>
        </w:r>
      </w:hyperlink>
      <w:hyperlink r:id="rId9">
        <w:r w:rsidR="009939C2">
          <w:rPr>
            <w:i/>
          </w:rPr>
          <w:t>The Journal of Neuroscience</w:t>
        </w:r>
      </w:hyperlink>
      <w:hyperlink r:id="rId10">
        <w:r w:rsidR="009939C2">
          <w:t xml:space="preserve">, </w:t>
        </w:r>
      </w:hyperlink>
      <w:hyperlink r:id="rId11">
        <w:r w:rsidR="009939C2">
          <w:rPr>
            <w:i/>
          </w:rPr>
          <w:t>38</w:t>
        </w:r>
      </w:hyperlink>
      <w:hyperlink r:id="rId12">
        <w:r w:rsidR="009939C2">
          <w:t>(14), 3534–3546. https://doi.org/10.1523/JNEUROSCI.2360-17.2018</w:t>
        </w:r>
      </w:hyperlink>
    </w:p>
    <w:p w14:paraId="79F52516" w14:textId="77777777" w:rsidR="007E3A12" w:rsidRDefault="007E3A12">
      <w:pPr>
        <w:widowControl w:val="0"/>
        <w:pBdr>
          <w:top w:val="nil"/>
          <w:left w:val="nil"/>
          <w:bottom w:val="nil"/>
          <w:right w:val="nil"/>
          <w:between w:val="nil"/>
        </w:pBdr>
        <w:spacing w:line="480" w:lineRule="auto"/>
        <w:ind w:left="720" w:hanging="720"/>
        <w:jc w:val="both"/>
        <w:rPr>
          <w:color w:val="222222"/>
          <w:sz w:val="24"/>
          <w:szCs w:val="24"/>
          <w:highlight w:val="white"/>
        </w:rPr>
      </w:pPr>
    </w:p>
    <w:sectPr w:rsidR="007E3A12">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2C8F20" w14:textId="77777777" w:rsidR="009844BB" w:rsidRDefault="009844BB">
      <w:pPr>
        <w:spacing w:line="240" w:lineRule="auto"/>
      </w:pPr>
      <w:r>
        <w:separator/>
      </w:r>
    </w:p>
  </w:endnote>
  <w:endnote w:type="continuationSeparator" w:id="0">
    <w:p w14:paraId="422DBA94" w14:textId="77777777" w:rsidR="009844BB" w:rsidRDefault="009844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42095" w14:textId="77777777" w:rsidR="007E3A12" w:rsidRDefault="007E3A12">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B944D" w14:textId="77777777" w:rsidR="009844BB" w:rsidRDefault="009844BB">
      <w:pPr>
        <w:spacing w:line="240" w:lineRule="auto"/>
      </w:pPr>
      <w:r>
        <w:separator/>
      </w:r>
    </w:p>
  </w:footnote>
  <w:footnote w:type="continuationSeparator" w:id="0">
    <w:p w14:paraId="3D3A7600" w14:textId="77777777" w:rsidR="009844BB" w:rsidRDefault="009844B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13397" w14:textId="77777777" w:rsidR="007E3A12" w:rsidRDefault="009939C2">
    <w:r>
      <w:t>INTERNAL VS. EXTERNAL METACOGNITIVE DOMAINS</w:t>
    </w:r>
  </w:p>
  <w:p w14:paraId="4C34FFAC" w14:textId="77777777" w:rsidR="007E3A12" w:rsidRDefault="009939C2">
    <w:pPr>
      <w:jc w:val="right"/>
    </w:pPr>
    <w:r>
      <w:fldChar w:fldCharType="begin"/>
    </w:r>
    <w:r>
      <w:instrText>PAGE</w:instrText>
    </w:r>
    <w:r>
      <w:fldChar w:fldCharType="separate"/>
    </w:r>
    <w:r w:rsidR="00E13D17">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7E3A12"/>
    <w:rsid w:val="003B6615"/>
    <w:rsid w:val="007E3A12"/>
    <w:rsid w:val="009844BB"/>
    <w:rsid w:val="009939C2"/>
    <w:rsid w:val="00B946EA"/>
    <w:rsid w:val="00DA391B"/>
    <w:rsid w:val="00E13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13D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D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13D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D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zotero.org/google-docs/?broken=T4rmO5"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zotero.org/google-docs/?broken=T4rmO5"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zotero.org/google-docs/?broken=T4rmO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zotero.org/google-docs/?broken=T4rmO5" TargetMode="External"/><Relationship Id="rId4" Type="http://schemas.openxmlformats.org/officeDocument/2006/relationships/webSettings" Target="webSettings.xml"/><Relationship Id="rId9" Type="http://schemas.openxmlformats.org/officeDocument/2006/relationships/hyperlink" Target="https://www.zotero.org/google-docs/?broken=T4rmO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2303</Characters>
  <Application>Microsoft Office Word</Application>
  <DocSecurity>0</DocSecurity>
  <Lines>43</Lines>
  <Paragraphs>14</Paragraphs>
  <ScaleCrop>false</ScaleCrop>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ALALANTO</cp:lastModifiedBy>
  <cp:revision>4</cp:revision>
  <dcterms:created xsi:type="dcterms:W3CDTF">2022-05-03T15:27:00Z</dcterms:created>
  <dcterms:modified xsi:type="dcterms:W3CDTF">2022-10-15T00:26:00Z</dcterms:modified>
</cp:coreProperties>
</file>