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43743B" w14:textId="77777777" w:rsidR="000E28D9" w:rsidRDefault="000E28D9" w:rsidP="000E28D9">
      <w:pPr>
        <w:jc w:val="center"/>
        <w:rPr>
          <w:rFonts w:ascii="Calibri" w:hAnsi="Calibri" w:cs="Calibri"/>
          <w:lang w:val="en-US"/>
        </w:rPr>
      </w:pPr>
      <w:r w:rsidRPr="004C4A0F">
        <w:rPr>
          <w:rFonts w:ascii="Calibri" w:hAnsi="Calibri" w:cs="Calibri"/>
          <w:lang w:val="en-US"/>
        </w:rPr>
        <w:t>Supplementary Information</w:t>
      </w:r>
    </w:p>
    <w:p w14:paraId="05A9CFEE" w14:textId="77777777" w:rsidR="007C2B9F" w:rsidRDefault="007C2B9F" w:rsidP="007C2B9F">
      <w:pPr>
        <w:rPr>
          <w:rFonts w:ascii="Calibri" w:hAnsi="Calibri" w:cs="Calibri"/>
          <w:lang w:val="en-US"/>
        </w:rPr>
      </w:pPr>
    </w:p>
    <w:p w14:paraId="6907EC42" w14:textId="77777777" w:rsidR="007C2B9F" w:rsidRDefault="007C2B9F" w:rsidP="007C2B9F">
      <w:pPr>
        <w:rPr>
          <w:rFonts w:ascii="Calibri" w:hAnsi="Calibri" w:cs="Calibri"/>
          <w:lang w:val="en-US"/>
        </w:rPr>
      </w:pPr>
    </w:p>
    <w:p w14:paraId="1FCEF7AB" w14:textId="77777777" w:rsidR="000E28D9" w:rsidRPr="004C4A0F" w:rsidRDefault="000E28D9" w:rsidP="000E28D9">
      <w:pPr>
        <w:jc w:val="center"/>
        <w:rPr>
          <w:rFonts w:ascii="Calibri" w:hAnsi="Calibri" w:cs="Calibri"/>
          <w:lang w:val="en-US"/>
        </w:rPr>
      </w:pPr>
    </w:p>
    <w:tbl>
      <w:tblPr>
        <w:tblW w:w="4320" w:type="dxa"/>
        <w:tblBorders>
          <w:top w:val="single" w:sz="4" w:space="0" w:color="auto"/>
          <w:bottom w:val="single" w:sz="4" w:space="0" w:color="auto"/>
        </w:tblBorders>
        <w:tblLook w:val="04A0" w:firstRow="1" w:lastRow="0" w:firstColumn="1" w:lastColumn="0" w:noHBand="0" w:noVBand="1"/>
      </w:tblPr>
      <w:tblGrid>
        <w:gridCol w:w="1880"/>
        <w:gridCol w:w="2440"/>
      </w:tblGrid>
      <w:tr w:rsidR="000E28D9" w:rsidRPr="004C4A0F" w14:paraId="065BE30A" w14:textId="77777777" w:rsidTr="00B15EB7">
        <w:trPr>
          <w:trHeight w:val="630"/>
        </w:trPr>
        <w:tc>
          <w:tcPr>
            <w:tcW w:w="1880" w:type="dxa"/>
            <w:tcBorders>
              <w:top w:val="single" w:sz="4" w:space="0" w:color="auto"/>
              <w:bottom w:val="single" w:sz="4" w:space="0" w:color="auto"/>
            </w:tcBorders>
            <w:shd w:val="clear" w:color="auto" w:fill="auto"/>
            <w:vAlign w:val="bottom"/>
            <w:hideMark/>
          </w:tcPr>
          <w:p w14:paraId="620014BD"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Number of Pitches Learned</w:t>
            </w:r>
          </w:p>
        </w:tc>
        <w:tc>
          <w:tcPr>
            <w:tcW w:w="2440" w:type="dxa"/>
            <w:tcBorders>
              <w:top w:val="single" w:sz="4" w:space="0" w:color="auto"/>
              <w:bottom w:val="single" w:sz="4" w:space="0" w:color="auto"/>
            </w:tcBorders>
            <w:shd w:val="clear" w:color="auto" w:fill="auto"/>
            <w:vAlign w:val="bottom"/>
            <w:hideMark/>
          </w:tcPr>
          <w:p w14:paraId="38288AA6"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Response Time Window (</w:t>
            </w:r>
            <w:proofErr w:type="spellStart"/>
            <w:r w:rsidRPr="00CE2182">
              <w:rPr>
                <w:rFonts w:ascii="Calibri" w:hAnsi="Calibri" w:cs="Calibri"/>
                <w:color w:val="000000"/>
              </w:rPr>
              <w:t>ms</w:t>
            </w:r>
            <w:proofErr w:type="spellEnd"/>
            <w:r w:rsidRPr="00CE2182">
              <w:rPr>
                <w:rFonts w:ascii="Calibri" w:hAnsi="Calibri" w:cs="Calibri"/>
                <w:color w:val="000000"/>
              </w:rPr>
              <w:t>)</w:t>
            </w:r>
          </w:p>
        </w:tc>
      </w:tr>
      <w:tr w:rsidR="000E28D9" w:rsidRPr="004C4A0F" w14:paraId="17E142FB" w14:textId="77777777" w:rsidTr="00B15EB7">
        <w:trPr>
          <w:trHeight w:val="320"/>
        </w:trPr>
        <w:tc>
          <w:tcPr>
            <w:tcW w:w="1880" w:type="dxa"/>
            <w:tcBorders>
              <w:top w:val="single" w:sz="4" w:space="0" w:color="auto"/>
            </w:tcBorders>
            <w:shd w:val="clear" w:color="auto" w:fill="auto"/>
            <w:noWrap/>
            <w:vAlign w:val="bottom"/>
            <w:hideMark/>
          </w:tcPr>
          <w:p w14:paraId="0E21BD38"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w:t>
            </w:r>
          </w:p>
        </w:tc>
        <w:tc>
          <w:tcPr>
            <w:tcW w:w="2440" w:type="dxa"/>
            <w:tcBorders>
              <w:top w:val="single" w:sz="4" w:space="0" w:color="auto"/>
            </w:tcBorders>
            <w:shd w:val="clear" w:color="auto" w:fill="auto"/>
            <w:noWrap/>
            <w:vAlign w:val="bottom"/>
            <w:hideMark/>
          </w:tcPr>
          <w:p w14:paraId="3F64C4DE"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1183</w:t>
            </w:r>
          </w:p>
        </w:tc>
      </w:tr>
      <w:tr w:rsidR="000E28D9" w:rsidRPr="004C4A0F" w14:paraId="0457A613" w14:textId="77777777" w:rsidTr="00B15EB7">
        <w:trPr>
          <w:trHeight w:val="320"/>
        </w:trPr>
        <w:tc>
          <w:tcPr>
            <w:tcW w:w="1880" w:type="dxa"/>
            <w:shd w:val="clear" w:color="auto" w:fill="auto"/>
            <w:noWrap/>
            <w:vAlign w:val="bottom"/>
            <w:hideMark/>
          </w:tcPr>
          <w:p w14:paraId="37D351DA"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2</w:t>
            </w:r>
          </w:p>
        </w:tc>
        <w:tc>
          <w:tcPr>
            <w:tcW w:w="2440" w:type="dxa"/>
            <w:shd w:val="clear" w:color="auto" w:fill="auto"/>
            <w:noWrap/>
            <w:vAlign w:val="bottom"/>
            <w:hideMark/>
          </w:tcPr>
          <w:p w14:paraId="40F7FAA7"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1242</w:t>
            </w:r>
          </w:p>
        </w:tc>
      </w:tr>
      <w:tr w:rsidR="000E28D9" w:rsidRPr="004C4A0F" w14:paraId="0503467C" w14:textId="77777777" w:rsidTr="00B15EB7">
        <w:trPr>
          <w:trHeight w:val="320"/>
        </w:trPr>
        <w:tc>
          <w:tcPr>
            <w:tcW w:w="1880" w:type="dxa"/>
            <w:shd w:val="clear" w:color="auto" w:fill="auto"/>
            <w:noWrap/>
            <w:vAlign w:val="bottom"/>
            <w:hideMark/>
          </w:tcPr>
          <w:p w14:paraId="318ACC5E"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3</w:t>
            </w:r>
          </w:p>
        </w:tc>
        <w:tc>
          <w:tcPr>
            <w:tcW w:w="2440" w:type="dxa"/>
            <w:shd w:val="clear" w:color="auto" w:fill="auto"/>
            <w:noWrap/>
            <w:vAlign w:val="bottom"/>
            <w:hideMark/>
          </w:tcPr>
          <w:p w14:paraId="34CF0518"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1305</w:t>
            </w:r>
          </w:p>
        </w:tc>
      </w:tr>
      <w:tr w:rsidR="000E28D9" w:rsidRPr="004C4A0F" w14:paraId="5F827D4D" w14:textId="77777777" w:rsidTr="00B15EB7">
        <w:trPr>
          <w:trHeight w:val="320"/>
        </w:trPr>
        <w:tc>
          <w:tcPr>
            <w:tcW w:w="1880" w:type="dxa"/>
            <w:shd w:val="clear" w:color="auto" w:fill="auto"/>
            <w:noWrap/>
            <w:vAlign w:val="bottom"/>
            <w:hideMark/>
          </w:tcPr>
          <w:p w14:paraId="69B3B193"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4</w:t>
            </w:r>
          </w:p>
        </w:tc>
        <w:tc>
          <w:tcPr>
            <w:tcW w:w="2440" w:type="dxa"/>
            <w:shd w:val="clear" w:color="auto" w:fill="auto"/>
            <w:noWrap/>
            <w:vAlign w:val="bottom"/>
            <w:hideMark/>
          </w:tcPr>
          <w:p w14:paraId="2DB04CE3"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1371</w:t>
            </w:r>
          </w:p>
        </w:tc>
      </w:tr>
      <w:tr w:rsidR="000E28D9" w:rsidRPr="004C4A0F" w14:paraId="1D7D173D" w14:textId="77777777" w:rsidTr="00B15EB7">
        <w:trPr>
          <w:trHeight w:val="320"/>
        </w:trPr>
        <w:tc>
          <w:tcPr>
            <w:tcW w:w="1880" w:type="dxa"/>
            <w:shd w:val="clear" w:color="auto" w:fill="auto"/>
            <w:noWrap/>
            <w:vAlign w:val="bottom"/>
            <w:hideMark/>
          </w:tcPr>
          <w:p w14:paraId="2C0DCED6"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5</w:t>
            </w:r>
          </w:p>
        </w:tc>
        <w:tc>
          <w:tcPr>
            <w:tcW w:w="2440" w:type="dxa"/>
            <w:shd w:val="clear" w:color="auto" w:fill="auto"/>
            <w:noWrap/>
            <w:vAlign w:val="bottom"/>
            <w:hideMark/>
          </w:tcPr>
          <w:p w14:paraId="28C4B5BF"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1440</w:t>
            </w:r>
          </w:p>
        </w:tc>
      </w:tr>
      <w:tr w:rsidR="000E28D9" w:rsidRPr="004C4A0F" w14:paraId="70B4600A" w14:textId="77777777" w:rsidTr="00B15EB7">
        <w:trPr>
          <w:trHeight w:val="320"/>
        </w:trPr>
        <w:tc>
          <w:tcPr>
            <w:tcW w:w="1880" w:type="dxa"/>
            <w:shd w:val="clear" w:color="auto" w:fill="auto"/>
            <w:noWrap/>
            <w:vAlign w:val="bottom"/>
            <w:hideMark/>
          </w:tcPr>
          <w:p w14:paraId="62F13123"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6</w:t>
            </w:r>
          </w:p>
        </w:tc>
        <w:tc>
          <w:tcPr>
            <w:tcW w:w="2440" w:type="dxa"/>
            <w:shd w:val="clear" w:color="auto" w:fill="auto"/>
            <w:noWrap/>
            <w:vAlign w:val="bottom"/>
            <w:hideMark/>
          </w:tcPr>
          <w:p w14:paraId="59F6EB79"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1513</w:t>
            </w:r>
          </w:p>
        </w:tc>
      </w:tr>
      <w:tr w:rsidR="000E28D9" w:rsidRPr="004C4A0F" w14:paraId="3DA44FC7" w14:textId="77777777" w:rsidTr="00B15EB7">
        <w:trPr>
          <w:trHeight w:val="320"/>
        </w:trPr>
        <w:tc>
          <w:tcPr>
            <w:tcW w:w="1880" w:type="dxa"/>
            <w:shd w:val="clear" w:color="auto" w:fill="auto"/>
            <w:noWrap/>
            <w:vAlign w:val="bottom"/>
            <w:hideMark/>
          </w:tcPr>
          <w:p w14:paraId="52D54CBA"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7</w:t>
            </w:r>
          </w:p>
        </w:tc>
        <w:tc>
          <w:tcPr>
            <w:tcW w:w="2440" w:type="dxa"/>
            <w:shd w:val="clear" w:color="auto" w:fill="auto"/>
            <w:noWrap/>
            <w:vAlign w:val="bottom"/>
            <w:hideMark/>
          </w:tcPr>
          <w:p w14:paraId="5BED6764"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1589</w:t>
            </w:r>
          </w:p>
        </w:tc>
      </w:tr>
      <w:tr w:rsidR="000E28D9" w:rsidRPr="004C4A0F" w14:paraId="1ADE30FB" w14:textId="77777777" w:rsidTr="00B15EB7">
        <w:trPr>
          <w:trHeight w:val="320"/>
        </w:trPr>
        <w:tc>
          <w:tcPr>
            <w:tcW w:w="1880" w:type="dxa"/>
            <w:shd w:val="clear" w:color="auto" w:fill="auto"/>
            <w:noWrap/>
            <w:vAlign w:val="bottom"/>
            <w:hideMark/>
          </w:tcPr>
          <w:p w14:paraId="63956713"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8</w:t>
            </w:r>
          </w:p>
        </w:tc>
        <w:tc>
          <w:tcPr>
            <w:tcW w:w="2440" w:type="dxa"/>
            <w:shd w:val="clear" w:color="auto" w:fill="auto"/>
            <w:noWrap/>
            <w:vAlign w:val="bottom"/>
            <w:hideMark/>
          </w:tcPr>
          <w:p w14:paraId="75A01F50"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1668</w:t>
            </w:r>
          </w:p>
        </w:tc>
      </w:tr>
      <w:tr w:rsidR="000E28D9" w:rsidRPr="004C4A0F" w14:paraId="743C1D74" w14:textId="77777777" w:rsidTr="00B15EB7">
        <w:trPr>
          <w:trHeight w:val="320"/>
        </w:trPr>
        <w:tc>
          <w:tcPr>
            <w:tcW w:w="1880" w:type="dxa"/>
            <w:shd w:val="clear" w:color="auto" w:fill="auto"/>
            <w:noWrap/>
            <w:vAlign w:val="bottom"/>
            <w:hideMark/>
          </w:tcPr>
          <w:p w14:paraId="5909DCD5"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9</w:t>
            </w:r>
          </w:p>
        </w:tc>
        <w:tc>
          <w:tcPr>
            <w:tcW w:w="2440" w:type="dxa"/>
            <w:shd w:val="clear" w:color="auto" w:fill="auto"/>
            <w:noWrap/>
            <w:vAlign w:val="bottom"/>
            <w:hideMark/>
          </w:tcPr>
          <w:p w14:paraId="6A69B470"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1751</w:t>
            </w:r>
          </w:p>
        </w:tc>
      </w:tr>
      <w:tr w:rsidR="000E28D9" w:rsidRPr="004C4A0F" w14:paraId="26EFB249" w14:textId="77777777" w:rsidTr="00B15EB7">
        <w:trPr>
          <w:trHeight w:val="320"/>
        </w:trPr>
        <w:tc>
          <w:tcPr>
            <w:tcW w:w="1880" w:type="dxa"/>
            <w:shd w:val="clear" w:color="auto" w:fill="auto"/>
            <w:noWrap/>
            <w:vAlign w:val="bottom"/>
            <w:hideMark/>
          </w:tcPr>
          <w:p w14:paraId="4142D324"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10</w:t>
            </w:r>
          </w:p>
        </w:tc>
        <w:tc>
          <w:tcPr>
            <w:tcW w:w="2440" w:type="dxa"/>
            <w:shd w:val="clear" w:color="auto" w:fill="auto"/>
            <w:noWrap/>
            <w:vAlign w:val="bottom"/>
            <w:hideMark/>
          </w:tcPr>
          <w:p w14:paraId="3BAAEA6A"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1839</w:t>
            </w:r>
          </w:p>
        </w:tc>
      </w:tr>
      <w:tr w:rsidR="000E28D9" w:rsidRPr="004C4A0F" w14:paraId="61EE0AB1" w14:textId="77777777" w:rsidTr="00B15EB7">
        <w:trPr>
          <w:trHeight w:val="320"/>
        </w:trPr>
        <w:tc>
          <w:tcPr>
            <w:tcW w:w="1880" w:type="dxa"/>
            <w:shd w:val="clear" w:color="auto" w:fill="auto"/>
            <w:noWrap/>
            <w:vAlign w:val="bottom"/>
            <w:hideMark/>
          </w:tcPr>
          <w:p w14:paraId="549762D3"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11</w:t>
            </w:r>
          </w:p>
        </w:tc>
        <w:tc>
          <w:tcPr>
            <w:tcW w:w="2440" w:type="dxa"/>
            <w:shd w:val="clear" w:color="auto" w:fill="auto"/>
            <w:noWrap/>
            <w:vAlign w:val="bottom"/>
            <w:hideMark/>
          </w:tcPr>
          <w:p w14:paraId="4EB71D5B"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1930</w:t>
            </w:r>
          </w:p>
        </w:tc>
      </w:tr>
      <w:tr w:rsidR="000E28D9" w:rsidRPr="004C4A0F" w14:paraId="2C151612" w14:textId="77777777" w:rsidTr="00B15EB7">
        <w:trPr>
          <w:trHeight w:val="320"/>
        </w:trPr>
        <w:tc>
          <w:tcPr>
            <w:tcW w:w="1880" w:type="dxa"/>
            <w:shd w:val="clear" w:color="auto" w:fill="auto"/>
            <w:noWrap/>
            <w:vAlign w:val="bottom"/>
            <w:hideMark/>
          </w:tcPr>
          <w:p w14:paraId="041D11F4"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12</w:t>
            </w:r>
          </w:p>
        </w:tc>
        <w:tc>
          <w:tcPr>
            <w:tcW w:w="2440" w:type="dxa"/>
            <w:shd w:val="clear" w:color="auto" w:fill="auto"/>
            <w:noWrap/>
            <w:vAlign w:val="bottom"/>
            <w:hideMark/>
          </w:tcPr>
          <w:p w14:paraId="6A467576" w14:textId="77777777" w:rsidR="000E28D9" w:rsidRPr="00CE2182" w:rsidRDefault="000E28D9" w:rsidP="00B15EB7">
            <w:pPr>
              <w:jc w:val="center"/>
              <w:rPr>
                <w:rFonts w:ascii="Calibri" w:hAnsi="Calibri" w:cs="Calibri"/>
                <w:color w:val="000000"/>
              </w:rPr>
            </w:pPr>
            <w:r w:rsidRPr="00CE2182">
              <w:rPr>
                <w:rFonts w:ascii="Calibri" w:hAnsi="Calibri" w:cs="Calibri"/>
                <w:color w:val="000000"/>
              </w:rPr>
              <w:t>2028</w:t>
            </w:r>
          </w:p>
        </w:tc>
      </w:tr>
    </w:tbl>
    <w:p w14:paraId="3FFC8116" w14:textId="77777777" w:rsidR="000E28D9" w:rsidRPr="004C4A0F" w:rsidRDefault="000E28D9" w:rsidP="000E28D9">
      <w:pPr>
        <w:spacing w:line="480" w:lineRule="auto"/>
        <w:contextualSpacing/>
        <w:rPr>
          <w:rFonts w:ascii="Calibri" w:hAnsi="Calibri" w:cs="Calibri"/>
          <w:lang w:val="en-US"/>
        </w:rPr>
      </w:pPr>
    </w:p>
    <w:p w14:paraId="54F10CF2" w14:textId="77777777" w:rsidR="000E28D9" w:rsidRPr="004C4A0F" w:rsidRDefault="000E28D9" w:rsidP="000E28D9">
      <w:pPr>
        <w:contextualSpacing/>
        <w:rPr>
          <w:rFonts w:ascii="Calibri" w:hAnsi="Calibri" w:cs="Calibri"/>
          <w:lang w:val="en-US"/>
        </w:rPr>
      </w:pPr>
      <w:r w:rsidRPr="004C4A0F">
        <w:rPr>
          <w:rFonts w:ascii="Calibri" w:hAnsi="Calibri" w:cs="Calibri"/>
          <w:lang w:val="en-US"/>
        </w:rPr>
        <w:t xml:space="preserve">Supplementary Table 1. Response time windows used for training different set sizes of pitches during the AP training. The response time window indicated the requirement during the last no-feedback level that participants needed to pass before an additional pitch was added to the training set. </w:t>
      </w:r>
    </w:p>
    <w:p w14:paraId="1FF43087" w14:textId="77777777" w:rsidR="00A90274" w:rsidRDefault="00A90274" w:rsidP="000E28D9">
      <w:pPr>
        <w:contextualSpacing/>
        <w:rPr>
          <w:rFonts w:ascii="Calibri" w:hAnsi="Calibri" w:cs="Calibri"/>
          <w:lang w:val="en-US"/>
        </w:rPr>
      </w:pPr>
    </w:p>
    <w:p w14:paraId="2921A5B2" w14:textId="77777777" w:rsidR="00A90274" w:rsidRPr="004C4A0F" w:rsidRDefault="00A90274" w:rsidP="000E28D9">
      <w:pPr>
        <w:contextualSpacing/>
        <w:rPr>
          <w:rFonts w:ascii="Calibri" w:hAnsi="Calibri" w:cs="Calibri"/>
          <w:lang w:val="en-US"/>
        </w:rPr>
      </w:pPr>
    </w:p>
    <w:p w14:paraId="57E5FD22" w14:textId="77777777" w:rsidR="000E28D9" w:rsidRDefault="000E28D9" w:rsidP="000E28D9">
      <w:pPr>
        <w:contextualSpacing/>
        <w:rPr>
          <w:rFonts w:ascii="Calibri" w:hAnsi="Calibri" w:cs="Calibri"/>
          <w:lang w:val="en-US"/>
        </w:rPr>
      </w:pPr>
    </w:p>
    <w:p w14:paraId="2D29D710" w14:textId="77777777" w:rsidR="005F690D" w:rsidRPr="00DF7118" w:rsidRDefault="005F690D" w:rsidP="000E28D9">
      <w:pPr>
        <w:contextualSpacing/>
        <w:rPr>
          <w:rFonts w:asciiTheme="minorHAnsi" w:hAnsiTheme="minorHAnsi" w:cstheme="minorHAnsi"/>
          <w:lang w:val="en-US"/>
        </w:rPr>
      </w:pPr>
    </w:p>
    <w:tbl>
      <w:tblPr>
        <w:tblW w:w="8789" w:type="dxa"/>
        <w:tblLook w:val="04A0" w:firstRow="1" w:lastRow="0" w:firstColumn="1" w:lastColumn="0" w:noHBand="0" w:noVBand="1"/>
      </w:tblPr>
      <w:tblGrid>
        <w:gridCol w:w="1843"/>
        <w:gridCol w:w="1060"/>
        <w:gridCol w:w="1060"/>
        <w:gridCol w:w="1140"/>
        <w:gridCol w:w="400"/>
        <w:gridCol w:w="1060"/>
        <w:gridCol w:w="1060"/>
        <w:gridCol w:w="1166"/>
      </w:tblGrid>
      <w:tr w:rsidR="005F690D" w:rsidRPr="00CA4984" w14:paraId="299E2354" w14:textId="77777777" w:rsidTr="00DF7118">
        <w:trPr>
          <w:trHeight w:val="340"/>
        </w:trPr>
        <w:tc>
          <w:tcPr>
            <w:tcW w:w="1843" w:type="dxa"/>
            <w:tcBorders>
              <w:top w:val="single" w:sz="4" w:space="0" w:color="auto"/>
              <w:left w:val="nil"/>
              <w:bottom w:val="single" w:sz="4" w:space="0" w:color="auto"/>
              <w:right w:val="nil"/>
            </w:tcBorders>
            <w:shd w:val="clear" w:color="auto" w:fill="auto"/>
            <w:noWrap/>
            <w:hideMark/>
          </w:tcPr>
          <w:p w14:paraId="7D96EC6E" w14:textId="5DF6CF08" w:rsidR="005F690D" w:rsidRPr="00DF7118" w:rsidRDefault="005F690D">
            <w:pPr>
              <w:rPr>
                <w:rFonts w:asciiTheme="minorHAnsi" w:hAnsiTheme="minorHAnsi" w:cstheme="minorHAnsi"/>
                <w:color w:val="000000"/>
                <w:sz w:val="20"/>
                <w:szCs w:val="20"/>
              </w:rPr>
            </w:pPr>
          </w:p>
        </w:tc>
        <w:tc>
          <w:tcPr>
            <w:tcW w:w="3260" w:type="dxa"/>
            <w:gridSpan w:val="3"/>
            <w:tcBorders>
              <w:top w:val="single" w:sz="4" w:space="0" w:color="auto"/>
              <w:left w:val="nil"/>
              <w:bottom w:val="single" w:sz="4" w:space="0" w:color="auto"/>
              <w:right w:val="nil"/>
            </w:tcBorders>
            <w:shd w:val="clear" w:color="auto" w:fill="auto"/>
            <w:hideMark/>
          </w:tcPr>
          <w:p w14:paraId="21F92848"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Pianists</w:t>
            </w:r>
          </w:p>
        </w:tc>
        <w:tc>
          <w:tcPr>
            <w:tcW w:w="400" w:type="dxa"/>
            <w:tcBorders>
              <w:top w:val="single" w:sz="4" w:space="0" w:color="auto"/>
              <w:left w:val="nil"/>
              <w:bottom w:val="single" w:sz="4" w:space="0" w:color="auto"/>
              <w:right w:val="nil"/>
            </w:tcBorders>
            <w:shd w:val="clear" w:color="auto" w:fill="auto"/>
            <w:noWrap/>
            <w:hideMark/>
          </w:tcPr>
          <w:p w14:paraId="6E8B106B" w14:textId="15EEFA26" w:rsidR="005F690D" w:rsidRPr="00DF7118" w:rsidRDefault="005F690D">
            <w:pPr>
              <w:rPr>
                <w:rFonts w:asciiTheme="minorHAnsi" w:hAnsiTheme="minorHAnsi" w:cstheme="minorHAnsi"/>
                <w:color w:val="000000"/>
                <w:sz w:val="20"/>
                <w:szCs w:val="20"/>
              </w:rPr>
            </w:pPr>
          </w:p>
        </w:tc>
        <w:tc>
          <w:tcPr>
            <w:tcW w:w="3286" w:type="dxa"/>
            <w:gridSpan w:val="3"/>
            <w:tcBorders>
              <w:top w:val="single" w:sz="4" w:space="0" w:color="auto"/>
              <w:left w:val="nil"/>
              <w:bottom w:val="single" w:sz="4" w:space="0" w:color="auto"/>
              <w:right w:val="nil"/>
            </w:tcBorders>
            <w:shd w:val="clear" w:color="auto" w:fill="auto"/>
            <w:hideMark/>
          </w:tcPr>
          <w:p w14:paraId="6801D6E6" w14:textId="77777777" w:rsidR="005F690D" w:rsidRPr="00DF7118" w:rsidRDefault="005F690D">
            <w:pPr>
              <w:jc w:val="center"/>
              <w:rPr>
                <w:rFonts w:asciiTheme="minorHAnsi" w:hAnsiTheme="minorHAnsi" w:cstheme="minorHAnsi"/>
                <w:color w:val="333333"/>
                <w:sz w:val="20"/>
                <w:szCs w:val="20"/>
              </w:rPr>
            </w:pPr>
            <w:proofErr w:type="spellStart"/>
            <w:r w:rsidRPr="00DF7118">
              <w:rPr>
                <w:rFonts w:asciiTheme="minorHAnsi" w:hAnsiTheme="minorHAnsi" w:cstheme="minorHAnsi"/>
                <w:color w:val="333333"/>
                <w:sz w:val="20"/>
                <w:szCs w:val="20"/>
              </w:rPr>
              <w:t>NonPianists</w:t>
            </w:r>
            <w:proofErr w:type="spellEnd"/>
          </w:p>
        </w:tc>
      </w:tr>
      <w:tr w:rsidR="005F690D" w:rsidRPr="00CA4984" w14:paraId="548A1ED2" w14:textId="77777777" w:rsidTr="00DF7118">
        <w:trPr>
          <w:cantSplit/>
          <w:trHeight w:val="340"/>
        </w:trPr>
        <w:tc>
          <w:tcPr>
            <w:tcW w:w="1843" w:type="dxa"/>
            <w:tcBorders>
              <w:top w:val="nil"/>
              <w:left w:val="nil"/>
              <w:bottom w:val="nil"/>
              <w:right w:val="nil"/>
            </w:tcBorders>
            <w:shd w:val="clear" w:color="auto" w:fill="auto"/>
            <w:noWrap/>
            <w:hideMark/>
          </w:tcPr>
          <w:p w14:paraId="32BE04F7" w14:textId="77777777" w:rsidR="005F690D" w:rsidRPr="00DF7118" w:rsidRDefault="005F690D">
            <w:pPr>
              <w:jc w:val="center"/>
              <w:rPr>
                <w:rFonts w:asciiTheme="minorHAnsi" w:hAnsiTheme="minorHAnsi" w:cstheme="minorHAnsi"/>
                <w:color w:val="333333"/>
                <w:sz w:val="20"/>
                <w:szCs w:val="20"/>
              </w:rPr>
            </w:pPr>
          </w:p>
        </w:tc>
        <w:tc>
          <w:tcPr>
            <w:tcW w:w="1060" w:type="dxa"/>
            <w:tcBorders>
              <w:top w:val="nil"/>
              <w:left w:val="nil"/>
              <w:bottom w:val="nil"/>
              <w:right w:val="nil"/>
            </w:tcBorders>
            <w:shd w:val="clear" w:color="auto" w:fill="auto"/>
            <w:noWrap/>
            <w:hideMark/>
          </w:tcPr>
          <w:p w14:paraId="3ED13B17"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Pre</w:t>
            </w:r>
          </w:p>
        </w:tc>
        <w:tc>
          <w:tcPr>
            <w:tcW w:w="1060" w:type="dxa"/>
            <w:tcBorders>
              <w:top w:val="nil"/>
              <w:left w:val="nil"/>
              <w:bottom w:val="nil"/>
              <w:right w:val="nil"/>
            </w:tcBorders>
            <w:shd w:val="clear" w:color="auto" w:fill="auto"/>
            <w:noWrap/>
            <w:hideMark/>
          </w:tcPr>
          <w:p w14:paraId="7BD4C681"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Post</w:t>
            </w:r>
          </w:p>
        </w:tc>
        <w:tc>
          <w:tcPr>
            <w:tcW w:w="1140" w:type="dxa"/>
            <w:tcBorders>
              <w:top w:val="nil"/>
              <w:left w:val="nil"/>
              <w:bottom w:val="nil"/>
              <w:right w:val="nil"/>
            </w:tcBorders>
            <w:shd w:val="clear" w:color="auto" w:fill="auto"/>
            <w:noWrap/>
            <w:hideMark/>
          </w:tcPr>
          <w:p w14:paraId="2CD04B4F"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Post - Pre</w:t>
            </w:r>
          </w:p>
        </w:tc>
        <w:tc>
          <w:tcPr>
            <w:tcW w:w="400" w:type="dxa"/>
            <w:tcBorders>
              <w:top w:val="nil"/>
              <w:left w:val="nil"/>
              <w:bottom w:val="nil"/>
              <w:right w:val="nil"/>
            </w:tcBorders>
            <w:shd w:val="clear" w:color="auto" w:fill="auto"/>
            <w:noWrap/>
            <w:hideMark/>
          </w:tcPr>
          <w:p w14:paraId="4DE5E6B2" w14:textId="77777777" w:rsidR="005F690D" w:rsidRPr="00DF7118" w:rsidRDefault="005F690D">
            <w:pPr>
              <w:jc w:val="center"/>
              <w:rPr>
                <w:rFonts w:asciiTheme="minorHAnsi" w:hAnsiTheme="minorHAnsi" w:cstheme="minorHAnsi"/>
                <w:color w:val="000000"/>
                <w:sz w:val="20"/>
                <w:szCs w:val="20"/>
              </w:rPr>
            </w:pPr>
          </w:p>
        </w:tc>
        <w:tc>
          <w:tcPr>
            <w:tcW w:w="1060" w:type="dxa"/>
            <w:tcBorders>
              <w:top w:val="nil"/>
              <w:left w:val="nil"/>
              <w:bottom w:val="nil"/>
              <w:right w:val="nil"/>
            </w:tcBorders>
            <w:shd w:val="clear" w:color="auto" w:fill="auto"/>
            <w:noWrap/>
            <w:hideMark/>
          </w:tcPr>
          <w:p w14:paraId="07D02212"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Pre</w:t>
            </w:r>
          </w:p>
        </w:tc>
        <w:tc>
          <w:tcPr>
            <w:tcW w:w="1060" w:type="dxa"/>
            <w:tcBorders>
              <w:top w:val="nil"/>
              <w:left w:val="nil"/>
              <w:bottom w:val="nil"/>
              <w:right w:val="nil"/>
            </w:tcBorders>
            <w:shd w:val="clear" w:color="auto" w:fill="auto"/>
            <w:noWrap/>
            <w:hideMark/>
          </w:tcPr>
          <w:p w14:paraId="56B7B320"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Post</w:t>
            </w:r>
          </w:p>
        </w:tc>
        <w:tc>
          <w:tcPr>
            <w:tcW w:w="1166" w:type="dxa"/>
            <w:tcBorders>
              <w:top w:val="nil"/>
              <w:left w:val="nil"/>
              <w:bottom w:val="nil"/>
              <w:right w:val="nil"/>
            </w:tcBorders>
            <w:shd w:val="clear" w:color="auto" w:fill="auto"/>
            <w:noWrap/>
            <w:hideMark/>
          </w:tcPr>
          <w:p w14:paraId="605FC15E"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Post - Pre</w:t>
            </w:r>
          </w:p>
        </w:tc>
      </w:tr>
      <w:tr w:rsidR="005F690D" w:rsidRPr="00CA4984" w14:paraId="6BD4D4BA" w14:textId="77777777" w:rsidTr="00DF7118">
        <w:trPr>
          <w:trHeight w:val="320"/>
        </w:trPr>
        <w:tc>
          <w:tcPr>
            <w:tcW w:w="1843" w:type="dxa"/>
            <w:tcBorders>
              <w:top w:val="nil"/>
              <w:left w:val="nil"/>
              <w:bottom w:val="nil"/>
              <w:right w:val="nil"/>
            </w:tcBorders>
            <w:shd w:val="clear" w:color="auto" w:fill="auto"/>
            <w:noWrap/>
            <w:hideMark/>
          </w:tcPr>
          <w:p w14:paraId="51CD38CD" w14:textId="77777777" w:rsidR="005F690D" w:rsidRPr="00DF7118" w:rsidRDefault="005F690D">
            <w:pPr>
              <w:rPr>
                <w:rFonts w:asciiTheme="minorHAnsi" w:hAnsiTheme="minorHAnsi" w:cstheme="minorHAnsi"/>
                <w:color w:val="000000"/>
                <w:sz w:val="20"/>
                <w:szCs w:val="20"/>
              </w:rPr>
            </w:pPr>
            <w:r w:rsidRPr="00DF7118">
              <w:rPr>
                <w:rFonts w:asciiTheme="minorHAnsi" w:hAnsiTheme="minorHAnsi" w:cstheme="minorHAnsi"/>
                <w:color w:val="000000"/>
                <w:sz w:val="20"/>
                <w:szCs w:val="20"/>
              </w:rPr>
              <w:t>Proportion Correct</w:t>
            </w:r>
          </w:p>
        </w:tc>
        <w:tc>
          <w:tcPr>
            <w:tcW w:w="1060" w:type="dxa"/>
            <w:tcBorders>
              <w:top w:val="nil"/>
              <w:left w:val="nil"/>
              <w:bottom w:val="nil"/>
              <w:right w:val="nil"/>
            </w:tcBorders>
            <w:shd w:val="clear" w:color="auto" w:fill="auto"/>
            <w:hideMark/>
          </w:tcPr>
          <w:p w14:paraId="4908FA7F"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0.123</w:t>
            </w:r>
          </w:p>
        </w:tc>
        <w:tc>
          <w:tcPr>
            <w:tcW w:w="1060" w:type="dxa"/>
            <w:tcBorders>
              <w:top w:val="nil"/>
              <w:left w:val="nil"/>
              <w:bottom w:val="nil"/>
              <w:right w:val="nil"/>
            </w:tcBorders>
            <w:shd w:val="clear" w:color="auto" w:fill="auto"/>
            <w:hideMark/>
          </w:tcPr>
          <w:p w14:paraId="787EB4CC"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0.295</w:t>
            </w:r>
          </w:p>
        </w:tc>
        <w:tc>
          <w:tcPr>
            <w:tcW w:w="1140" w:type="dxa"/>
            <w:tcBorders>
              <w:top w:val="nil"/>
              <w:left w:val="nil"/>
              <w:bottom w:val="nil"/>
              <w:right w:val="nil"/>
            </w:tcBorders>
            <w:shd w:val="clear" w:color="auto" w:fill="auto"/>
            <w:noWrap/>
            <w:hideMark/>
          </w:tcPr>
          <w:p w14:paraId="2FEAEE12"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0.172</w:t>
            </w:r>
          </w:p>
        </w:tc>
        <w:tc>
          <w:tcPr>
            <w:tcW w:w="400" w:type="dxa"/>
            <w:tcBorders>
              <w:top w:val="nil"/>
              <w:left w:val="nil"/>
              <w:bottom w:val="nil"/>
              <w:right w:val="nil"/>
            </w:tcBorders>
            <w:shd w:val="clear" w:color="auto" w:fill="auto"/>
            <w:noWrap/>
            <w:hideMark/>
          </w:tcPr>
          <w:p w14:paraId="62BBFB09" w14:textId="77777777" w:rsidR="005F690D" w:rsidRPr="00DF7118" w:rsidRDefault="005F690D">
            <w:pPr>
              <w:jc w:val="center"/>
              <w:rPr>
                <w:rFonts w:asciiTheme="minorHAnsi" w:hAnsiTheme="minorHAnsi" w:cstheme="minorHAnsi"/>
                <w:color w:val="000000"/>
                <w:sz w:val="20"/>
                <w:szCs w:val="20"/>
              </w:rPr>
            </w:pPr>
          </w:p>
        </w:tc>
        <w:tc>
          <w:tcPr>
            <w:tcW w:w="1060" w:type="dxa"/>
            <w:tcBorders>
              <w:top w:val="nil"/>
              <w:left w:val="nil"/>
              <w:bottom w:val="nil"/>
              <w:right w:val="nil"/>
            </w:tcBorders>
            <w:shd w:val="clear" w:color="auto" w:fill="auto"/>
            <w:hideMark/>
          </w:tcPr>
          <w:p w14:paraId="609A6195"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0.17</w:t>
            </w:r>
          </w:p>
        </w:tc>
        <w:tc>
          <w:tcPr>
            <w:tcW w:w="1060" w:type="dxa"/>
            <w:tcBorders>
              <w:top w:val="nil"/>
              <w:left w:val="nil"/>
              <w:bottom w:val="nil"/>
              <w:right w:val="nil"/>
            </w:tcBorders>
            <w:shd w:val="clear" w:color="auto" w:fill="auto"/>
            <w:hideMark/>
          </w:tcPr>
          <w:p w14:paraId="1D9E7EC0"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0.361</w:t>
            </w:r>
          </w:p>
        </w:tc>
        <w:tc>
          <w:tcPr>
            <w:tcW w:w="1166" w:type="dxa"/>
            <w:tcBorders>
              <w:top w:val="nil"/>
              <w:left w:val="nil"/>
              <w:bottom w:val="nil"/>
              <w:right w:val="nil"/>
            </w:tcBorders>
            <w:shd w:val="clear" w:color="auto" w:fill="auto"/>
            <w:noWrap/>
            <w:hideMark/>
          </w:tcPr>
          <w:p w14:paraId="64715B9F"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0.191</w:t>
            </w:r>
          </w:p>
        </w:tc>
      </w:tr>
      <w:tr w:rsidR="005F690D" w:rsidRPr="00CA4984" w14:paraId="1E2FE453" w14:textId="77777777" w:rsidTr="00DF7118">
        <w:trPr>
          <w:trHeight w:val="320"/>
        </w:trPr>
        <w:tc>
          <w:tcPr>
            <w:tcW w:w="1843" w:type="dxa"/>
            <w:tcBorders>
              <w:top w:val="nil"/>
              <w:left w:val="nil"/>
              <w:bottom w:val="single" w:sz="4" w:space="0" w:color="auto"/>
              <w:right w:val="nil"/>
            </w:tcBorders>
            <w:shd w:val="clear" w:color="auto" w:fill="auto"/>
            <w:noWrap/>
            <w:hideMark/>
          </w:tcPr>
          <w:p w14:paraId="5EF1C7F9" w14:textId="77777777" w:rsidR="005F690D" w:rsidRPr="00DF7118" w:rsidRDefault="005F690D">
            <w:pPr>
              <w:rPr>
                <w:rFonts w:asciiTheme="minorHAnsi" w:hAnsiTheme="minorHAnsi" w:cstheme="minorHAnsi"/>
                <w:color w:val="000000"/>
                <w:sz w:val="20"/>
                <w:szCs w:val="20"/>
              </w:rPr>
            </w:pPr>
            <w:r w:rsidRPr="00DF7118">
              <w:rPr>
                <w:rFonts w:asciiTheme="minorHAnsi" w:hAnsiTheme="minorHAnsi" w:cstheme="minorHAnsi"/>
                <w:color w:val="000000"/>
                <w:sz w:val="20"/>
                <w:szCs w:val="20"/>
              </w:rPr>
              <w:t>Size of Error (Semitones)</w:t>
            </w:r>
          </w:p>
        </w:tc>
        <w:tc>
          <w:tcPr>
            <w:tcW w:w="1060" w:type="dxa"/>
            <w:tcBorders>
              <w:top w:val="nil"/>
              <w:left w:val="nil"/>
              <w:bottom w:val="single" w:sz="4" w:space="0" w:color="auto"/>
              <w:right w:val="nil"/>
            </w:tcBorders>
            <w:shd w:val="clear" w:color="auto" w:fill="auto"/>
            <w:hideMark/>
          </w:tcPr>
          <w:p w14:paraId="7C918494"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2.7</w:t>
            </w:r>
          </w:p>
        </w:tc>
        <w:tc>
          <w:tcPr>
            <w:tcW w:w="1060" w:type="dxa"/>
            <w:tcBorders>
              <w:top w:val="nil"/>
              <w:left w:val="nil"/>
              <w:bottom w:val="single" w:sz="4" w:space="0" w:color="auto"/>
              <w:right w:val="nil"/>
            </w:tcBorders>
            <w:shd w:val="clear" w:color="auto" w:fill="auto"/>
            <w:hideMark/>
          </w:tcPr>
          <w:p w14:paraId="75981BE5"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2.06</w:t>
            </w:r>
          </w:p>
        </w:tc>
        <w:tc>
          <w:tcPr>
            <w:tcW w:w="1140" w:type="dxa"/>
            <w:tcBorders>
              <w:top w:val="nil"/>
              <w:left w:val="nil"/>
              <w:bottom w:val="single" w:sz="4" w:space="0" w:color="auto"/>
              <w:right w:val="nil"/>
            </w:tcBorders>
            <w:shd w:val="clear" w:color="auto" w:fill="auto"/>
            <w:noWrap/>
            <w:hideMark/>
          </w:tcPr>
          <w:p w14:paraId="6773233D"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-0.64</w:t>
            </w:r>
          </w:p>
        </w:tc>
        <w:tc>
          <w:tcPr>
            <w:tcW w:w="400" w:type="dxa"/>
            <w:tcBorders>
              <w:top w:val="nil"/>
              <w:left w:val="nil"/>
              <w:bottom w:val="single" w:sz="4" w:space="0" w:color="auto"/>
              <w:right w:val="nil"/>
            </w:tcBorders>
            <w:shd w:val="clear" w:color="auto" w:fill="auto"/>
            <w:noWrap/>
            <w:hideMark/>
          </w:tcPr>
          <w:p w14:paraId="471BCF86" w14:textId="62EBEEFC" w:rsidR="005F690D" w:rsidRPr="00DF7118" w:rsidRDefault="005F690D">
            <w:pPr>
              <w:jc w:val="center"/>
              <w:rPr>
                <w:rFonts w:asciiTheme="minorHAnsi" w:hAnsiTheme="minorHAnsi" w:cstheme="minorHAnsi"/>
                <w:color w:val="000000"/>
                <w:sz w:val="20"/>
                <w:szCs w:val="20"/>
              </w:rPr>
            </w:pPr>
          </w:p>
        </w:tc>
        <w:tc>
          <w:tcPr>
            <w:tcW w:w="1060" w:type="dxa"/>
            <w:tcBorders>
              <w:top w:val="nil"/>
              <w:left w:val="nil"/>
              <w:bottom w:val="single" w:sz="4" w:space="0" w:color="auto"/>
              <w:right w:val="nil"/>
            </w:tcBorders>
            <w:shd w:val="clear" w:color="auto" w:fill="auto"/>
            <w:hideMark/>
          </w:tcPr>
          <w:p w14:paraId="10F524E5"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2.71</w:t>
            </w:r>
          </w:p>
        </w:tc>
        <w:tc>
          <w:tcPr>
            <w:tcW w:w="1060" w:type="dxa"/>
            <w:tcBorders>
              <w:top w:val="nil"/>
              <w:left w:val="nil"/>
              <w:bottom w:val="single" w:sz="4" w:space="0" w:color="auto"/>
              <w:right w:val="nil"/>
            </w:tcBorders>
            <w:shd w:val="clear" w:color="auto" w:fill="auto"/>
            <w:hideMark/>
          </w:tcPr>
          <w:p w14:paraId="2795172C" w14:textId="77777777" w:rsidR="005F690D" w:rsidRPr="00DF7118" w:rsidRDefault="005F690D">
            <w:pPr>
              <w:jc w:val="center"/>
              <w:rPr>
                <w:rFonts w:asciiTheme="minorHAnsi" w:hAnsiTheme="minorHAnsi" w:cstheme="minorHAnsi"/>
                <w:color w:val="333333"/>
                <w:sz w:val="20"/>
                <w:szCs w:val="20"/>
              </w:rPr>
            </w:pPr>
            <w:r w:rsidRPr="00DF7118">
              <w:rPr>
                <w:rFonts w:asciiTheme="minorHAnsi" w:hAnsiTheme="minorHAnsi" w:cstheme="minorHAnsi"/>
                <w:color w:val="333333"/>
                <w:sz w:val="20"/>
                <w:szCs w:val="20"/>
              </w:rPr>
              <w:t>1.47</w:t>
            </w:r>
          </w:p>
        </w:tc>
        <w:tc>
          <w:tcPr>
            <w:tcW w:w="1166" w:type="dxa"/>
            <w:tcBorders>
              <w:top w:val="nil"/>
              <w:left w:val="nil"/>
              <w:bottom w:val="single" w:sz="4" w:space="0" w:color="auto"/>
              <w:right w:val="nil"/>
            </w:tcBorders>
            <w:shd w:val="clear" w:color="auto" w:fill="auto"/>
            <w:noWrap/>
            <w:hideMark/>
          </w:tcPr>
          <w:p w14:paraId="1DA6AC62" w14:textId="77777777" w:rsidR="005F690D" w:rsidRPr="00DF7118" w:rsidRDefault="005F690D">
            <w:pPr>
              <w:jc w:val="center"/>
              <w:rPr>
                <w:rFonts w:asciiTheme="minorHAnsi" w:hAnsiTheme="minorHAnsi" w:cstheme="minorHAnsi"/>
                <w:color w:val="000000"/>
                <w:sz w:val="20"/>
                <w:szCs w:val="20"/>
              </w:rPr>
            </w:pPr>
            <w:r w:rsidRPr="00DF7118">
              <w:rPr>
                <w:rFonts w:asciiTheme="minorHAnsi" w:hAnsiTheme="minorHAnsi" w:cstheme="minorHAnsi"/>
                <w:color w:val="000000"/>
                <w:sz w:val="20"/>
                <w:szCs w:val="20"/>
              </w:rPr>
              <w:t>-1.24</w:t>
            </w:r>
          </w:p>
        </w:tc>
      </w:tr>
    </w:tbl>
    <w:p w14:paraId="3D5269B7" w14:textId="77777777" w:rsidR="005F690D" w:rsidRPr="00DF7118" w:rsidRDefault="005F690D" w:rsidP="000E28D9">
      <w:pPr>
        <w:contextualSpacing/>
        <w:rPr>
          <w:rFonts w:asciiTheme="minorHAnsi" w:hAnsiTheme="minorHAnsi" w:cstheme="minorHAnsi"/>
          <w:lang w:val="en-US"/>
        </w:rPr>
      </w:pPr>
    </w:p>
    <w:p w14:paraId="3EDCCA36" w14:textId="6CCA3FDC" w:rsidR="005B2CC6" w:rsidRPr="00DF7118" w:rsidRDefault="005B2CC6" w:rsidP="000E28D9">
      <w:pPr>
        <w:contextualSpacing/>
        <w:rPr>
          <w:rFonts w:asciiTheme="minorHAnsi" w:hAnsiTheme="minorHAnsi" w:cstheme="minorHAnsi"/>
          <w:lang w:val="en-US"/>
        </w:rPr>
      </w:pPr>
      <w:r w:rsidRPr="00DF7118">
        <w:rPr>
          <w:rFonts w:asciiTheme="minorHAnsi" w:hAnsiTheme="minorHAnsi" w:cstheme="minorHAnsi"/>
          <w:lang w:val="en-US"/>
        </w:rPr>
        <w:t>Supplementary Table 2. The mean performance and degree of improvement of the participants who had piano as a major instrument (‘Pianists’</w:t>
      </w:r>
      <w:r w:rsidR="0089653E" w:rsidRPr="00DF7118">
        <w:rPr>
          <w:rFonts w:asciiTheme="minorHAnsi" w:hAnsiTheme="minorHAnsi" w:cstheme="minorHAnsi"/>
          <w:lang w:val="en-US"/>
        </w:rPr>
        <w:t>; N = 8</w:t>
      </w:r>
      <w:r w:rsidRPr="00DF7118">
        <w:rPr>
          <w:rFonts w:asciiTheme="minorHAnsi" w:hAnsiTheme="minorHAnsi" w:cstheme="minorHAnsi"/>
          <w:lang w:val="en-US"/>
        </w:rPr>
        <w:t>) or not (‘Non-Pianists’</w:t>
      </w:r>
      <w:r w:rsidR="0089653E" w:rsidRPr="00DF7118">
        <w:rPr>
          <w:rFonts w:asciiTheme="minorHAnsi" w:hAnsiTheme="minorHAnsi" w:cstheme="minorHAnsi"/>
          <w:lang w:val="en-US"/>
        </w:rPr>
        <w:t>; N = 4</w:t>
      </w:r>
      <w:r w:rsidRPr="00DF7118">
        <w:rPr>
          <w:rFonts w:asciiTheme="minorHAnsi" w:hAnsiTheme="minorHAnsi" w:cstheme="minorHAnsi"/>
          <w:lang w:val="en-US"/>
        </w:rPr>
        <w:t>)</w:t>
      </w:r>
      <w:r w:rsidR="00B240C8" w:rsidRPr="00DF7118">
        <w:rPr>
          <w:rFonts w:asciiTheme="minorHAnsi" w:hAnsiTheme="minorHAnsi" w:cstheme="minorHAnsi"/>
          <w:lang w:val="en-US"/>
        </w:rPr>
        <w:t xml:space="preserve"> for the trained timbre</w:t>
      </w:r>
      <w:r w:rsidRPr="00DF7118">
        <w:rPr>
          <w:rFonts w:asciiTheme="minorHAnsi" w:hAnsiTheme="minorHAnsi" w:cstheme="minorHAnsi"/>
          <w:lang w:val="en-US"/>
        </w:rPr>
        <w:t xml:space="preserve">. </w:t>
      </w:r>
    </w:p>
    <w:p w14:paraId="2D2CE469" w14:textId="77777777" w:rsidR="000E28D9" w:rsidRPr="00DF7118" w:rsidRDefault="000E28D9" w:rsidP="000E28D9">
      <w:pPr>
        <w:contextualSpacing/>
        <w:rPr>
          <w:rFonts w:asciiTheme="minorHAnsi" w:hAnsiTheme="minorHAnsi" w:cstheme="minorHAnsi"/>
          <w:lang w:val="en-US"/>
        </w:rPr>
      </w:pPr>
    </w:p>
    <w:p w14:paraId="41608331" w14:textId="77777777" w:rsidR="00CA4984" w:rsidRDefault="00CA4984" w:rsidP="000E28D9">
      <w:pPr>
        <w:contextualSpacing/>
        <w:rPr>
          <w:rFonts w:asciiTheme="minorHAnsi" w:hAnsiTheme="minorHAnsi" w:cstheme="minorHAnsi"/>
          <w:lang w:val="en-US"/>
        </w:rPr>
      </w:pPr>
    </w:p>
    <w:p w14:paraId="44DCFAA1" w14:textId="363A3789" w:rsidR="00CA4984" w:rsidRDefault="00CA4984" w:rsidP="000E28D9">
      <w:pPr>
        <w:contextualSpacing/>
        <w:rPr>
          <w:rFonts w:asciiTheme="minorHAnsi" w:hAnsiTheme="minorHAnsi" w:cstheme="minorHAnsi"/>
          <w:lang w:val="en-US"/>
        </w:rPr>
      </w:pPr>
      <w:r>
        <w:rPr>
          <w:rFonts w:asciiTheme="minorHAnsi" w:hAnsiTheme="minorHAnsi" w:cstheme="minorHAnsi"/>
          <w:lang w:val="en-US"/>
        </w:rPr>
        <w:br w:type="page"/>
      </w:r>
    </w:p>
    <w:p w14:paraId="6DBB9788" w14:textId="77777777" w:rsidR="00CA4984" w:rsidRDefault="00CA4984" w:rsidP="000E28D9">
      <w:pPr>
        <w:contextualSpacing/>
        <w:rPr>
          <w:rFonts w:asciiTheme="minorHAnsi" w:hAnsiTheme="minorHAnsi" w:cstheme="minorHAnsi"/>
          <w:lang w:val="en-US"/>
        </w:rPr>
      </w:pPr>
    </w:p>
    <w:p w14:paraId="6D10F9BA" w14:textId="77777777" w:rsidR="00CA4984" w:rsidRPr="00DF7118" w:rsidRDefault="00CA4984" w:rsidP="00CA4984">
      <w:pPr>
        <w:spacing w:line="480" w:lineRule="auto"/>
        <w:contextualSpacing/>
        <w:rPr>
          <w:rFonts w:ascii="Calibri" w:hAnsi="Calibri" w:cs="Calibri"/>
          <w:b/>
          <w:bCs/>
          <w:i/>
          <w:iCs/>
        </w:rPr>
      </w:pPr>
      <w:r w:rsidRPr="00DF7118">
        <w:rPr>
          <w:rFonts w:ascii="Calibri" w:hAnsi="Calibri" w:cs="Calibri"/>
          <w:b/>
          <w:bCs/>
          <w:i/>
          <w:iCs/>
        </w:rPr>
        <w:t>Pre-registration</w:t>
      </w:r>
    </w:p>
    <w:p w14:paraId="3F4943C4" w14:textId="77777777" w:rsidR="00CA4984" w:rsidRDefault="00CA4984" w:rsidP="00CA4984">
      <w:pPr>
        <w:spacing w:line="480" w:lineRule="auto"/>
        <w:ind w:firstLine="720"/>
        <w:contextualSpacing/>
        <w:rPr>
          <w:rFonts w:ascii="Calibri" w:hAnsi="Calibri" w:cs="Calibri"/>
        </w:rPr>
      </w:pPr>
      <w:r>
        <w:rPr>
          <w:rFonts w:ascii="Calibri" w:hAnsi="Calibri" w:cs="Calibri"/>
        </w:rPr>
        <w:t xml:space="preserve">The study </w:t>
      </w:r>
      <w:r w:rsidRPr="004C4A0F">
        <w:rPr>
          <w:rFonts w:ascii="Calibri" w:hAnsi="Calibri" w:cs="Calibri"/>
        </w:rPr>
        <w:t>deviate</w:t>
      </w:r>
      <w:r>
        <w:rPr>
          <w:rFonts w:ascii="Calibri" w:hAnsi="Calibri" w:cs="Calibri"/>
        </w:rPr>
        <w:t>d</w:t>
      </w:r>
      <w:r w:rsidRPr="004C4A0F">
        <w:rPr>
          <w:rFonts w:ascii="Calibri" w:hAnsi="Calibri" w:cs="Calibri"/>
        </w:rPr>
        <w:t xml:space="preserve"> from the pre-registration in </w:t>
      </w:r>
      <w:r>
        <w:rPr>
          <w:rFonts w:ascii="Calibri" w:hAnsi="Calibri" w:cs="Calibri"/>
        </w:rPr>
        <w:t xml:space="preserve">terms of the following. </w:t>
      </w:r>
      <w:r w:rsidRPr="004C4A0F">
        <w:rPr>
          <w:rFonts w:ascii="Calibri" w:hAnsi="Calibri" w:cs="Calibri"/>
        </w:rPr>
        <w:t>First, we decided to drop the 1</w:t>
      </w:r>
      <w:r w:rsidRPr="004C4A0F">
        <w:rPr>
          <w:rFonts w:ascii="Calibri" w:hAnsi="Calibri" w:cs="Calibri"/>
          <w:vertAlign w:val="superscript"/>
        </w:rPr>
        <w:t>st</w:t>
      </w:r>
      <w:r w:rsidRPr="004C4A0F">
        <w:rPr>
          <w:rFonts w:ascii="Calibri" w:hAnsi="Calibri" w:cs="Calibri"/>
        </w:rPr>
        <w:t xml:space="preserve"> research question about the percentage of participants who could acquire AP in the population since it required a sizable sample. Instead, we focused on the 2</w:t>
      </w:r>
      <w:r w:rsidRPr="004C4A0F">
        <w:rPr>
          <w:rFonts w:ascii="Calibri" w:hAnsi="Calibri" w:cs="Calibri"/>
          <w:vertAlign w:val="superscript"/>
        </w:rPr>
        <w:t>nd</w:t>
      </w:r>
      <w:r w:rsidRPr="004C4A0F">
        <w:rPr>
          <w:rFonts w:ascii="Calibri" w:hAnsi="Calibri" w:cs="Calibri"/>
        </w:rPr>
        <w:t xml:space="preserve"> research question – to test the learnability of AP in adulthood after minimizing the methodological issues in previous studies. </w:t>
      </w:r>
    </w:p>
    <w:p w14:paraId="78B97EF5" w14:textId="77777777" w:rsidR="00CA4984" w:rsidRDefault="00CA4984" w:rsidP="00CA4984">
      <w:pPr>
        <w:spacing w:line="480" w:lineRule="auto"/>
        <w:ind w:firstLine="720"/>
        <w:contextualSpacing/>
        <w:rPr>
          <w:rFonts w:ascii="Calibri" w:hAnsi="Calibri" w:cs="Calibri"/>
        </w:rPr>
      </w:pPr>
      <w:r w:rsidRPr="004C4A0F">
        <w:rPr>
          <w:rFonts w:ascii="Calibri" w:hAnsi="Calibri" w:cs="Calibri"/>
        </w:rPr>
        <w:t xml:space="preserve">Second, the data for the tonal and non-tonal speakers were </w:t>
      </w:r>
      <w:proofErr w:type="spellStart"/>
      <w:r w:rsidRPr="004C4A0F">
        <w:rPr>
          <w:rFonts w:ascii="Calibri" w:hAnsi="Calibri" w:cs="Calibri"/>
        </w:rPr>
        <w:t>analyzed</w:t>
      </w:r>
      <w:proofErr w:type="spellEnd"/>
      <w:r w:rsidRPr="004C4A0F">
        <w:rPr>
          <w:rFonts w:ascii="Calibri" w:hAnsi="Calibri" w:cs="Calibri"/>
        </w:rPr>
        <w:t xml:space="preserve"> together to increase sample size. This was deemed appropriate because the training protocol they went through were identical. </w:t>
      </w:r>
    </w:p>
    <w:p w14:paraId="7F486527" w14:textId="77777777" w:rsidR="00CA4984" w:rsidRDefault="00CA4984" w:rsidP="00CA4984">
      <w:pPr>
        <w:spacing w:line="480" w:lineRule="auto"/>
        <w:ind w:firstLine="720"/>
        <w:contextualSpacing/>
        <w:rPr>
          <w:rFonts w:ascii="Calibri" w:hAnsi="Calibri" w:cs="Calibri"/>
        </w:rPr>
      </w:pPr>
      <w:r>
        <w:rPr>
          <w:rFonts w:ascii="Calibri" w:hAnsi="Calibri" w:cs="Calibri"/>
        </w:rPr>
        <w:t xml:space="preserve">Third, </w:t>
      </w:r>
      <w:r w:rsidRPr="004C4A0F">
        <w:rPr>
          <w:rFonts w:ascii="Calibri" w:hAnsi="Calibri" w:cs="Calibri"/>
        </w:rPr>
        <w:t>instead of excluding all participants who failed to complete the 25</w:t>
      </w:r>
      <w:r>
        <w:rPr>
          <w:rFonts w:ascii="Calibri" w:hAnsi="Calibri" w:cs="Calibri"/>
        </w:rPr>
        <w:t>-</w:t>
      </w:r>
      <w:r w:rsidRPr="004C4A0F">
        <w:rPr>
          <w:rFonts w:ascii="Calibri" w:hAnsi="Calibri" w:cs="Calibri"/>
        </w:rPr>
        <w:t>hour training</w:t>
      </w:r>
      <w:r>
        <w:rPr>
          <w:rFonts w:ascii="Calibri" w:hAnsi="Calibri" w:cs="Calibri"/>
        </w:rPr>
        <w:t xml:space="preserve"> over 8 weeks</w:t>
      </w:r>
      <w:r w:rsidRPr="004C4A0F">
        <w:rPr>
          <w:rFonts w:ascii="Calibri" w:hAnsi="Calibri" w:cs="Calibri"/>
        </w:rPr>
        <w:t>, we decided to include participants who completed 10 hours of training or more and invited them for post-test. This allowed us to examine the AP learning for those who had considerable amount of training comparable to the training durations of many perceptual training studies in the literature</w:t>
      </w:r>
      <w:sdt>
        <w:sdtPr>
          <w:rPr>
            <w:rFonts w:ascii="Calibri" w:hAnsi="Calibri" w:cs="Calibri"/>
            <w:color w:val="000000"/>
            <w:vertAlign w:val="superscript"/>
          </w:rPr>
          <w:tag w:val="MENDELEY_CITATION_v3_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"/>
          <w:id w:val="-1087389391"/>
          <w:placeholder>
            <w:docPart w:val="A301E473A8924843B90F2CD604570819"/>
          </w:placeholder>
        </w:sdtPr>
        <w:sdtContent/>
      </w:sdt>
      <w:r>
        <w:rPr>
          <w:rFonts w:ascii="Calibri" w:hAnsi="Calibri" w:cs="Calibri"/>
          <w:color w:val="000000"/>
          <w:vertAlign w:val="superscript"/>
        </w:rPr>
        <w:t xml:space="preserve"> </w:t>
      </w:r>
      <w:r>
        <w:rPr>
          <w:rFonts w:ascii="Calibri" w:hAnsi="Calibri" w:cs="Calibri"/>
        </w:rPr>
        <w:t>(Gauthier et al., 1998; Wong et al., 2009; Wong et al., 2011)</w:t>
      </w:r>
      <w:r w:rsidRPr="004C4A0F">
        <w:rPr>
          <w:rFonts w:ascii="Calibri" w:hAnsi="Calibri" w:cs="Calibri"/>
        </w:rPr>
        <w:t xml:space="preserve">. This decision was made without having any idea about the final number of participants to be included because the start date of the training varied between participants, and before any post-test data were examined. </w:t>
      </w:r>
    </w:p>
    <w:p w14:paraId="175D7571" w14:textId="77777777" w:rsidR="00CA4984" w:rsidRDefault="00CA4984" w:rsidP="00CA4984">
      <w:pPr>
        <w:spacing w:line="480" w:lineRule="auto"/>
        <w:ind w:firstLine="720"/>
        <w:contextualSpacing/>
        <w:rPr>
          <w:rFonts w:ascii="Calibri" w:hAnsi="Calibri" w:cs="Calibri"/>
        </w:rPr>
      </w:pPr>
      <w:r w:rsidRPr="004C4A0F">
        <w:rPr>
          <w:rFonts w:ascii="Calibri" w:hAnsi="Calibri" w:cs="Calibri"/>
        </w:rPr>
        <w:t>Fourth, the response time windows used in this training were longer than th</w:t>
      </w:r>
      <w:r>
        <w:rPr>
          <w:rFonts w:ascii="Calibri" w:hAnsi="Calibri" w:cs="Calibri"/>
        </w:rPr>
        <w:t>ose</w:t>
      </w:r>
      <w:r w:rsidRPr="004C4A0F">
        <w:rPr>
          <w:rFonts w:ascii="Calibri" w:hAnsi="Calibri" w:cs="Calibri"/>
        </w:rPr>
        <w:t xml:space="preserve"> stated in the pre-registration document because pilot data showed that the original time windows were unachievable for many. </w:t>
      </w:r>
    </w:p>
    <w:p w14:paraId="776F35A8" w14:textId="77777777" w:rsidR="00CA4984" w:rsidRDefault="00CA4984" w:rsidP="00CA4984">
      <w:pPr>
        <w:spacing w:line="480" w:lineRule="auto"/>
        <w:ind w:firstLine="720"/>
        <w:contextualSpacing/>
        <w:rPr>
          <w:rFonts w:ascii="Calibri" w:hAnsi="Calibri" w:cs="Calibri"/>
        </w:rPr>
      </w:pPr>
      <w:r w:rsidRPr="004C4A0F">
        <w:rPr>
          <w:rFonts w:ascii="Calibri" w:hAnsi="Calibri" w:cs="Calibri"/>
        </w:rPr>
        <w:t>Otherwise, the study was conducted as described in the pre-registration documents.</w:t>
      </w:r>
    </w:p>
    <w:p w14:paraId="6F5E1F81" w14:textId="77777777" w:rsidR="00CA4984" w:rsidRPr="00DF7118" w:rsidRDefault="00CA4984" w:rsidP="000E28D9">
      <w:pPr>
        <w:contextualSpacing/>
        <w:rPr>
          <w:rFonts w:asciiTheme="minorHAnsi" w:hAnsiTheme="minorHAnsi" w:cstheme="minorHAnsi"/>
        </w:rPr>
      </w:pPr>
    </w:p>
    <w:p w14:paraId="2DF36401" w14:textId="77777777" w:rsidR="00CA4984" w:rsidRPr="00DF7118" w:rsidRDefault="00CA4984" w:rsidP="000E28D9">
      <w:pPr>
        <w:contextualSpacing/>
        <w:rPr>
          <w:rFonts w:asciiTheme="minorHAnsi" w:hAnsiTheme="minorHAnsi" w:cstheme="minorHAnsi"/>
          <w:lang w:val="en-US"/>
        </w:rPr>
      </w:pPr>
    </w:p>
    <w:p w14:paraId="578670DE" w14:textId="77777777" w:rsidR="00497796" w:rsidRPr="00DF7118" w:rsidRDefault="00497796" w:rsidP="000E28D9">
      <w:pPr>
        <w:contextualSpacing/>
        <w:rPr>
          <w:rFonts w:asciiTheme="minorHAnsi" w:hAnsiTheme="minorHAnsi" w:cstheme="minorHAnsi"/>
        </w:rPr>
      </w:pPr>
    </w:p>
    <w:p w14:paraId="6690C4C8" w14:textId="3889409D" w:rsidR="00497796" w:rsidRPr="00DF7118" w:rsidRDefault="00497796" w:rsidP="00497796">
      <w:pPr>
        <w:pStyle w:val="NormalWeb"/>
        <w:spacing w:line="480" w:lineRule="auto"/>
        <w:contextualSpacing/>
        <w:rPr>
          <w:rFonts w:ascii="Calibri" w:hAnsi="Calibri" w:cs="Calibri"/>
          <w:b/>
          <w:bCs/>
          <w:i/>
          <w:iCs/>
        </w:rPr>
      </w:pPr>
      <w:proofErr w:type="spellStart"/>
      <w:r w:rsidRPr="00DF7118">
        <w:rPr>
          <w:rFonts w:asciiTheme="minorHAnsi" w:hAnsiTheme="minorHAnsi" w:cstheme="minorHAnsi"/>
          <w:b/>
          <w:bCs/>
          <w:i/>
          <w:iCs/>
        </w:rPr>
        <w:lastRenderedPageBreak/>
        <w:t>Prepost</w:t>
      </w:r>
      <w:proofErr w:type="spellEnd"/>
      <w:r w:rsidRPr="00DF7118">
        <w:rPr>
          <w:rFonts w:asciiTheme="minorHAnsi" w:hAnsiTheme="minorHAnsi" w:cstheme="minorHAnsi"/>
          <w:b/>
          <w:bCs/>
          <w:i/>
          <w:iCs/>
        </w:rPr>
        <w:t xml:space="preserve"> Tests (After excluding the two participants that performed considerably better than</w:t>
      </w:r>
      <w:r w:rsidRPr="00DF7118">
        <w:rPr>
          <w:rFonts w:ascii="Calibri" w:hAnsi="Calibri" w:cs="Calibri"/>
          <w:b/>
          <w:bCs/>
          <w:i/>
          <w:iCs/>
        </w:rPr>
        <w:t xml:space="preserve"> other participants)</w:t>
      </w:r>
    </w:p>
    <w:p w14:paraId="2CA0AE83" w14:textId="124069C5" w:rsidR="00497796" w:rsidRDefault="00497796" w:rsidP="00497796">
      <w:pPr>
        <w:pStyle w:val="NormalWeb"/>
        <w:spacing w:line="480" w:lineRule="auto"/>
        <w:ind w:firstLine="720"/>
        <w:contextualSpacing/>
        <w:rPr>
          <w:rFonts w:ascii="Calibri" w:hAnsi="Calibri" w:cs="Calibri"/>
        </w:rPr>
      </w:pPr>
      <w:r>
        <w:rPr>
          <w:rFonts w:ascii="Calibri" w:hAnsi="Calibri" w:cs="Calibri"/>
        </w:rPr>
        <w:t>After excluding these two participants</w:t>
      </w:r>
      <w:r w:rsidRPr="004C4A0F">
        <w:rPr>
          <w:rFonts w:ascii="Calibri" w:hAnsi="Calibri" w:cs="Calibri"/>
        </w:rPr>
        <w:t xml:space="preserve"> </w:t>
      </w:r>
      <w:r>
        <w:rPr>
          <w:rFonts w:ascii="Calibri" w:hAnsi="Calibri" w:cs="Calibri"/>
        </w:rPr>
        <w:t xml:space="preserve">who performed considerably better than other participants (as shown in Figure 2), results of the </w:t>
      </w:r>
      <w:r w:rsidRPr="004C4A0F">
        <w:rPr>
          <w:rFonts w:ascii="Calibri" w:hAnsi="Calibri" w:cs="Calibri"/>
        </w:rPr>
        <w:t xml:space="preserve">2 x 2 Analyses of Variance (ANOVAs) with </w:t>
      </w:r>
      <w:proofErr w:type="spellStart"/>
      <w:r w:rsidRPr="004C4A0F">
        <w:rPr>
          <w:rFonts w:ascii="Calibri" w:hAnsi="Calibri" w:cs="Calibri"/>
        </w:rPr>
        <w:t>Prepost</w:t>
      </w:r>
      <w:proofErr w:type="spellEnd"/>
      <w:r w:rsidRPr="004C4A0F">
        <w:rPr>
          <w:rFonts w:ascii="Calibri" w:hAnsi="Calibri" w:cs="Calibri"/>
        </w:rPr>
        <w:t xml:space="preserve"> (pre-test / post-test) and Timbre (trained / untrained) as within-subject factors</w:t>
      </w:r>
      <w:r>
        <w:rPr>
          <w:rFonts w:ascii="Calibri" w:hAnsi="Calibri" w:cs="Calibri"/>
        </w:rPr>
        <w:t xml:space="preserve"> remained similar.</w:t>
      </w:r>
      <w:r w:rsidR="00F02071">
        <w:rPr>
          <w:rFonts w:ascii="Calibri" w:hAnsi="Calibri" w:cs="Calibri"/>
        </w:rPr>
        <w:t xml:space="preserve"> </w:t>
      </w:r>
      <w:proofErr w:type="gramStart"/>
      <w:r w:rsidR="00F02071">
        <w:rPr>
          <w:rFonts w:ascii="Calibri" w:hAnsi="Calibri" w:cs="Calibri"/>
        </w:rPr>
        <w:t>Similar to</w:t>
      </w:r>
      <w:proofErr w:type="gramEnd"/>
      <w:r w:rsidR="00F02071">
        <w:rPr>
          <w:rFonts w:ascii="Calibri" w:hAnsi="Calibri" w:cs="Calibri"/>
        </w:rPr>
        <w:t xml:space="preserve"> the ANOVA reported in the main text, o</w:t>
      </w:r>
      <w:r w:rsidR="00F02071" w:rsidRPr="00EF1AF8">
        <w:rPr>
          <w:rFonts w:ascii="Calibri" w:hAnsi="Calibri" w:cs="Calibri"/>
        </w:rPr>
        <w:t>ne participant was not included in the RT analyses because no trial was performed correctly during pre-test (Figure 2).</w:t>
      </w:r>
    </w:p>
    <w:p w14:paraId="547743F5" w14:textId="667B8B6C" w:rsidR="00497796" w:rsidRPr="004C4A0F" w:rsidRDefault="00497796" w:rsidP="00497796">
      <w:pPr>
        <w:pStyle w:val="NormalWeb"/>
        <w:spacing w:line="480" w:lineRule="auto"/>
        <w:ind w:firstLine="720"/>
        <w:contextualSpacing/>
        <w:rPr>
          <w:rFonts w:ascii="Calibri" w:hAnsi="Calibri" w:cs="Calibri"/>
        </w:rPr>
      </w:pPr>
      <w:r w:rsidRPr="00497796">
        <w:rPr>
          <w:rFonts w:ascii="Calibri" w:hAnsi="Calibri" w:cs="Calibri"/>
        </w:rPr>
        <w:t xml:space="preserve">Specifically, there remained a significant main effect of </w:t>
      </w:r>
      <w:proofErr w:type="spellStart"/>
      <w:r w:rsidRPr="00497796">
        <w:rPr>
          <w:rFonts w:ascii="Calibri" w:hAnsi="Calibri" w:cs="Calibri"/>
        </w:rPr>
        <w:t>Prepost</w:t>
      </w:r>
      <w:proofErr w:type="spellEnd"/>
      <w:r w:rsidRPr="00497796">
        <w:rPr>
          <w:rFonts w:ascii="Calibri" w:hAnsi="Calibri" w:cs="Calibri"/>
        </w:rPr>
        <w:t xml:space="preserve"> for </w:t>
      </w:r>
      <w:proofErr w:type="spellStart"/>
      <w:r w:rsidRPr="00497796">
        <w:rPr>
          <w:rFonts w:ascii="Calibri" w:hAnsi="Calibri" w:cs="Calibri"/>
        </w:rPr>
        <w:t>for</w:t>
      </w:r>
      <w:proofErr w:type="spellEnd"/>
      <w:r w:rsidRPr="00497796">
        <w:rPr>
          <w:rFonts w:ascii="Calibri" w:hAnsi="Calibri" w:cs="Calibri"/>
        </w:rPr>
        <w:t xml:space="preserve"> semitone error, </w:t>
      </w:r>
      <w:proofErr w:type="gramStart"/>
      <w:r w:rsidRPr="00DF3098">
        <w:rPr>
          <w:rFonts w:ascii="Calibri" w:hAnsi="Calibri" w:cs="Calibri"/>
          <w:i/>
          <w:iCs/>
        </w:rPr>
        <w:t>F</w:t>
      </w:r>
      <w:r w:rsidRPr="00DF3098">
        <w:rPr>
          <w:rFonts w:ascii="Calibri" w:hAnsi="Calibri" w:cs="Calibri"/>
        </w:rPr>
        <w:t>(</w:t>
      </w:r>
      <w:proofErr w:type="gramEnd"/>
      <w:r w:rsidRPr="00DF3098">
        <w:rPr>
          <w:rFonts w:ascii="Calibri" w:hAnsi="Calibri" w:cs="Calibri"/>
        </w:rPr>
        <w:t xml:space="preserve">1,9) =12.8, </w:t>
      </w:r>
      <w:r w:rsidRPr="00DF3098">
        <w:rPr>
          <w:rFonts w:ascii="Calibri" w:hAnsi="Calibri" w:cs="Calibri"/>
          <w:i/>
          <w:iCs/>
        </w:rPr>
        <w:t>p</w:t>
      </w:r>
      <w:r w:rsidRPr="00DF3098">
        <w:rPr>
          <w:rFonts w:ascii="Calibri" w:hAnsi="Calibri" w:cs="Calibri"/>
        </w:rPr>
        <w:t xml:space="preserve"> = .006, </w:t>
      </w:r>
      <w:r w:rsidRPr="00DF3098">
        <w:rPr>
          <w:rFonts w:ascii="Calibri" w:hAnsi="Calibri" w:cs="Calibri"/>
          <w:i/>
          <w:iCs/>
          <w:color w:val="000000"/>
        </w:rPr>
        <w:t>η</w:t>
      </w:r>
      <w:r w:rsidRPr="00DF3098">
        <w:rPr>
          <w:rFonts w:ascii="Calibri" w:hAnsi="Calibri" w:cs="Calibri"/>
          <w:i/>
          <w:iCs/>
          <w:vertAlign w:val="subscript"/>
        </w:rPr>
        <w:t>p</w:t>
      </w:r>
      <w:r w:rsidRPr="00DF3098">
        <w:rPr>
          <w:rFonts w:ascii="Calibri" w:hAnsi="Calibri" w:cs="Calibri"/>
          <w:i/>
          <w:iCs/>
          <w:vertAlign w:val="superscript"/>
        </w:rPr>
        <w:t>2</w:t>
      </w:r>
      <w:r w:rsidRPr="00DF3098">
        <w:rPr>
          <w:rFonts w:ascii="Calibri" w:hAnsi="Calibri" w:cs="Calibri"/>
        </w:rPr>
        <w:t xml:space="preserve"> =</w:t>
      </w:r>
      <w:r w:rsidRPr="00497796">
        <w:rPr>
          <w:rFonts w:ascii="Calibri" w:hAnsi="Calibri" w:cs="Calibri"/>
        </w:rPr>
        <w:t xml:space="preserve"> .587 and that for proportion correct was marginally significant, </w:t>
      </w:r>
      <w:r w:rsidRPr="00DF3098">
        <w:rPr>
          <w:rFonts w:ascii="Calibri" w:hAnsi="Calibri" w:cs="Calibri"/>
          <w:i/>
          <w:iCs/>
        </w:rPr>
        <w:t>F</w:t>
      </w:r>
      <w:r w:rsidRPr="00DF3098">
        <w:rPr>
          <w:rFonts w:ascii="Calibri" w:hAnsi="Calibri" w:cs="Calibri"/>
        </w:rPr>
        <w:t xml:space="preserve">(1,9) = 4.91, </w:t>
      </w:r>
      <w:r w:rsidRPr="00DF3098">
        <w:rPr>
          <w:rFonts w:ascii="Calibri" w:hAnsi="Calibri" w:cs="Calibri"/>
          <w:i/>
          <w:iCs/>
        </w:rPr>
        <w:t>p</w:t>
      </w:r>
      <w:r w:rsidRPr="00DF3098">
        <w:rPr>
          <w:rFonts w:ascii="Calibri" w:hAnsi="Calibri" w:cs="Calibri"/>
        </w:rPr>
        <w:t xml:space="preserve"> = .054, </w:t>
      </w:r>
      <w:r w:rsidRPr="00DF3098">
        <w:rPr>
          <w:rFonts w:ascii="Calibri" w:hAnsi="Calibri" w:cs="Calibri"/>
          <w:i/>
          <w:iCs/>
          <w:color w:val="000000"/>
        </w:rPr>
        <w:t>η</w:t>
      </w:r>
      <w:r w:rsidRPr="00DF3098">
        <w:rPr>
          <w:rFonts w:ascii="Calibri" w:hAnsi="Calibri" w:cs="Calibri"/>
          <w:i/>
          <w:iCs/>
          <w:vertAlign w:val="subscript"/>
        </w:rPr>
        <w:t>p</w:t>
      </w:r>
      <w:r w:rsidRPr="00DF3098">
        <w:rPr>
          <w:rFonts w:ascii="Calibri" w:hAnsi="Calibri" w:cs="Calibri"/>
          <w:i/>
          <w:iCs/>
          <w:vertAlign w:val="superscript"/>
        </w:rPr>
        <w:t>2</w:t>
      </w:r>
      <w:r w:rsidRPr="00497796">
        <w:rPr>
          <w:rFonts w:ascii="Calibri" w:hAnsi="Calibri" w:cs="Calibri"/>
        </w:rPr>
        <w:t xml:space="preserve"> = .353, both indicating a higher accuracy after training. The originally marginal main effect of </w:t>
      </w:r>
      <w:proofErr w:type="spellStart"/>
      <w:r w:rsidRPr="00497796">
        <w:rPr>
          <w:rFonts w:ascii="Calibri" w:hAnsi="Calibri" w:cs="Calibri"/>
        </w:rPr>
        <w:t>Prepost</w:t>
      </w:r>
      <w:proofErr w:type="spellEnd"/>
      <w:r w:rsidRPr="00497796">
        <w:rPr>
          <w:rFonts w:ascii="Calibri" w:hAnsi="Calibri" w:cs="Calibri"/>
        </w:rPr>
        <w:t xml:space="preserve"> for correct RT was not significant, </w:t>
      </w:r>
      <w:proofErr w:type="gramStart"/>
      <w:r w:rsidRPr="00497796">
        <w:rPr>
          <w:rFonts w:ascii="Calibri" w:hAnsi="Calibri" w:cs="Calibri"/>
          <w:i/>
          <w:iCs/>
        </w:rPr>
        <w:t>F</w:t>
      </w:r>
      <w:r w:rsidRPr="00497796">
        <w:rPr>
          <w:rFonts w:ascii="Calibri" w:hAnsi="Calibri" w:cs="Calibri"/>
        </w:rPr>
        <w:t>(</w:t>
      </w:r>
      <w:proofErr w:type="gramEnd"/>
      <w:r w:rsidRPr="00497796">
        <w:rPr>
          <w:rFonts w:ascii="Calibri" w:hAnsi="Calibri" w:cs="Calibri"/>
        </w:rPr>
        <w:t>1</w:t>
      </w:r>
      <w:r w:rsidRPr="00DF3098">
        <w:rPr>
          <w:rFonts w:ascii="Calibri" w:hAnsi="Calibri" w:cs="Calibri"/>
        </w:rPr>
        <w:t xml:space="preserve">,8) = 1.79, </w:t>
      </w:r>
      <w:r w:rsidRPr="00DF3098">
        <w:rPr>
          <w:rFonts w:ascii="Calibri" w:hAnsi="Calibri" w:cs="Calibri"/>
          <w:i/>
          <w:iCs/>
        </w:rPr>
        <w:t>p</w:t>
      </w:r>
      <w:r w:rsidRPr="00DF3098">
        <w:rPr>
          <w:rFonts w:ascii="Calibri" w:hAnsi="Calibri" w:cs="Calibri"/>
        </w:rPr>
        <w:t xml:space="preserve"> = .218, </w:t>
      </w:r>
      <w:r w:rsidRPr="00DF3098">
        <w:rPr>
          <w:rFonts w:ascii="Calibri" w:hAnsi="Calibri" w:cs="Calibri"/>
          <w:i/>
          <w:iCs/>
          <w:color w:val="000000"/>
        </w:rPr>
        <w:t>η</w:t>
      </w:r>
      <w:r w:rsidRPr="00DF3098">
        <w:rPr>
          <w:rFonts w:ascii="Calibri" w:hAnsi="Calibri" w:cs="Calibri"/>
          <w:i/>
          <w:iCs/>
          <w:vertAlign w:val="subscript"/>
        </w:rPr>
        <w:t>p</w:t>
      </w:r>
      <w:r w:rsidRPr="00DF3098">
        <w:rPr>
          <w:rFonts w:ascii="Calibri" w:hAnsi="Calibri" w:cs="Calibri"/>
          <w:i/>
          <w:iCs/>
          <w:vertAlign w:val="superscript"/>
        </w:rPr>
        <w:t>2</w:t>
      </w:r>
      <w:r w:rsidRPr="00497796">
        <w:rPr>
          <w:rFonts w:ascii="Calibri" w:hAnsi="Calibri" w:cs="Calibri"/>
        </w:rPr>
        <w:t xml:space="preserve"> = .183. The main effect of Timbre was significant for semitone error, </w:t>
      </w:r>
      <w:proofErr w:type="gramStart"/>
      <w:r w:rsidRPr="00497796">
        <w:rPr>
          <w:rFonts w:ascii="Calibri" w:hAnsi="Calibri" w:cs="Calibri"/>
          <w:i/>
          <w:iCs/>
        </w:rPr>
        <w:t>F</w:t>
      </w:r>
      <w:r w:rsidRPr="00497796">
        <w:rPr>
          <w:rFonts w:ascii="Calibri" w:hAnsi="Calibri" w:cs="Calibri"/>
        </w:rPr>
        <w:t>(</w:t>
      </w:r>
      <w:proofErr w:type="gramEnd"/>
      <w:r w:rsidRPr="00497796">
        <w:rPr>
          <w:rFonts w:ascii="Calibri" w:hAnsi="Calibri" w:cs="Calibri"/>
        </w:rPr>
        <w:t xml:space="preserve">1,9) = 6.01, </w:t>
      </w:r>
      <w:r w:rsidRPr="00497796">
        <w:rPr>
          <w:rFonts w:ascii="Calibri" w:hAnsi="Calibri" w:cs="Calibri"/>
          <w:i/>
          <w:iCs/>
        </w:rPr>
        <w:t>p</w:t>
      </w:r>
      <w:r w:rsidRPr="00497796">
        <w:rPr>
          <w:rFonts w:ascii="Calibri" w:hAnsi="Calibri" w:cs="Calibri"/>
        </w:rPr>
        <w:t xml:space="preserve"> = .037, </w:t>
      </w:r>
      <w:r w:rsidRPr="00497796">
        <w:rPr>
          <w:rFonts w:ascii="Calibri" w:hAnsi="Calibri" w:cs="Calibri"/>
          <w:i/>
          <w:iCs/>
          <w:color w:val="000000"/>
        </w:rPr>
        <w:t>η</w:t>
      </w:r>
      <w:r w:rsidRPr="00497796">
        <w:rPr>
          <w:rFonts w:ascii="Calibri" w:hAnsi="Calibri" w:cs="Calibri"/>
          <w:i/>
          <w:iCs/>
          <w:vertAlign w:val="subscript"/>
        </w:rPr>
        <w:t>p</w:t>
      </w:r>
      <w:r w:rsidRPr="00497796">
        <w:rPr>
          <w:rFonts w:ascii="Calibri" w:hAnsi="Calibri" w:cs="Calibri"/>
          <w:i/>
          <w:iCs/>
          <w:vertAlign w:val="superscript"/>
        </w:rPr>
        <w:t>2</w:t>
      </w:r>
      <w:r w:rsidRPr="00497796">
        <w:rPr>
          <w:rFonts w:ascii="Calibri" w:hAnsi="Calibri" w:cs="Calibri"/>
        </w:rPr>
        <w:t xml:space="preserve"> = .401, and for correct RT, </w:t>
      </w:r>
      <w:r w:rsidRPr="00497796">
        <w:rPr>
          <w:rFonts w:ascii="Calibri" w:hAnsi="Calibri" w:cs="Calibri"/>
          <w:i/>
          <w:iCs/>
        </w:rPr>
        <w:t>F</w:t>
      </w:r>
      <w:r w:rsidRPr="00497796">
        <w:rPr>
          <w:rFonts w:ascii="Calibri" w:hAnsi="Calibri" w:cs="Calibri"/>
        </w:rPr>
        <w:t xml:space="preserve">(1,8) = 6.39, </w:t>
      </w:r>
      <w:r w:rsidRPr="00497796">
        <w:rPr>
          <w:rFonts w:ascii="Calibri" w:hAnsi="Calibri" w:cs="Calibri"/>
          <w:i/>
          <w:iCs/>
        </w:rPr>
        <w:t>p</w:t>
      </w:r>
      <w:r w:rsidRPr="00497796">
        <w:rPr>
          <w:rFonts w:ascii="Calibri" w:hAnsi="Calibri" w:cs="Calibri"/>
        </w:rPr>
        <w:t xml:space="preserve"> = .035, </w:t>
      </w:r>
      <w:r w:rsidRPr="00497796">
        <w:rPr>
          <w:rFonts w:ascii="Calibri" w:hAnsi="Calibri" w:cs="Calibri"/>
          <w:i/>
          <w:iCs/>
          <w:color w:val="000000"/>
        </w:rPr>
        <w:t>η</w:t>
      </w:r>
      <w:r w:rsidRPr="00497796">
        <w:rPr>
          <w:rFonts w:ascii="Calibri" w:hAnsi="Calibri" w:cs="Calibri"/>
          <w:i/>
          <w:iCs/>
          <w:vertAlign w:val="subscript"/>
        </w:rPr>
        <w:t>p</w:t>
      </w:r>
      <w:r w:rsidRPr="00497796">
        <w:rPr>
          <w:rFonts w:ascii="Calibri" w:hAnsi="Calibri" w:cs="Calibri"/>
          <w:i/>
          <w:iCs/>
          <w:vertAlign w:val="superscript"/>
        </w:rPr>
        <w:t>2</w:t>
      </w:r>
      <w:r w:rsidRPr="00497796">
        <w:rPr>
          <w:rFonts w:ascii="Calibri" w:hAnsi="Calibri" w:cs="Calibri"/>
        </w:rPr>
        <w:t xml:space="preserve"> = 444, with a reduced error and faster responses for the trained than untrained timbre. The interaction between </w:t>
      </w:r>
      <w:proofErr w:type="spellStart"/>
      <w:r w:rsidRPr="00497796">
        <w:rPr>
          <w:rFonts w:ascii="Calibri" w:hAnsi="Calibri" w:cs="Calibri"/>
        </w:rPr>
        <w:t>Prepost</w:t>
      </w:r>
      <w:proofErr w:type="spellEnd"/>
      <w:r w:rsidRPr="00497796">
        <w:rPr>
          <w:rFonts w:ascii="Calibri" w:hAnsi="Calibri" w:cs="Calibri"/>
        </w:rPr>
        <w:t xml:space="preserve"> and Timbre was significant for proportion correct, </w:t>
      </w:r>
      <w:proofErr w:type="gramStart"/>
      <w:r w:rsidRPr="00DF3098">
        <w:rPr>
          <w:rFonts w:ascii="Calibri" w:hAnsi="Calibri" w:cs="Calibri"/>
          <w:i/>
          <w:iCs/>
        </w:rPr>
        <w:t>F</w:t>
      </w:r>
      <w:r w:rsidRPr="00DF3098">
        <w:rPr>
          <w:rFonts w:ascii="Calibri" w:hAnsi="Calibri" w:cs="Calibri"/>
        </w:rPr>
        <w:t>(</w:t>
      </w:r>
      <w:proofErr w:type="gramEnd"/>
      <w:r w:rsidRPr="00DF3098">
        <w:rPr>
          <w:rFonts w:ascii="Calibri" w:hAnsi="Calibri" w:cs="Calibri"/>
        </w:rPr>
        <w:t xml:space="preserve">1,9) = 7.15, </w:t>
      </w:r>
      <w:r w:rsidRPr="00DF3098">
        <w:rPr>
          <w:rFonts w:ascii="Calibri" w:hAnsi="Calibri" w:cs="Calibri"/>
          <w:i/>
          <w:iCs/>
        </w:rPr>
        <w:t>p</w:t>
      </w:r>
      <w:r w:rsidRPr="00DF3098">
        <w:rPr>
          <w:rFonts w:ascii="Calibri" w:hAnsi="Calibri" w:cs="Calibri"/>
        </w:rPr>
        <w:t xml:space="preserve"> = .025, </w:t>
      </w:r>
      <w:r w:rsidRPr="00DF3098">
        <w:rPr>
          <w:rFonts w:ascii="Calibri" w:hAnsi="Calibri" w:cs="Calibri"/>
          <w:i/>
          <w:iCs/>
          <w:color w:val="000000"/>
        </w:rPr>
        <w:t>η</w:t>
      </w:r>
      <w:r w:rsidRPr="00DF3098">
        <w:rPr>
          <w:rFonts w:ascii="Calibri" w:hAnsi="Calibri" w:cs="Calibri"/>
          <w:i/>
          <w:iCs/>
          <w:vertAlign w:val="subscript"/>
        </w:rPr>
        <w:t>p</w:t>
      </w:r>
      <w:r w:rsidRPr="00DF3098">
        <w:rPr>
          <w:rFonts w:ascii="Calibri" w:hAnsi="Calibri" w:cs="Calibri"/>
          <w:i/>
          <w:iCs/>
          <w:vertAlign w:val="superscript"/>
        </w:rPr>
        <w:t>2</w:t>
      </w:r>
      <w:r w:rsidRPr="00497796">
        <w:rPr>
          <w:rFonts w:ascii="Calibri" w:hAnsi="Calibri" w:cs="Calibri"/>
        </w:rPr>
        <w:t xml:space="preserve"> = .443, and for semitone error</w:t>
      </w:r>
      <w:r w:rsidRPr="00DF3098">
        <w:rPr>
          <w:rFonts w:ascii="Calibri" w:hAnsi="Calibri" w:cs="Calibri"/>
        </w:rPr>
        <w:t xml:space="preserve">, </w:t>
      </w:r>
      <w:r w:rsidRPr="00DF3098">
        <w:rPr>
          <w:rFonts w:ascii="Calibri" w:hAnsi="Calibri" w:cs="Calibri"/>
          <w:i/>
          <w:iCs/>
        </w:rPr>
        <w:t>F</w:t>
      </w:r>
      <w:r w:rsidRPr="00DF3098">
        <w:rPr>
          <w:rFonts w:ascii="Calibri" w:hAnsi="Calibri" w:cs="Calibri"/>
        </w:rPr>
        <w:t xml:space="preserve">(1,9) = 7.97, </w:t>
      </w:r>
      <w:r w:rsidRPr="00DF3098">
        <w:rPr>
          <w:rFonts w:ascii="Calibri" w:hAnsi="Calibri" w:cs="Calibri"/>
          <w:i/>
          <w:iCs/>
        </w:rPr>
        <w:t>p</w:t>
      </w:r>
      <w:r w:rsidRPr="00DF3098">
        <w:rPr>
          <w:rFonts w:ascii="Calibri" w:hAnsi="Calibri" w:cs="Calibri"/>
        </w:rPr>
        <w:t xml:space="preserve"> = .020, </w:t>
      </w:r>
      <w:r w:rsidRPr="00DF3098">
        <w:rPr>
          <w:rFonts w:ascii="Calibri" w:hAnsi="Calibri" w:cs="Calibri"/>
          <w:i/>
          <w:iCs/>
          <w:color w:val="000000"/>
        </w:rPr>
        <w:t>η</w:t>
      </w:r>
      <w:r w:rsidRPr="00DF3098">
        <w:rPr>
          <w:rFonts w:ascii="Calibri" w:hAnsi="Calibri" w:cs="Calibri"/>
          <w:i/>
          <w:iCs/>
          <w:vertAlign w:val="subscript"/>
        </w:rPr>
        <w:t>p</w:t>
      </w:r>
      <w:r w:rsidRPr="00DF3098">
        <w:rPr>
          <w:rFonts w:ascii="Calibri" w:hAnsi="Calibri" w:cs="Calibri"/>
          <w:i/>
          <w:iCs/>
          <w:vertAlign w:val="superscript"/>
        </w:rPr>
        <w:t>2</w:t>
      </w:r>
      <w:r w:rsidRPr="00497796">
        <w:rPr>
          <w:rFonts w:ascii="Calibri" w:hAnsi="Calibri" w:cs="Calibri"/>
        </w:rPr>
        <w:t xml:space="preserve"> = .470. </w:t>
      </w:r>
      <w:r w:rsidRPr="00DF3098">
        <w:rPr>
          <w:rFonts w:ascii="Calibri" w:hAnsi="Calibri" w:cs="Calibri"/>
        </w:rPr>
        <w:t>Post-hoc Tukey tests (</w:t>
      </w:r>
      <w:r w:rsidRPr="00DF3098">
        <w:rPr>
          <w:rFonts w:ascii="Calibri" w:hAnsi="Calibri" w:cs="Calibri"/>
          <w:i/>
          <w:iCs/>
        </w:rPr>
        <w:t xml:space="preserve">p &lt; </w:t>
      </w:r>
      <w:r w:rsidRPr="00DF3098">
        <w:rPr>
          <w:rFonts w:ascii="Calibri" w:hAnsi="Calibri" w:cs="Calibri"/>
        </w:rPr>
        <w:t>.05) revealed that proportion correct was higher after training for the trained timbre but not for the untrained timbre, while the semitone error for the trained timbre dropped significantly after training and that for the untrained timbre was marginally significant (</w:t>
      </w:r>
      <w:r w:rsidRPr="00DF3098">
        <w:rPr>
          <w:rFonts w:ascii="Calibri" w:hAnsi="Calibri" w:cs="Calibri"/>
          <w:i/>
          <w:iCs/>
        </w:rPr>
        <w:t>p</w:t>
      </w:r>
      <w:r w:rsidRPr="00DF3098">
        <w:rPr>
          <w:rFonts w:ascii="Calibri" w:hAnsi="Calibri" w:cs="Calibri"/>
        </w:rPr>
        <w:t xml:space="preserve"> = .077).</w:t>
      </w:r>
    </w:p>
    <w:p w14:paraId="668E67DD" w14:textId="77777777" w:rsidR="00497796" w:rsidRDefault="00497796" w:rsidP="000E28D9">
      <w:pPr>
        <w:contextualSpacing/>
        <w:rPr>
          <w:rFonts w:ascii="Calibri" w:hAnsi="Calibri" w:cs="Calibri"/>
        </w:rPr>
      </w:pPr>
    </w:p>
    <w:p w14:paraId="7E4DE0E6" w14:textId="77777777" w:rsidR="00497796" w:rsidRDefault="00497796" w:rsidP="000E28D9">
      <w:pPr>
        <w:contextualSpacing/>
        <w:rPr>
          <w:rFonts w:ascii="Calibri" w:hAnsi="Calibri" w:cs="Calibri"/>
        </w:rPr>
      </w:pPr>
    </w:p>
    <w:p w14:paraId="1ADBF7CB" w14:textId="77777777" w:rsidR="00CA4984" w:rsidRPr="004C4A0F" w:rsidRDefault="00CA4984" w:rsidP="000E28D9">
      <w:pPr>
        <w:contextualSpacing/>
        <w:rPr>
          <w:rFonts w:ascii="Calibri" w:hAnsi="Calibri" w:cs="Calibri"/>
        </w:rPr>
      </w:pPr>
    </w:p>
    <w:p w14:paraId="564B02DC" w14:textId="5EF746BD" w:rsidR="000E28D9" w:rsidRPr="00DF7118" w:rsidRDefault="000E28D9" w:rsidP="000E28D9">
      <w:pPr>
        <w:pStyle w:val="NormalWeb"/>
        <w:spacing w:line="480" w:lineRule="auto"/>
        <w:contextualSpacing/>
        <w:rPr>
          <w:rFonts w:ascii="Calibri" w:hAnsi="Calibri" w:cs="Calibri"/>
          <w:b/>
          <w:bCs/>
          <w:i/>
          <w:iCs/>
        </w:rPr>
      </w:pPr>
      <w:proofErr w:type="spellStart"/>
      <w:r w:rsidRPr="00DF7118">
        <w:rPr>
          <w:rFonts w:ascii="Calibri" w:hAnsi="Calibri" w:cs="Calibri"/>
          <w:b/>
          <w:bCs/>
          <w:i/>
          <w:iCs/>
        </w:rPr>
        <w:lastRenderedPageBreak/>
        <w:t>Prepost</w:t>
      </w:r>
      <w:proofErr w:type="spellEnd"/>
      <w:r w:rsidRPr="00DF7118">
        <w:rPr>
          <w:rFonts w:ascii="Calibri" w:hAnsi="Calibri" w:cs="Calibri"/>
          <w:b/>
          <w:bCs/>
          <w:i/>
          <w:iCs/>
        </w:rPr>
        <w:t xml:space="preserve"> Tests (only for those who completed the</w:t>
      </w:r>
      <w:r w:rsidR="004A6893" w:rsidRPr="00DF7118">
        <w:rPr>
          <w:rFonts w:ascii="Calibri" w:hAnsi="Calibri" w:cs="Calibri"/>
          <w:b/>
          <w:bCs/>
          <w:i/>
          <w:iCs/>
        </w:rPr>
        <w:t xml:space="preserve"> 25 hours of</w:t>
      </w:r>
      <w:r w:rsidRPr="00DF7118">
        <w:rPr>
          <w:rFonts w:ascii="Calibri" w:hAnsi="Calibri" w:cs="Calibri"/>
          <w:b/>
          <w:bCs/>
          <w:i/>
          <w:iCs/>
        </w:rPr>
        <w:t xml:space="preserve"> training)</w:t>
      </w:r>
    </w:p>
    <w:p w14:paraId="16B99308" w14:textId="77777777" w:rsidR="000E28D9" w:rsidRPr="004C4A0F" w:rsidRDefault="000E28D9" w:rsidP="000E28D9">
      <w:pPr>
        <w:pStyle w:val="NormalWeb"/>
        <w:spacing w:line="480" w:lineRule="auto"/>
        <w:contextualSpacing/>
        <w:rPr>
          <w:rFonts w:ascii="Calibri" w:hAnsi="Calibri" w:cs="Calibri"/>
        </w:rPr>
      </w:pPr>
      <w:r w:rsidRPr="004C4A0F">
        <w:rPr>
          <w:rFonts w:ascii="Calibri" w:hAnsi="Calibri" w:cs="Calibri"/>
        </w:rPr>
        <w:tab/>
        <w:t xml:space="preserve">Here, AP performance was examined before and after training only among those who completed the training, i.e., those who have passed all levels of training and those who completed 25 hours of training (as originally planned in the pre-registration; N = 6). Results remained similar to that included all participants who completed the </w:t>
      </w:r>
      <w:proofErr w:type="spellStart"/>
      <w:r w:rsidRPr="004C4A0F">
        <w:rPr>
          <w:rFonts w:ascii="Calibri" w:hAnsi="Calibri" w:cs="Calibri"/>
        </w:rPr>
        <w:t>posttests</w:t>
      </w:r>
      <w:proofErr w:type="spellEnd"/>
      <w:r w:rsidRPr="004C4A0F">
        <w:rPr>
          <w:rFonts w:ascii="Calibri" w:hAnsi="Calibri" w:cs="Calibri"/>
        </w:rPr>
        <w:t xml:space="preserve">. The differences in results (apart from numerical changes) included: (1) The main effect of </w:t>
      </w:r>
      <w:proofErr w:type="spellStart"/>
      <w:r w:rsidRPr="004C4A0F">
        <w:rPr>
          <w:rFonts w:ascii="Calibri" w:hAnsi="Calibri" w:cs="Calibri"/>
        </w:rPr>
        <w:t>Prepost</w:t>
      </w:r>
      <w:proofErr w:type="spellEnd"/>
      <w:r w:rsidRPr="004C4A0F">
        <w:rPr>
          <w:rFonts w:ascii="Calibri" w:hAnsi="Calibri" w:cs="Calibri"/>
        </w:rPr>
        <w:t xml:space="preserve"> for correct RT changed from a marginal trend to a significant effect here; (2) The significant main effect of Timbre for semitone error no longer reached significance here; (3) The significant interactions between </w:t>
      </w:r>
      <w:proofErr w:type="spellStart"/>
      <w:r w:rsidRPr="004C4A0F">
        <w:rPr>
          <w:rFonts w:ascii="Calibri" w:hAnsi="Calibri" w:cs="Calibri"/>
        </w:rPr>
        <w:t>Prepost</w:t>
      </w:r>
      <w:proofErr w:type="spellEnd"/>
      <w:r w:rsidRPr="004C4A0F">
        <w:rPr>
          <w:rFonts w:ascii="Calibri" w:hAnsi="Calibri" w:cs="Calibri"/>
        </w:rPr>
        <w:t xml:space="preserve"> and Timbre for proportion correct and semitone error became marginal trends here. The detailed results were reported below.  </w:t>
      </w:r>
    </w:p>
    <w:p w14:paraId="684A5CF7" w14:textId="77777777" w:rsidR="000E28D9" w:rsidRPr="004C4A0F" w:rsidRDefault="000E28D9" w:rsidP="000E28D9">
      <w:pPr>
        <w:pStyle w:val="NormalWeb"/>
        <w:spacing w:line="480" w:lineRule="auto"/>
        <w:ind w:firstLine="720"/>
        <w:contextualSpacing/>
        <w:rPr>
          <w:rFonts w:ascii="Calibri" w:hAnsi="Calibri" w:cs="Calibri"/>
        </w:rPr>
      </w:pPr>
      <w:r w:rsidRPr="004C4A0F">
        <w:rPr>
          <w:rFonts w:ascii="Calibri" w:hAnsi="Calibri" w:cs="Calibri"/>
        </w:rPr>
        <w:t xml:space="preserve">The 2 x 2 Analyses of Variance (ANOVAs) with </w:t>
      </w:r>
      <w:proofErr w:type="spellStart"/>
      <w:r w:rsidRPr="004C4A0F">
        <w:rPr>
          <w:rFonts w:ascii="Calibri" w:hAnsi="Calibri" w:cs="Calibri"/>
        </w:rPr>
        <w:t>Prepost</w:t>
      </w:r>
      <w:proofErr w:type="spellEnd"/>
      <w:r w:rsidRPr="004C4A0F">
        <w:rPr>
          <w:rFonts w:ascii="Calibri" w:hAnsi="Calibri" w:cs="Calibri"/>
        </w:rPr>
        <w:t xml:space="preserve"> (pre-test / post-test) and Timbre (trained / untrained) as within-subject factors showed a main effect of </w:t>
      </w:r>
      <w:proofErr w:type="spellStart"/>
      <w:r w:rsidRPr="004C4A0F">
        <w:rPr>
          <w:rFonts w:ascii="Calibri" w:hAnsi="Calibri" w:cs="Calibri"/>
        </w:rPr>
        <w:t>Prepost</w:t>
      </w:r>
      <w:proofErr w:type="spellEnd"/>
      <w:r w:rsidRPr="004C4A0F">
        <w:rPr>
          <w:rFonts w:ascii="Calibri" w:hAnsi="Calibri" w:cs="Calibri"/>
        </w:rPr>
        <w:t xml:space="preserve"> for proportion correct, </w:t>
      </w:r>
      <w:proofErr w:type="gramStart"/>
      <w:r w:rsidRPr="004C4A0F">
        <w:rPr>
          <w:rFonts w:ascii="Calibri" w:hAnsi="Calibri" w:cs="Calibri"/>
          <w:i/>
          <w:iCs/>
        </w:rPr>
        <w:t>F</w:t>
      </w:r>
      <w:r w:rsidRPr="004C4A0F">
        <w:rPr>
          <w:rFonts w:ascii="Calibri" w:hAnsi="Calibri" w:cs="Calibri"/>
        </w:rPr>
        <w:t>(</w:t>
      </w:r>
      <w:proofErr w:type="gramEnd"/>
      <w:r w:rsidRPr="004C4A0F">
        <w:rPr>
          <w:rFonts w:ascii="Calibri" w:hAnsi="Calibri" w:cs="Calibri"/>
        </w:rPr>
        <w:t xml:space="preserve">1,5) = 17.3, </w:t>
      </w:r>
      <w:r w:rsidRPr="004C4A0F">
        <w:rPr>
          <w:rFonts w:ascii="Calibri" w:hAnsi="Calibri" w:cs="Calibri"/>
          <w:i/>
          <w:iCs/>
        </w:rPr>
        <w:t>p</w:t>
      </w:r>
      <w:r w:rsidRPr="004C4A0F">
        <w:rPr>
          <w:rFonts w:ascii="Calibri" w:hAnsi="Calibri" w:cs="Calibri"/>
        </w:rPr>
        <w:t xml:space="preserve"> = .009, </w:t>
      </w:r>
      <w:r w:rsidRPr="004C4A0F">
        <w:rPr>
          <w:rFonts w:ascii="Calibri" w:hAnsi="Calibri" w:cs="Calibri"/>
          <w:i/>
          <w:iCs/>
          <w:color w:val="000000"/>
        </w:rPr>
        <w:t>η</w:t>
      </w:r>
      <w:r w:rsidRPr="004C4A0F">
        <w:rPr>
          <w:rFonts w:ascii="Calibri" w:hAnsi="Calibri" w:cs="Calibri"/>
          <w:i/>
          <w:iCs/>
          <w:vertAlign w:val="subscript"/>
        </w:rPr>
        <w:t>p</w:t>
      </w:r>
      <w:r w:rsidRPr="004C4A0F">
        <w:rPr>
          <w:rFonts w:ascii="Calibri" w:hAnsi="Calibri" w:cs="Calibri"/>
          <w:i/>
          <w:iCs/>
          <w:vertAlign w:val="superscript"/>
        </w:rPr>
        <w:t>2</w:t>
      </w:r>
      <w:r w:rsidRPr="004C4A0F">
        <w:rPr>
          <w:rFonts w:ascii="Calibri" w:hAnsi="Calibri" w:cs="Calibri"/>
        </w:rPr>
        <w:t xml:space="preserve"> = .775, and for semitone error, </w:t>
      </w:r>
      <w:r w:rsidRPr="004C4A0F">
        <w:rPr>
          <w:rFonts w:ascii="Calibri" w:hAnsi="Calibri" w:cs="Calibri"/>
          <w:i/>
          <w:iCs/>
        </w:rPr>
        <w:t>F</w:t>
      </w:r>
      <w:r w:rsidRPr="004C4A0F">
        <w:rPr>
          <w:rFonts w:ascii="Calibri" w:hAnsi="Calibri" w:cs="Calibri"/>
        </w:rPr>
        <w:t xml:space="preserve">(1,5) = 21.7, </w:t>
      </w:r>
      <w:r w:rsidRPr="004C4A0F">
        <w:rPr>
          <w:rFonts w:ascii="Calibri" w:hAnsi="Calibri" w:cs="Calibri"/>
          <w:i/>
          <w:iCs/>
        </w:rPr>
        <w:t>p</w:t>
      </w:r>
      <w:r w:rsidRPr="004C4A0F">
        <w:rPr>
          <w:rFonts w:ascii="Calibri" w:hAnsi="Calibri" w:cs="Calibri"/>
        </w:rPr>
        <w:t xml:space="preserve"> = .006, </w:t>
      </w:r>
      <w:r w:rsidRPr="004C4A0F">
        <w:rPr>
          <w:rFonts w:ascii="Calibri" w:hAnsi="Calibri" w:cs="Calibri"/>
          <w:i/>
          <w:iCs/>
          <w:color w:val="000000"/>
        </w:rPr>
        <w:t>η</w:t>
      </w:r>
      <w:r w:rsidRPr="004C4A0F">
        <w:rPr>
          <w:rFonts w:ascii="Calibri" w:hAnsi="Calibri" w:cs="Calibri"/>
          <w:i/>
          <w:iCs/>
          <w:vertAlign w:val="subscript"/>
        </w:rPr>
        <w:t>p</w:t>
      </w:r>
      <w:r w:rsidRPr="004C4A0F">
        <w:rPr>
          <w:rFonts w:ascii="Calibri" w:hAnsi="Calibri" w:cs="Calibri"/>
          <w:i/>
          <w:iCs/>
          <w:vertAlign w:val="superscript"/>
        </w:rPr>
        <w:t>2</w:t>
      </w:r>
      <w:r w:rsidRPr="004C4A0F">
        <w:rPr>
          <w:rFonts w:ascii="Calibri" w:hAnsi="Calibri" w:cs="Calibri"/>
        </w:rPr>
        <w:t xml:space="preserve"> = .813, both indicating a higher accuracy after training. There was a 165.7% increase in proportion correct (</w:t>
      </w:r>
      <w:proofErr w:type="spellStart"/>
      <w:r w:rsidRPr="004C4A0F">
        <w:rPr>
          <w:rFonts w:ascii="Calibri" w:hAnsi="Calibri" w:cs="Calibri"/>
        </w:rPr>
        <w:t>mean</w:t>
      </w:r>
      <w:r w:rsidRPr="004C4A0F">
        <w:rPr>
          <w:rFonts w:ascii="Calibri" w:hAnsi="Calibri" w:cs="Calibri"/>
          <w:vertAlign w:val="subscript"/>
        </w:rPr>
        <w:t>pre</w:t>
      </w:r>
      <w:proofErr w:type="spellEnd"/>
      <w:r w:rsidRPr="004C4A0F">
        <w:rPr>
          <w:rFonts w:ascii="Calibri" w:hAnsi="Calibri" w:cs="Calibri"/>
        </w:rPr>
        <w:t xml:space="preserve"> = .172; </w:t>
      </w:r>
      <w:proofErr w:type="spellStart"/>
      <w:r w:rsidRPr="004C4A0F">
        <w:rPr>
          <w:rFonts w:ascii="Calibri" w:hAnsi="Calibri" w:cs="Calibri"/>
        </w:rPr>
        <w:t>mean</w:t>
      </w:r>
      <w:r w:rsidRPr="004C4A0F">
        <w:rPr>
          <w:rFonts w:ascii="Calibri" w:hAnsi="Calibri" w:cs="Calibri"/>
          <w:vertAlign w:val="subscript"/>
        </w:rPr>
        <w:t>post</w:t>
      </w:r>
      <w:proofErr w:type="spellEnd"/>
      <w:r w:rsidRPr="004C4A0F">
        <w:rPr>
          <w:rFonts w:ascii="Calibri" w:hAnsi="Calibri" w:cs="Calibri"/>
        </w:rPr>
        <w:t xml:space="preserve"> = .457) and a 36.8% decrease in semitone error (</w:t>
      </w:r>
      <w:proofErr w:type="spellStart"/>
      <w:r w:rsidRPr="004C4A0F">
        <w:rPr>
          <w:rFonts w:ascii="Calibri" w:hAnsi="Calibri" w:cs="Calibri"/>
        </w:rPr>
        <w:t>mean</w:t>
      </w:r>
      <w:r w:rsidRPr="004C4A0F">
        <w:rPr>
          <w:rFonts w:ascii="Calibri" w:hAnsi="Calibri" w:cs="Calibri"/>
          <w:vertAlign w:val="subscript"/>
        </w:rPr>
        <w:t>pre</w:t>
      </w:r>
      <w:proofErr w:type="spellEnd"/>
      <w:r w:rsidRPr="004C4A0F">
        <w:rPr>
          <w:rFonts w:ascii="Calibri" w:hAnsi="Calibri" w:cs="Calibri"/>
        </w:rPr>
        <w:t xml:space="preserve"> = 2.58 semitones; </w:t>
      </w:r>
      <w:proofErr w:type="spellStart"/>
      <w:r w:rsidRPr="004C4A0F">
        <w:rPr>
          <w:rFonts w:ascii="Calibri" w:hAnsi="Calibri" w:cs="Calibri"/>
        </w:rPr>
        <w:t>mean</w:t>
      </w:r>
      <w:r w:rsidRPr="004C4A0F">
        <w:rPr>
          <w:rFonts w:ascii="Calibri" w:hAnsi="Calibri" w:cs="Calibri"/>
          <w:vertAlign w:val="subscript"/>
        </w:rPr>
        <w:t>post</w:t>
      </w:r>
      <w:proofErr w:type="spellEnd"/>
      <w:r w:rsidRPr="004C4A0F">
        <w:rPr>
          <w:rFonts w:ascii="Calibri" w:hAnsi="Calibri" w:cs="Calibri"/>
        </w:rPr>
        <w:t xml:space="preserve"> = 1.63 semitones) after training. The main effect of </w:t>
      </w:r>
      <w:proofErr w:type="spellStart"/>
      <w:r w:rsidRPr="004C4A0F">
        <w:rPr>
          <w:rFonts w:ascii="Calibri" w:hAnsi="Calibri" w:cs="Calibri"/>
        </w:rPr>
        <w:t>Prepost</w:t>
      </w:r>
      <w:proofErr w:type="spellEnd"/>
      <w:r w:rsidRPr="004C4A0F">
        <w:rPr>
          <w:rFonts w:ascii="Calibri" w:hAnsi="Calibri" w:cs="Calibri"/>
        </w:rPr>
        <w:t xml:space="preserve"> was also significant for correct RT, </w:t>
      </w:r>
      <w:proofErr w:type="gramStart"/>
      <w:r w:rsidRPr="004C4A0F">
        <w:rPr>
          <w:rFonts w:ascii="Calibri" w:hAnsi="Calibri" w:cs="Calibri"/>
          <w:i/>
          <w:iCs/>
        </w:rPr>
        <w:t>F</w:t>
      </w:r>
      <w:r w:rsidRPr="004C4A0F">
        <w:rPr>
          <w:rFonts w:ascii="Calibri" w:hAnsi="Calibri" w:cs="Calibri"/>
        </w:rPr>
        <w:t>(</w:t>
      </w:r>
      <w:proofErr w:type="gramEnd"/>
      <w:r w:rsidRPr="004C4A0F">
        <w:rPr>
          <w:rFonts w:ascii="Calibri" w:hAnsi="Calibri" w:cs="Calibri"/>
        </w:rPr>
        <w:t xml:space="preserve">1,4) = 15.9, </w:t>
      </w:r>
      <w:r w:rsidRPr="004C4A0F">
        <w:rPr>
          <w:rFonts w:ascii="Calibri" w:hAnsi="Calibri" w:cs="Calibri"/>
          <w:i/>
          <w:iCs/>
        </w:rPr>
        <w:t>p</w:t>
      </w:r>
      <w:r w:rsidRPr="004C4A0F">
        <w:rPr>
          <w:rFonts w:ascii="Calibri" w:hAnsi="Calibri" w:cs="Calibri"/>
        </w:rPr>
        <w:t xml:space="preserve"> = .016, </w:t>
      </w:r>
      <w:r w:rsidRPr="004C4A0F">
        <w:rPr>
          <w:rFonts w:ascii="Calibri" w:hAnsi="Calibri" w:cs="Calibri"/>
          <w:i/>
          <w:iCs/>
          <w:color w:val="000000"/>
        </w:rPr>
        <w:t>η</w:t>
      </w:r>
      <w:r w:rsidRPr="004C4A0F">
        <w:rPr>
          <w:rFonts w:ascii="Calibri" w:hAnsi="Calibri" w:cs="Calibri"/>
          <w:i/>
          <w:iCs/>
          <w:vertAlign w:val="subscript"/>
        </w:rPr>
        <w:t>p</w:t>
      </w:r>
      <w:r w:rsidRPr="004C4A0F">
        <w:rPr>
          <w:rFonts w:ascii="Calibri" w:hAnsi="Calibri" w:cs="Calibri"/>
          <w:i/>
          <w:iCs/>
          <w:vertAlign w:val="superscript"/>
        </w:rPr>
        <w:t>2</w:t>
      </w:r>
      <w:r w:rsidRPr="004C4A0F">
        <w:rPr>
          <w:rFonts w:ascii="Calibri" w:hAnsi="Calibri" w:cs="Calibri"/>
        </w:rPr>
        <w:t xml:space="preserve"> = .799, with a 27.1% decrease in correct RT after training (</w:t>
      </w:r>
      <w:proofErr w:type="spellStart"/>
      <w:r w:rsidRPr="004C4A0F">
        <w:rPr>
          <w:rFonts w:ascii="Calibri" w:hAnsi="Calibri" w:cs="Calibri"/>
        </w:rPr>
        <w:t>mean</w:t>
      </w:r>
      <w:r w:rsidRPr="004C4A0F">
        <w:rPr>
          <w:rFonts w:ascii="Calibri" w:hAnsi="Calibri" w:cs="Calibri"/>
          <w:vertAlign w:val="subscript"/>
        </w:rPr>
        <w:t>pre</w:t>
      </w:r>
      <w:proofErr w:type="spellEnd"/>
      <w:r w:rsidRPr="004C4A0F">
        <w:rPr>
          <w:rFonts w:ascii="Calibri" w:hAnsi="Calibri" w:cs="Calibri"/>
        </w:rPr>
        <w:t xml:space="preserve"> = 2765ms; </w:t>
      </w:r>
      <w:proofErr w:type="spellStart"/>
      <w:r w:rsidRPr="004C4A0F">
        <w:rPr>
          <w:rFonts w:ascii="Calibri" w:hAnsi="Calibri" w:cs="Calibri"/>
        </w:rPr>
        <w:t>mean</w:t>
      </w:r>
      <w:r w:rsidRPr="004C4A0F">
        <w:rPr>
          <w:rFonts w:ascii="Calibri" w:hAnsi="Calibri" w:cs="Calibri"/>
          <w:vertAlign w:val="subscript"/>
        </w:rPr>
        <w:t>post</w:t>
      </w:r>
      <w:proofErr w:type="spellEnd"/>
      <w:r w:rsidRPr="004C4A0F">
        <w:rPr>
          <w:rFonts w:ascii="Calibri" w:hAnsi="Calibri" w:cs="Calibri"/>
        </w:rPr>
        <w:t xml:space="preserve"> = 2017ms). The main effect of Timbre did not reach significance for all three measures (</w:t>
      </w:r>
      <w:proofErr w:type="spellStart"/>
      <w:r w:rsidRPr="004C4A0F">
        <w:rPr>
          <w:rFonts w:ascii="Calibri" w:hAnsi="Calibri" w:cs="Calibri"/>
          <w:i/>
          <w:iCs/>
        </w:rPr>
        <w:t>ps</w:t>
      </w:r>
      <w:proofErr w:type="spellEnd"/>
      <w:r w:rsidRPr="004C4A0F">
        <w:rPr>
          <w:rFonts w:ascii="Calibri" w:hAnsi="Calibri" w:cs="Calibri"/>
        </w:rPr>
        <w:t xml:space="preserve"> &gt; .27). The interaction between </w:t>
      </w:r>
      <w:proofErr w:type="spellStart"/>
      <w:r w:rsidRPr="004C4A0F">
        <w:rPr>
          <w:rFonts w:ascii="Calibri" w:hAnsi="Calibri" w:cs="Calibri"/>
        </w:rPr>
        <w:t>Prepost</w:t>
      </w:r>
      <w:proofErr w:type="spellEnd"/>
      <w:r w:rsidRPr="004C4A0F">
        <w:rPr>
          <w:rFonts w:ascii="Calibri" w:hAnsi="Calibri" w:cs="Calibri"/>
        </w:rPr>
        <w:t xml:space="preserve"> and Timbre was a marginally significant trend for proportion correct, </w:t>
      </w:r>
      <w:proofErr w:type="gramStart"/>
      <w:r w:rsidRPr="004C4A0F">
        <w:rPr>
          <w:rFonts w:ascii="Calibri" w:hAnsi="Calibri" w:cs="Calibri"/>
          <w:i/>
          <w:iCs/>
        </w:rPr>
        <w:t>F</w:t>
      </w:r>
      <w:r w:rsidRPr="004C4A0F">
        <w:rPr>
          <w:rFonts w:ascii="Calibri" w:hAnsi="Calibri" w:cs="Calibri"/>
        </w:rPr>
        <w:t>(</w:t>
      </w:r>
      <w:proofErr w:type="gramEnd"/>
      <w:r w:rsidRPr="004C4A0F">
        <w:rPr>
          <w:rFonts w:ascii="Calibri" w:hAnsi="Calibri" w:cs="Calibri"/>
        </w:rPr>
        <w:t xml:space="preserve">1,5) = 5.45, </w:t>
      </w:r>
      <w:r w:rsidRPr="004C4A0F">
        <w:rPr>
          <w:rFonts w:ascii="Calibri" w:hAnsi="Calibri" w:cs="Calibri"/>
          <w:i/>
          <w:iCs/>
        </w:rPr>
        <w:t>p</w:t>
      </w:r>
      <w:r w:rsidRPr="004C4A0F">
        <w:rPr>
          <w:rFonts w:ascii="Calibri" w:hAnsi="Calibri" w:cs="Calibri"/>
        </w:rPr>
        <w:t xml:space="preserve"> = .067, </w:t>
      </w:r>
      <w:r w:rsidRPr="004C4A0F">
        <w:rPr>
          <w:rFonts w:ascii="Calibri" w:hAnsi="Calibri" w:cs="Calibri"/>
          <w:i/>
          <w:iCs/>
          <w:color w:val="000000"/>
        </w:rPr>
        <w:t>η</w:t>
      </w:r>
      <w:r w:rsidRPr="004C4A0F">
        <w:rPr>
          <w:rFonts w:ascii="Calibri" w:hAnsi="Calibri" w:cs="Calibri"/>
          <w:i/>
          <w:iCs/>
          <w:vertAlign w:val="subscript"/>
        </w:rPr>
        <w:t>p</w:t>
      </w:r>
      <w:r w:rsidRPr="004C4A0F">
        <w:rPr>
          <w:rFonts w:ascii="Calibri" w:hAnsi="Calibri" w:cs="Calibri"/>
          <w:i/>
          <w:iCs/>
          <w:vertAlign w:val="superscript"/>
        </w:rPr>
        <w:t>2</w:t>
      </w:r>
      <w:r w:rsidRPr="004C4A0F">
        <w:rPr>
          <w:rFonts w:ascii="Calibri" w:hAnsi="Calibri" w:cs="Calibri"/>
        </w:rPr>
        <w:t xml:space="preserve"> = .522, and for semitone error, </w:t>
      </w:r>
      <w:r w:rsidRPr="004C4A0F">
        <w:rPr>
          <w:rFonts w:ascii="Calibri" w:hAnsi="Calibri" w:cs="Calibri"/>
          <w:i/>
          <w:iCs/>
        </w:rPr>
        <w:t>F</w:t>
      </w:r>
      <w:r w:rsidRPr="004C4A0F">
        <w:rPr>
          <w:rFonts w:ascii="Calibri" w:hAnsi="Calibri" w:cs="Calibri"/>
        </w:rPr>
        <w:t xml:space="preserve">(1,5) = 4.98, </w:t>
      </w:r>
      <w:r w:rsidRPr="004C4A0F">
        <w:rPr>
          <w:rFonts w:ascii="Calibri" w:hAnsi="Calibri" w:cs="Calibri"/>
          <w:i/>
          <w:iCs/>
        </w:rPr>
        <w:t>p</w:t>
      </w:r>
      <w:r w:rsidRPr="004C4A0F">
        <w:rPr>
          <w:rFonts w:ascii="Calibri" w:hAnsi="Calibri" w:cs="Calibri"/>
        </w:rPr>
        <w:t xml:space="preserve"> = .076, </w:t>
      </w:r>
      <w:r w:rsidRPr="004C4A0F">
        <w:rPr>
          <w:rFonts w:ascii="Calibri" w:hAnsi="Calibri" w:cs="Calibri"/>
          <w:i/>
          <w:iCs/>
          <w:color w:val="000000"/>
        </w:rPr>
        <w:t>η</w:t>
      </w:r>
      <w:r w:rsidRPr="004C4A0F">
        <w:rPr>
          <w:rFonts w:ascii="Calibri" w:hAnsi="Calibri" w:cs="Calibri"/>
          <w:i/>
          <w:iCs/>
          <w:vertAlign w:val="subscript"/>
        </w:rPr>
        <w:t>p</w:t>
      </w:r>
      <w:r w:rsidRPr="004C4A0F">
        <w:rPr>
          <w:rFonts w:ascii="Calibri" w:hAnsi="Calibri" w:cs="Calibri"/>
          <w:i/>
          <w:iCs/>
          <w:vertAlign w:val="superscript"/>
        </w:rPr>
        <w:t>2</w:t>
      </w:r>
      <w:r w:rsidRPr="004C4A0F">
        <w:rPr>
          <w:rFonts w:ascii="Calibri" w:hAnsi="Calibri" w:cs="Calibri"/>
        </w:rPr>
        <w:t xml:space="preserve"> = .499. Post-hoc Tukey tests (</w:t>
      </w:r>
      <w:r w:rsidRPr="004C4A0F">
        <w:rPr>
          <w:rFonts w:ascii="Calibri" w:hAnsi="Calibri" w:cs="Calibri"/>
          <w:i/>
          <w:iCs/>
        </w:rPr>
        <w:t xml:space="preserve">p &lt; </w:t>
      </w:r>
      <w:r w:rsidRPr="004C4A0F">
        <w:rPr>
          <w:rFonts w:ascii="Calibri" w:hAnsi="Calibri" w:cs="Calibri"/>
        </w:rPr>
        <w:t xml:space="preserve">.05) revealed that the proportion correct increased after training for the trained timbre, but that for the untrained timbre was only marginally </w:t>
      </w:r>
      <w:r w:rsidRPr="004C4A0F">
        <w:rPr>
          <w:rFonts w:ascii="Calibri" w:hAnsi="Calibri" w:cs="Calibri"/>
        </w:rPr>
        <w:lastRenderedPageBreak/>
        <w:t>significant (</w:t>
      </w:r>
      <w:r w:rsidRPr="004C4A0F">
        <w:rPr>
          <w:rFonts w:ascii="Calibri" w:hAnsi="Calibri" w:cs="Calibri"/>
          <w:i/>
          <w:iCs/>
        </w:rPr>
        <w:t>p</w:t>
      </w:r>
      <w:r w:rsidRPr="004C4A0F">
        <w:rPr>
          <w:rFonts w:ascii="Calibri" w:hAnsi="Calibri" w:cs="Calibri"/>
        </w:rPr>
        <w:t xml:space="preserve"> = .056). The semitone error dropped for both timbres but more so for the trained timbre.</w:t>
      </w:r>
    </w:p>
    <w:p w14:paraId="3588F7C6" w14:textId="77777777" w:rsidR="000F18BE" w:rsidRDefault="000F18BE"/>
    <w:sectPr w:rsidR="000F1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9"/>
  <w:removePersonalInformation/>
  <w:removeDateAndTime/>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8D9"/>
    <w:rsid w:val="00021011"/>
    <w:rsid w:val="0007623F"/>
    <w:rsid w:val="000A7156"/>
    <w:rsid w:val="000E28D9"/>
    <w:rsid w:val="000F18BE"/>
    <w:rsid w:val="00280E03"/>
    <w:rsid w:val="00331FEB"/>
    <w:rsid w:val="003D533B"/>
    <w:rsid w:val="0042460A"/>
    <w:rsid w:val="0044514D"/>
    <w:rsid w:val="00497796"/>
    <w:rsid w:val="004A2A33"/>
    <w:rsid w:val="004A6893"/>
    <w:rsid w:val="00543513"/>
    <w:rsid w:val="005B2CC6"/>
    <w:rsid w:val="005C2A52"/>
    <w:rsid w:val="005F690D"/>
    <w:rsid w:val="006620FC"/>
    <w:rsid w:val="00704FA7"/>
    <w:rsid w:val="00766C22"/>
    <w:rsid w:val="007762E4"/>
    <w:rsid w:val="007C2B9F"/>
    <w:rsid w:val="008421AE"/>
    <w:rsid w:val="008562EF"/>
    <w:rsid w:val="0086625A"/>
    <w:rsid w:val="0089653E"/>
    <w:rsid w:val="008A37D5"/>
    <w:rsid w:val="00901083"/>
    <w:rsid w:val="00923D31"/>
    <w:rsid w:val="009C0A21"/>
    <w:rsid w:val="00A22F3F"/>
    <w:rsid w:val="00A32A1E"/>
    <w:rsid w:val="00A6251A"/>
    <w:rsid w:val="00A90274"/>
    <w:rsid w:val="00B240C8"/>
    <w:rsid w:val="00CA4984"/>
    <w:rsid w:val="00CC1EF9"/>
    <w:rsid w:val="00D507D9"/>
    <w:rsid w:val="00D64E79"/>
    <w:rsid w:val="00DD339C"/>
    <w:rsid w:val="00DF3098"/>
    <w:rsid w:val="00DF7118"/>
    <w:rsid w:val="00F02071"/>
    <w:rsid w:val="00F635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92B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8D9"/>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28D9"/>
    <w:pPr>
      <w:spacing w:before="100" w:beforeAutospacing="1" w:after="100" w:afterAutospacing="1"/>
    </w:pPr>
  </w:style>
  <w:style w:type="character" w:styleId="CommentReference">
    <w:name w:val="annotation reference"/>
    <w:basedOn w:val="DefaultParagraphFont"/>
    <w:uiPriority w:val="99"/>
    <w:semiHidden/>
    <w:unhideWhenUsed/>
    <w:rsid w:val="00543513"/>
    <w:rPr>
      <w:sz w:val="16"/>
      <w:szCs w:val="16"/>
    </w:rPr>
  </w:style>
  <w:style w:type="paragraph" w:styleId="CommentText">
    <w:name w:val="annotation text"/>
    <w:basedOn w:val="Normal"/>
    <w:link w:val="CommentTextChar"/>
    <w:uiPriority w:val="99"/>
    <w:semiHidden/>
    <w:unhideWhenUsed/>
    <w:rsid w:val="00543513"/>
    <w:rPr>
      <w:sz w:val="20"/>
      <w:szCs w:val="20"/>
    </w:rPr>
  </w:style>
  <w:style w:type="character" w:customStyle="1" w:styleId="CommentTextChar">
    <w:name w:val="Comment Text Char"/>
    <w:basedOn w:val="DefaultParagraphFont"/>
    <w:link w:val="CommentText"/>
    <w:uiPriority w:val="99"/>
    <w:semiHidden/>
    <w:rsid w:val="00543513"/>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8562EF"/>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F635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58E"/>
    <w:rPr>
      <w:rFonts w:ascii="Segoe UI" w:eastAsia="Times New Roman" w:hAnsi="Segoe UI" w:cs="Segoe UI"/>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F6358E"/>
    <w:rPr>
      <w:b/>
      <w:bCs/>
    </w:rPr>
  </w:style>
  <w:style w:type="character" w:customStyle="1" w:styleId="CommentSubjectChar">
    <w:name w:val="Comment Subject Char"/>
    <w:basedOn w:val="CommentTextChar"/>
    <w:link w:val="CommentSubject"/>
    <w:uiPriority w:val="99"/>
    <w:semiHidden/>
    <w:rsid w:val="00F6358E"/>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015785">
      <w:bodyDiv w:val="1"/>
      <w:marLeft w:val="0"/>
      <w:marRight w:val="0"/>
      <w:marTop w:val="0"/>
      <w:marBottom w:val="0"/>
      <w:divBdr>
        <w:top w:val="none" w:sz="0" w:space="0" w:color="auto"/>
        <w:left w:val="none" w:sz="0" w:space="0" w:color="auto"/>
        <w:bottom w:val="none" w:sz="0" w:space="0" w:color="auto"/>
        <w:right w:val="none" w:sz="0" w:space="0" w:color="auto"/>
      </w:divBdr>
    </w:div>
    <w:div w:id="202115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301E473A8924843B90F2CD604570819"/>
        <w:category>
          <w:name w:val="General"/>
          <w:gallery w:val="placeholder"/>
        </w:category>
        <w:types>
          <w:type w:val="bbPlcHdr"/>
        </w:types>
        <w:behaviors>
          <w:behavior w:val="content"/>
        </w:behaviors>
        <w:guid w:val="{F5716E45-59C0-544B-86A0-1CB6A08E5DA9}"/>
      </w:docPartPr>
      <w:docPartBody>
        <w:p w:rsidR="00B316EF" w:rsidRDefault="00BB46C3" w:rsidP="00BB46C3">
          <w:pPr>
            <w:pStyle w:val="A301E473A8924843B90F2CD604570819"/>
          </w:pPr>
          <w:r w:rsidRPr="007E42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11C"/>
    <w:rsid w:val="001B1E94"/>
    <w:rsid w:val="00427F7E"/>
    <w:rsid w:val="004D1C0C"/>
    <w:rsid w:val="005C2A52"/>
    <w:rsid w:val="00637827"/>
    <w:rsid w:val="006E38A8"/>
    <w:rsid w:val="007274E7"/>
    <w:rsid w:val="007E453C"/>
    <w:rsid w:val="007E5049"/>
    <w:rsid w:val="00822256"/>
    <w:rsid w:val="00915FAD"/>
    <w:rsid w:val="00A22F3F"/>
    <w:rsid w:val="00AC7361"/>
    <w:rsid w:val="00B316EF"/>
    <w:rsid w:val="00B5458B"/>
    <w:rsid w:val="00BB46C3"/>
    <w:rsid w:val="00BC58E7"/>
    <w:rsid w:val="00CA13AD"/>
    <w:rsid w:val="00CB211C"/>
    <w:rsid w:val="00EF18E6"/>
    <w:rsid w:val="00F3176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6C3"/>
    <w:rPr>
      <w:color w:val="808080"/>
    </w:rPr>
  </w:style>
  <w:style w:type="paragraph" w:customStyle="1" w:styleId="A301E473A8924843B90F2CD604570819">
    <w:name w:val="A301E473A8924843B90F2CD604570819"/>
    <w:rsid w:val="00BB46C3"/>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2024-11-14T17:47:00Z</dcterms:created>
  <dcterms:modified xsi:type="dcterms:W3CDTF">2024-11-14T17:47:00Z</dcterms:modified>
</cp:coreProperties>
</file>