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876F0" w14:textId="03ED999F" w:rsidR="005F774D" w:rsidRDefault="005A0A0F">
      <w:r>
        <w:rPr>
          <w:b/>
        </w:rPr>
        <w:t xml:space="preserve">Table </w:t>
      </w:r>
      <w:r w:rsidR="00F85EB6">
        <w:rPr>
          <w:b/>
        </w:rPr>
        <w:t>S1</w:t>
      </w:r>
    </w:p>
    <w:p w14:paraId="3D779AF2" w14:textId="4A52025F" w:rsidR="005F774D" w:rsidRPr="004D6D2D" w:rsidRDefault="005A0A0F">
      <w:pPr>
        <w:rPr>
          <w:rFonts w:ascii="Times New Roman" w:hAnsi="Times New Roman" w:cs="Times New Roman"/>
          <w:sz w:val="24"/>
          <w:szCs w:val="24"/>
        </w:rPr>
      </w:pPr>
      <w:r w:rsidRPr="004D6D2D">
        <w:rPr>
          <w:rFonts w:ascii="Times New Roman" w:hAnsi="Times New Roman" w:cs="Times New Roman"/>
          <w:sz w:val="24"/>
          <w:szCs w:val="24"/>
        </w:rPr>
        <w:t>Mea</w:t>
      </w:r>
      <w:r w:rsidR="00F85EB6">
        <w:rPr>
          <w:rFonts w:ascii="Times New Roman" w:hAnsi="Times New Roman" w:cs="Times New Roman"/>
          <w:sz w:val="24"/>
          <w:szCs w:val="24"/>
        </w:rPr>
        <w:t>n ratings (standard deviations)</w:t>
      </w:r>
      <w:r w:rsidR="00F85EB6" w:rsidRPr="00F85EB6">
        <w:rPr>
          <w:rFonts w:ascii="Times New Roman" w:hAnsi="Times New Roman" w:cs="Times New Roman"/>
          <w:sz w:val="24"/>
          <w:szCs w:val="24"/>
        </w:rPr>
        <w:t xml:space="preserve"> of subjective gaze ratings for each question and experimental condition</w:t>
      </w:r>
      <w:bookmarkStart w:id="0" w:name="_GoBack"/>
      <w:bookmarkEnd w:id="0"/>
      <w:r w:rsidRPr="004D6D2D">
        <w:rPr>
          <w:rFonts w:ascii="Times New Roman" w:hAnsi="Times New Roman" w:cs="Times New Roman"/>
          <w:sz w:val="24"/>
          <w:szCs w:val="24"/>
        </w:rPr>
        <w:t xml:space="preserve"> in Experiments 1 and 2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984"/>
        <w:gridCol w:w="1701"/>
      </w:tblGrid>
      <w:tr w:rsidR="004D6D2D" w:rsidRPr="004D6D2D" w14:paraId="12748D86" w14:textId="77777777" w:rsidTr="004D6D2D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308013E0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8749AC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Experiment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222866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Experiment 2</w:t>
            </w:r>
          </w:p>
        </w:tc>
      </w:tr>
      <w:tr w:rsidR="004D6D2D" w:rsidRPr="004D6D2D" w14:paraId="432C2E02" w14:textId="77777777" w:rsidTr="004D6D2D">
        <w:tc>
          <w:tcPr>
            <w:tcW w:w="4928" w:type="dxa"/>
            <w:tcBorders>
              <w:top w:val="single" w:sz="4" w:space="0" w:color="auto"/>
            </w:tcBorders>
          </w:tcPr>
          <w:p w14:paraId="1C661790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Fixation point – Partially averted – Congruent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3A2A68A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1.74 (0.94)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DBAA96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2.84 (1.91)</w:t>
            </w:r>
          </w:p>
        </w:tc>
      </w:tr>
      <w:tr w:rsidR="004D6D2D" w:rsidRPr="004D6D2D" w14:paraId="4FF895B2" w14:textId="77777777" w:rsidTr="004D6D2D">
        <w:tc>
          <w:tcPr>
            <w:tcW w:w="4928" w:type="dxa"/>
          </w:tcPr>
          <w:p w14:paraId="10EDE3B0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Fixation point – Partially averted</w:t>
            </w: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 xml:space="preserve"> – Incongruent</w:t>
            </w:r>
          </w:p>
        </w:tc>
        <w:tc>
          <w:tcPr>
            <w:tcW w:w="1984" w:type="dxa"/>
          </w:tcPr>
          <w:p w14:paraId="11448C11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2.59 (1.01)</w:t>
            </w:r>
          </w:p>
        </w:tc>
        <w:tc>
          <w:tcPr>
            <w:tcW w:w="1701" w:type="dxa"/>
          </w:tcPr>
          <w:p w14:paraId="0DBE1356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3.69 (1.69)</w:t>
            </w:r>
          </w:p>
        </w:tc>
      </w:tr>
      <w:tr w:rsidR="004D6D2D" w:rsidRPr="004D6D2D" w14:paraId="00D53000" w14:textId="77777777" w:rsidTr="004D6D2D">
        <w:tc>
          <w:tcPr>
            <w:tcW w:w="4928" w:type="dxa"/>
          </w:tcPr>
          <w:p w14:paraId="0E93A422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Fixation point – Fully averted – Congruent</w:t>
            </w:r>
          </w:p>
        </w:tc>
        <w:tc>
          <w:tcPr>
            <w:tcW w:w="1984" w:type="dxa"/>
          </w:tcPr>
          <w:p w14:paraId="510C775B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1.68 (1.37)</w:t>
            </w:r>
          </w:p>
        </w:tc>
        <w:tc>
          <w:tcPr>
            <w:tcW w:w="1701" w:type="dxa"/>
          </w:tcPr>
          <w:p w14:paraId="664BB114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2.41 (2.37)</w:t>
            </w:r>
          </w:p>
        </w:tc>
      </w:tr>
      <w:tr w:rsidR="004D6D2D" w:rsidRPr="004D6D2D" w14:paraId="56359098" w14:textId="77777777" w:rsidTr="004D6D2D">
        <w:tc>
          <w:tcPr>
            <w:tcW w:w="4928" w:type="dxa"/>
          </w:tcPr>
          <w:p w14:paraId="0D9F1A6A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Fixation point – Fully averted – Incongruent</w:t>
            </w:r>
          </w:p>
        </w:tc>
        <w:tc>
          <w:tcPr>
            <w:tcW w:w="1984" w:type="dxa"/>
          </w:tcPr>
          <w:p w14:paraId="2BC500A5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4.50 (1.12)</w:t>
            </w:r>
          </w:p>
        </w:tc>
        <w:tc>
          <w:tcPr>
            <w:tcW w:w="1701" w:type="dxa"/>
          </w:tcPr>
          <w:p w14:paraId="3FB67865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8.34 (1.38)</w:t>
            </w:r>
          </w:p>
        </w:tc>
      </w:tr>
      <w:tr w:rsidR="004D6D2D" w:rsidRPr="004D6D2D" w14:paraId="0B7F471D" w14:textId="77777777" w:rsidTr="004D6D2D">
        <w:tc>
          <w:tcPr>
            <w:tcW w:w="4928" w:type="dxa"/>
          </w:tcPr>
          <w:p w14:paraId="5FF90DE7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Direct gaze – Partially averted – Congruent</w:t>
            </w:r>
          </w:p>
        </w:tc>
        <w:tc>
          <w:tcPr>
            <w:tcW w:w="1984" w:type="dxa"/>
          </w:tcPr>
          <w:p w14:paraId="70974C54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3.32 (1.13)</w:t>
            </w:r>
          </w:p>
        </w:tc>
        <w:tc>
          <w:tcPr>
            <w:tcW w:w="1701" w:type="dxa"/>
          </w:tcPr>
          <w:p w14:paraId="7758248E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6.26 (1.90)</w:t>
            </w:r>
          </w:p>
        </w:tc>
      </w:tr>
      <w:tr w:rsidR="004D6D2D" w:rsidRPr="004D6D2D" w14:paraId="6D60A30B" w14:textId="77777777" w:rsidTr="004D6D2D">
        <w:tc>
          <w:tcPr>
            <w:tcW w:w="4928" w:type="dxa"/>
          </w:tcPr>
          <w:p w14:paraId="2CD7C9D3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 xml:space="preserve">Direct </w:t>
            </w: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gaze – Partially averted – Incongruent</w:t>
            </w:r>
          </w:p>
        </w:tc>
        <w:tc>
          <w:tcPr>
            <w:tcW w:w="1984" w:type="dxa"/>
          </w:tcPr>
          <w:p w14:paraId="6D667685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3.43 (1.04)</w:t>
            </w:r>
          </w:p>
        </w:tc>
        <w:tc>
          <w:tcPr>
            <w:tcW w:w="1701" w:type="dxa"/>
          </w:tcPr>
          <w:p w14:paraId="0EDDC87A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6.01 (1.71)</w:t>
            </w:r>
          </w:p>
        </w:tc>
      </w:tr>
      <w:tr w:rsidR="004D6D2D" w:rsidRPr="004D6D2D" w14:paraId="0B58B2B5" w14:textId="77777777" w:rsidTr="004D6D2D">
        <w:tc>
          <w:tcPr>
            <w:tcW w:w="4928" w:type="dxa"/>
          </w:tcPr>
          <w:p w14:paraId="2F5BDC13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Direct gaze – Fully averted – Congruent</w:t>
            </w:r>
          </w:p>
        </w:tc>
        <w:tc>
          <w:tcPr>
            <w:tcW w:w="1984" w:type="dxa"/>
          </w:tcPr>
          <w:p w14:paraId="7216A123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1.18 (0.55)</w:t>
            </w:r>
          </w:p>
        </w:tc>
        <w:tc>
          <w:tcPr>
            <w:tcW w:w="1701" w:type="dxa"/>
          </w:tcPr>
          <w:p w14:paraId="6930AC8E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1.41 (0.75)</w:t>
            </w:r>
          </w:p>
        </w:tc>
      </w:tr>
      <w:tr w:rsidR="004D6D2D" w:rsidRPr="004D6D2D" w14:paraId="01929C7C" w14:textId="77777777" w:rsidTr="004D6D2D">
        <w:tc>
          <w:tcPr>
            <w:tcW w:w="4928" w:type="dxa"/>
          </w:tcPr>
          <w:p w14:paraId="64CC8B8A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Direct gaze – Fully averted – Incongruent</w:t>
            </w:r>
          </w:p>
        </w:tc>
        <w:tc>
          <w:tcPr>
            <w:tcW w:w="1984" w:type="dxa"/>
          </w:tcPr>
          <w:p w14:paraId="16121968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1.90 (1.34)</w:t>
            </w:r>
          </w:p>
        </w:tc>
        <w:tc>
          <w:tcPr>
            <w:tcW w:w="1701" w:type="dxa"/>
          </w:tcPr>
          <w:p w14:paraId="4F657050" w14:textId="77777777" w:rsidR="005F774D" w:rsidRPr="004D6D2D" w:rsidRDefault="005A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D2D">
              <w:rPr>
                <w:rFonts w:ascii="Times New Roman" w:hAnsi="Times New Roman" w:cs="Times New Roman"/>
                <w:sz w:val="24"/>
                <w:szCs w:val="24"/>
              </w:rPr>
              <w:t>1.88 (1.51)</w:t>
            </w:r>
          </w:p>
        </w:tc>
      </w:tr>
    </w:tbl>
    <w:p w14:paraId="7089F857" w14:textId="77777777" w:rsidR="005F774D" w:rsidRDefault="005A0A0F">
      <w:r w:rsidRPr="004D6D2D">
        <w:rPr>
          <w:rFonts w:ascii="Times New Roman" w:hAnsi="Times New Roman" w:cs="Times New Roman"/>
          <w:i/>
          <w:sz w:val="24"/>
          <w:szCs w:val="24"/>
        </w:rPr>
        <w:t>Note. Values are means with standard deviations in parenthes</w:t>
      </w:r>
      <w:r w:rsidRPr="004D6D2D">
        <w:rPr>
          <w:rFonts w:ascii="Times New Roman" w:hAnsi="Times New Roman" w:cs="Times New Roman"/>
          <w:i/>
          <w:sz w:val="24"/>
          <w:szCs w:val="24"/>
        </w:rPr>
        <w:t>es. Partially averted and fully averted refer to the degree of gaze deviation. Congruent and incongruent indicate the spatial relationship between gaze direction and target location</w:t>
      </w:r>
      <w:r>
        <w:rPr>
          <w:i/>
        </w:rPr>
        <w:t>.</w:t>
      </w:r>
    </w:p>
    <w:sectPr w:rsidR="005F77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6D2D"/>
    <w:rsid w:val="005A0A0F"/>
    <w:rsid w:val="005F774D"/>
    <w:rsid w:val="00931D67"/>
    <w:rsid w:val="00AA1D8D"/>
    <w:rsid w:val="00B47730"/>
    <w:rsid w:val="00CB0664"/>
    <w:rsid w:val="00F85E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AD9C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decuerpo">
    <w:name w:val="Body Text"/>
    <w:basedOn w:val="Normal"/>
    <w:link w:val="TextodecuerpoCar"/>
    <w:uiPriority w:val="99"/>
    <w:unhideWhenUsed/>
    <w:rsid w:val="00AA1D8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rsid w:val="00AA1D8D"/>
  </w:style>
  <w:style w:type="paragraph" w:styleId="Textodecuerpo2">
    <w:name w:val="Body Text 2"/>
    <w:basedOn w:val="Normal"/>
    <w:link w:val="Textodecuerpo2Car"/>
    <w:uiPriority w:val="99"/>
    <w:unhideWhenUsed/>
    <w:rsid w:val="00AA1D8D"/>
    <w:pPr>
      <w:spacing w:after="120" w:line="480" w:lineRule="auto"/>
    </w:pPr>
  </w:style>
  <w:style w:type="character" w:customStyle="1" w:styleId="Textodecuerpo2Car">
    <w:name w:val="Texto de cuerpo 2 Car"/>
    <w:basedOn w:val="Fuentedeprrafopredeter"/>
    <w:link w:val="Textodecuerpo2"/>
    <w:uiPriority w:val="99"/>
    <w:rsid w:val="00AA1D8D"/>
  </w:style>
  <w:style w:type="paragraph" w:styleId="Textodecuerpo3">
    <w:name w:val="Body Text 3"/>
    <w:basedOn w:val="Normal"/>
    <w:link w:val="Textodecuerpo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Enfasis">
    <w:name w:val="Emphasis"/>
    <w:basedOn w:val="Fuentedeprrafopredeter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an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n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n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n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n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n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n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n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n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n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n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n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n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n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n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n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n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n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n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n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n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n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n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multicolor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ulticolor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multicolor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ulticolor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multicolor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multicolor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multicolor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multicolor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ulticolor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multicolor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ulticolor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ulticolor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ulticolor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ulticolor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ulticolor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ulticolor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decuerpo">
    <w:name w:val="Body Text"/>
    <w:basedOn w:val="Normal"/>
    <w:link w:val="TextodecuerpoCar"/>
    <w:uiPriority w:val="99"/>
    <w:unhideWhenUsed/>
    <w:rsid w:val="00AA1D8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rsid w:val="00AA1D8D"/>
  </w:style>
  <w:style w:type="paragraph" w:styleId="Textodecuerpo2">
    <w:name w:val="Body Text 2"/>
    <w:basedOn w:val="Normal"/>
    <w:link w:val="Textodecuerpo2Car"/>
    <w:uiPriority w:val="99"/>
    <w:unhideWhenUsed/>
    <w:rsid w:val="00AA1D8D"/>
    <w:pPr>
      <w:spacing w:after="120" w:line="480" w:lineRule="auto"/>
    </w:pPr>
  </w:style>
  <w:style w:type="character" w:customStyle="1" w:styleId="Textodecuerpo2Car">
    <w:name w:val="Texto de cuerpo 2 Car"/>
    <w:basedOn w:val="Fuentedeprrafopredeter"/>
    <w:link w:val="Textodecuerpo2"/>
    <w:uiPriority w:val="99"/>
    <w:rsid w:val="00AA1D8D"/>
  </w:style>
  <w:style w:type="paragraph" w:styleId="Textodecuerpo3">
    <w:name w:val="Body Text 3"/>
    <w:basedOn w:val="Normal"/>
    <w:link w:val="Textodecuerpo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Enfasis">
    <w:name w:val="Emphasis"/>
    <w:basedOn w:val="Fuentedeprrafopredeter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an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n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n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n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n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n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n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n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n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n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n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n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n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n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n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n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n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n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n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n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n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n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n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multicolor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ulticolor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multicolor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ulticolor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multicolor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multicolor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multicolor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multicolor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ulticolor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multicolor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ulticolor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ulticolor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ulticolor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ulticolor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ulticolor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ulticolor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D045A9-A7AB-624B-93A9-329026B8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Marotta</cp:lastModifiedBy>
  <cp:revision>2</cp:revision>
  <dcterms:created xsi:type="dcterms:W3CDTF">2025-12-21T22:45:00Z</dcterms:created>
  <dcterms:modified xsi:type="dcterms:W3CDTF">2025-12-21T22:45:00Z</dcterms:modified>
  <cp:category/>
</cp:coreProperties>
</file>