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EE3DE" w14:textId="77777777" w:rsidR="00C95F45" w:rsidRPr="00566F42" w:rsidRDefault="00C95F45">
      <w:pPr>
        <w:rPr>
          <w:rFonts w:ascii="Times New Roman" w:hAnsi="Times New Roman" w:cs="Times New Roman"/>
          <w:b/>
          <w:bCs/>
          <w:sz w:val="24"/>
          <w:szCs w:val="24"/>
        </w:rPr>
      </w:pPr>
    </w:p>
    <w:p w14:paraId="14962C76" w14:textId="77777777" w:rsidR="00C95F45" w:rsidRPr="00566F42" w:rsidRDefault="00C95F45" w:rsidP="00C95F45">
      <w:pPr>
        <w:jc w:val="center"/>
        <w:rPr>
          <w:rFonts w:ascii="Times New Roman" w:hAnsi="Times New Roman" w:cs="Times New Roman"/>
          <w:b/>
          <w:bCs/>
          <w:sz w:val="24"/>
          <w:szCs w:val="24"/>
        </w:rPr>
      </w:pPr>
    </w:p>
    <w:p w14:paraId="225F14F6" w14:textId="77777777" w:rsidR="00C95F45" w:rsidRPr="00566F42" w:rsidRDefault="00C95F45" w:rsidP="00D82140">
      <w:pPr>
        <w:tabs>
          <w:tab w:val="left" w:pos="2492"/>
        </w:tabs>
        <w:spacing w:line="480" w:lineRule="auto"/>
        <w:jc w:val="center"/>
        <w:rPr>
          <w:rFonts w:ascii="Times New Roman" w:hAnsi="Times New Roman" w:cs="Times New Roman"/>
          <w:b/>
          <w:bCs/>
          <w:sz w:val="24"/>
          <w:szCs w:val="24"/>
        </w:rPr>
      </w:pPr>
    </w:p>
    <w:p w14:paraId="334EDDCC" w14:textId="3300D62E" w:rsidR="00EF6FC5" w:rsidRDefault="008A59A1" w:rsidP="00EF6FC5">
      <w:pPr>
        <w:spacing w:after="0" w:line="480" w:lineRule="auto"/>
        <w:jc w:val="center"/>
        <w:rPr>
          <w:rFonts w:ascii="Times New Roman" w:eastAsia="Times New Roman" w:hAnsi="Times New Roman" w:cs="Times New Roman"/>
          <w:sz w:val="24"/>
          <w:szCs w:val="24"/>
          <w:lang w:val="en-GB" w:eastAsia="it-IT"/>
        </w:rPr>
      </w:pPr>
      <w:r w:rsidRPr="008A59A1">
        <w:rPr>
          <w:rFonts w:ascii="Times New Roman" w:hAnsi="Times New Roman" w:cs="Times New Roman"/>
          <w:b/>
          <w:bCs/>
          <w:sz w:val="24"/>
          <w:szCs w:val="24"/>
        </w:rPr>
        <w:t>Dyslexia Treatment Studies: A Systematic Review and Suggestions on Testing Treatment Efficacy with Small Effects and Small Samples</w:t>
      </w:r>
    </w:p>
    <w:p w14:paraId="38E65E2A" w14:textId="78B74300" w:rsidR="0076291D" w:rsidRDefault="0076291D" w:rsidP="00EF6FC5">
      <w:pPr>
        <w:spacing w:after="0" w:line="480" w:lineRule="auto"/>
        <w:jc w:val="center"/>
        <w:rPr>
          <w:rFonts w:ascii="Times New Roman" w:eastAsia="Times New Roman" w:hAnsi="Times New Roman" w:cs="Times New Roman"/>
          <w:sz w:val="24"/>
          <w:szCs w:val="24"/>
          <w:lang w:val="en-GB" w:eastAsia="it-IT"/>
        </w:rPr>
      </w:pPr>
    </w:p>
    <w:p w14:paraId="7CA46AF2" w14:textId="77777777" w:rsidR="00EF6FC5" w:rsidRDefault="00EF6FC5" w:rsidP="00EF6FC5">
      <w:pPr>
        <w:spacing w:after="0" w:line="480" w:lineRule="auto"/>
        <w:jc w:val="center"/>
        <w:rPr>
          <w:rFonts w:ascii="Times New Roman" w:eastAsia="Times New Roman" w:hAnsi="Times New Roman" w:cs="Times New Roman"/>
          <w:sz w:val="24"/>
          <w:szCs w:val="24"/>
          <w:lang w:val="en-GB" w:eastAsia="it-IT"/>
        </w:rPr>
      </w:pPr>
    </w:p>
    <w:p w14:paraId="7C511E28" w14:textId="6D38E59F" w:rsidR="00EF6FC5" w:rsidRPr="00C94E0D" w:rsidRDefault="00EF6FC5" w:rsidP="00EF6FC5">
      <w:pPr>
        <w:spacing w:after="0" w:line="480" w:lineRule="auto"/>
        <w:jc w:val="center"/>
        <w:rPr>
          <w:rFonts w:ascii="Times New Roman" w:eastAsia="Times New Roman" w:hAnsi="Times New Roman" w:cs="Times New Roman"/>
          <w:b/>
          <w:bCs/>
          <w:sz w:val="32"/>
          <w:szCs w:val="32"/>
          <w:lang w:val="en-GB" w:eastAsia="it-IT"/>
        </w:rPr>
      </w:pPr>
      <w:r w:rsidRPr="00C94E0D">
        <w:rPr>
          <w:rFonts w:ascii="Times New Roman" w:eastAsia="Times New Roman" w:hAnsi="Times New Roman" w:cs="Times New Roman"/>
          <w:b/>
          <w:bCs/>
          <w:sz w:val="32"/>
          <w:szCs w:val="32"/>
          <w:lang w:val="en-GB" w:eastAsia="it-IT"/>
        </w:rPr>
        <w:t xml:space="preserve">Supplemental </w:t>
      </w:r>
      <w:r w:rsidR="00C94E0D" w:rsidRPr="00C94E0D">
        <w:rPr>
          <w:rFonts w:ascii="Times New Roman" w:eastAsia="Times New Roman" w:hAnsi="Times New Roman" w:cs="Times New Roman"/>
          <w:b/>
          <w:bCs/>
          <w:sz w:val="32"/>
          <w:szCs w:val="32"/>
          <w:lang w:val="en-GB" w:eastAsia="it-IT"/>
        </w:rPr>
        <w:t>M</w:t>
      </w:r>
      <w:r w:rsidRPr="00C94E0D">
        <w:rPr>
          <w:rFonts w:ascii="Times New Roman" w:eastAsia="Times New Roman" w:hAnsi="Times New Roman" w:cs="Times New Roman"/>
          <w:b/>
          <w:bCs/>
          <w:sz w:val="32"/>
          <w:szCs w:val="32"/>
          <w:lang w:val="en-GB" w:eastAsia="it-IT"/>
        </w:rPr>
        <w:t>aterials</w:t>
      </w:r>
    </w:p>
    <w:p w14:paraId="618B9A60" w14:textId="46C1E649" w:rsidR="00EF6FC5" w:rsidRDefault="00EF6FC5" w:rsidP="005E0831">
      <w:pPr>
        <w:spacing w:after="0" w:line="480" w:lineRule="auto"/>
        <w:rPr>
          <w:rFonts w:ascii="Times New Roman" w:eastAsia="Times New Roman" w:hAnsi="Times New Roman" w:cs="Times New Roman"/>
          <w:sz w:val="24"/>
          <w:szCs w:val="24"/>
          <w:lang w:val="en-GB" w:eastAsia="it-IT"/>
        </w:rPr>
      </w:pPr>
    </w:p>
    <w:p w14:paraId="1070440C" w14:textId="6F224C75" w:rsidR="00EF6FC5" w:rsidRDefault="00EF6FC5" w:rsidP="00EF6FC5">
      <w:pPr>
        <w:spacing w:after="0" w:line="480" w:lineRule="auto"/>
        <w:jc w:val="center"/>
        <w:rPr>
          <w:rFonts w:ascii="Times New Roman" w:eastAsia="Times New Roman" w:hAnsi="Times New Roman" w:cs="Times New Roman"/>
          <w:sz w:val="24"/>
          <w:szCs w:val="24"/>
          <w:lang w:val="en-GB" w:eastAsia="it-IT"/>
        </w:rPr>
      </w:pPr>
    </w:p>
    <w:p w14:paraId="11DC24EF" w14:textId="77777777" w:rsidR="0076291D" w:rsidRDefault="0076291D" w:rsidP="00EF6FC5">
      <w:pPr>
        <w:spacing w:after="0" w:line="480" w:lineRule="auto"/>
        <w:jc w:val="center"/>
        <w:rPr>
          <w:rFonts w:ascii="Times New Roman" w:eastAsia="Times New Roman" w:hAnsi="Times New Roman" w:cs="Times New Roman"/>
          <w:sz w:val="24"/>
          <w:szCs w:val="24"/>
          <w:lang w:val="en-GB" w:eastAsia="it-IT"/>
        </w:rPr>
      </w:pPr>
    </w:p>
    <w:p w14:paraId="1CCCA89B" w14:textId="3B47C404" w:rsidR="00EF6FC5" w:rsidRDefault="00EF6FC5" w:rsidP="00EF6FC5">
      <w:pPr>
        <w:spacing w:after="0" w:line="480" w:lineRule="auto"/>
        <w:jc w:val="center"/>
        <w:rPr>
          <w:rFonts w:ascii="Times New Roman" w:eastAsia="Times New Roman" w:hAnsi="Times New Roman" w:cs="Times New Roman"/>
          <w:sz w:val="24"/>
          <w:szCs w:val="24"/>
          <w:lang w:val="en-GB" w:eastAsia="it-IT"/>
        </w:rPr>
      </w:pPr>
    </w:p>
    <w:p w14:paraId="62B56B09" w14:textId="2E7465E7" w:rsidR="00C000BB" w:rsidRPr="005E0831" w:rsidRDefault="00C000BB" w:rsidP="00C000BB">
      <w:pPr>
        <w:spacing w:after="0" w:line="480" w:lineRule="auto"/>
        <w:jc w:val="center"/>
        <w:rPr>
          <w:rFonts w:ascii="Times New Roman" w:eastAsia="Times New Roman" w:hAnsi="Times New Roman" w:cs="Times New Roman"/>
          <w:sz w:val="24"/>
          <w:szCs w:val="24"/>
          <w:lang w:val="en-GB" w:eastAsia="it-IT"/>
        </w:rPr>
      </w:pPr>
    </w:p>
    <w:p w14:paraId="1D9B4515" w14:textId="143F5AEC" w:rsidR="00EF6FC5" w:rsidRDefault="00EF6FC5" w:rsidP="00EF6FC5">
      <w:pPr>
        <w:pStyle w:val="TOCHeading"/>
        <w:spacing w:line="480" w:lineRule="auto"/>
        <w:rPr>
          <w:rFonts w:ascii="Times New Roman" w:eastAsia="Times New Roman" w:hAnsi="Times New Roman" w:cs="Times New Roman"/>
          <w:sz w:val="18"/>
          <w:szCs w:val="18"/>
          <w:lang w:val="en-GB" w:eastAsia="it-IT"/>
        </w:rPr>
      </w:pPr>
      <w:r>
        <w:rPr>
          <w:rFonts w:ascii="Times New Roman" w:eastAsia="Times New Roman" w:hAnsi="Times New Roman" w:cs="Times New Roman"/>
          <w:sz w:val="18"/>
          <w:szCs w:val="18"/>
          <w:lang w:val="en-GB" w:eastAsia="it-IT"/>
        </w:rPr>
        <w:br w:type="page"/>
      </w:r>
    </w:p>
    <w:p w14:paraId="5B4A3ABF" w14:textId="4CA081DB" w:rsidR="002D6660" w:rsidRPr="002D6660" w:rsidRDefault="00241A15" w:rsidP="002D6660">
      <w:pPr>
        <w:spacing w:after="0" w:line="480" w:lineRule="auto"/>
        <w:jc w:val="center"/>
        <w:rPr>
          <w:rFonts w:ascii="Times New Roman" w:eastAsia="Times New Roman" w:hAnsi="Times New Roman" w:cs="Times New Roman"/>
          <w:b/>
          <w:bCs/>
          <w:sz w:val="24"/>
          <w:szCs w:val="24"/>
          <w:lang w:val="en-GB" w:eastAsia="it-IT"/>
        </w:rPr>
      </w:pPr>
      <w:r w:rsidRPr="0076082A">
        <w:rPr>
          <w:rFonts w:ascii="Times New Roman" w:eastAsia="Times New Roman" w:hAnsi="Times New Roman" w:cs="Times New Roman"/>
          <w:b/>
          <w:bCs/>
          <w:color w:val="0070C0"/>
          <w:sz w:val="24"/>
          <w:szCs w:val="24"/>
          <w:lang w:val="en-GB" w:eastAsia="it-IT"/>
        </w:rPr>
        <w:lastRenderedPageBreak/>
        <w:t xml:space="preserve">PART 1 </w:t>
      </w:r>
      <w:r w:rsidR="00162011" w:rsidRPr="0076082A">
        <w:rPr>
          <w:rFonts w:ascii="Times New Roman" w:eastAsia="Times New Roman" w:hAnsi="Times New Roman" w:cs="Times New Roman"/>
          <w:b/>
          <w:bCs/>
          <w:color w:val="0070C0"/>
          <w:sz w:val="24"/>
          <w:szCs w:val="24"/>
          <w:lang w:val="en-GB" w:eastAsia="it-IT"/>
        </w:rPr>
        <w:t>–</w:t>
      </w:r>
      <w:r w:rsidRPr="0076082A">
        <w:rPr>
          <w:rFonts w:ascii="Times New Roman" w:eastAsia="Times New Roman" w:hAnsi="Times New Roman" w:cs="Times New Roman"/>
          <w:b/>
          <w:bCs/>
          <w:color w:val="0070C0"/>
          <w:sz w:val="24"/>
          <w:szCs w:val="24"/>
          <w:lang w:val="en-GB" w:eastAsia="it-IT"/>
        </w:rPr>
        <w:t xml:space="preserve"> </w:t>
      </w:r>
      <w:r w:rsidR="002D6660" w:rsidRPr="002D6660">
        <w:rPr>
          <w:rFonts w:ascii="Times New Roman" w:eastAsia="Times New Roman" w:hAnsi="Times New Roman" w:cs="Times New Roman"/>
          <w:b/>
          <w:bCs/>
          <w:sz w:val="24"/>
          <w:szCs w:val="24"/>
          <w:lang w:val="en-GB" w:eastAsia="it-IT"/>
        </w:rPr>
        <w:t>Details on the Definition of Prior Knowledge</w:t>
      </w:r>
    </w:p>
    <w:p w14:paraId="323C8BF4" w14:textId="0BEDCA66" w:rsidR="00817A7B" w:rsidRDefault="00C224F4" w:rsidP="00A7476C">
      <w:pPr>
        <w:spacing w:after="0" w:line="480" w:lineRule="auto"/>
        <w:ind w:firstLine="567"/>
        <w:jc w:val="both"/>
        <w:rPr>
          <w:rFonts w:ascii="Times New Roman" w:eastAsia="Times New Roman" w:hAnsi="Times New Roman" w:cs="Times New Roman"/>
          <w:sz w:val="24"/>
          <w:szCs w:val="24"/>
          <w:lang w:val="en-GB" w:eastAsia="it-IT"/>
        </w:rPr>
      </w:pPr>
      <w:r>
        <w:rPr>
          <w:rFonts w:ascii="Times New Roman" w:eastAsia="Times New Roman" w:hAnsi="Times New Roman" w:cs="Times New Roman"/>
          <w:sz w:val="24"/>
          <w:szCs w:val="24"/>
          <w:lang w:val="en-GB" w:eastAsia="it-IT"/>
        </w:rPr>
        <w:t xml:space="preserve">Prior distributions </w:t>
      </w:r>
      <w:r w:rsidR="009F2BA1">
        <w:rPr>
          <w:rFonts w:ascii="Times New Roman" w:eastAsia="Times New Roman" w:hAnsi="Times New Roman" w:cs="Times New Roman"/>
          <w:sz w:val="24"/>
          <w:szCs w:val="24"/>
          <w:lang w:val="en-GB" w:eastAsia="it-IT"/>
        </w:rPr>
        <w:t>were defined for the average effect size</w:t>
      </w:r>
      <w:r w:rsidR="00D63C4B">
        <w:rPr>
          <w:rFonts w:ascii="Times New Roman" w:eastAsia="Times New Roman" w:hAnsi="Times New Roman" w:cs="Times New Roman"/>
          <w:sz w:val="24"/>
          <w:szCs w:val="24"/>
          <w:lang w:val="en-GB" w:eastAsia="it-IT"/>
        </w:rPr>
        <w:t xml:space="preserve"> concerning the </w:t>
      </w:r>
      <w:proofErr w:type="spellStart"/>
      <w:r w:rsidR="00D63C4B">
        <w:rPr>
          <w:rFonts w:ascii="Times New Roman" w:eastAsia="Times New Roman" w:hAnsi="Times New Roman" w:cs="Times New Roman"/>
          <w:sz w:val="24"/>
          <w:szCs w:val="24"/>
          <w:lang w:val="en-GB" w:eastAsia="it-IT"/>
        </w:rPr>
        <w:t>pretest-posttest</w:t>
      </w:r>
      <w:proofErr w:type="spellEnd"/>
      <w:r w:rsidR="00D63C4B">
        <w:rPr>
          <w:rFonts w:ascii="Times New Roman" w:eastAsia="Times New Roman" w:hAnsi="Times New Roman" w:cs="Times New Roman"/>
          <w:sz w:val="24"/>
          <w:szCs w:val="24"/>
          <w:lang w:val="en-GB" w:eastAsia="it-IT"/>
        </w:rPr>
        <w:t xml:space="preserve"> comparisons</w:t>
      </w:r>
      <w:r w:rsidR="009F2BA1">
        <w:rPr>
          <w:rFonts w:ascii="Times New Roman" w:eastAsia="Times New Roman" w:hAnsi="Times New Roman" w:cs="Times New Roman"/>
          <w:sz w:val="24"/>
          <w:szCs w:val="24"/>
          <w:lang w:val="en-GB" w:eastAsia="it-IT"/>
        </w:rPr>
        <w:t xml:space="preserve"> and, where possible, for its heterogeneity (</w:t>
      </w:r>
      <w:r w:rsidR="00817A7B" w:rsidRPr="00817A7B">
        <w:rPr>
          <w:rFonts w:ascii="Times New Roman" w:eastAsia="Times New Roman" w:hAnsi="Times New Roman" w:cs="Times New Roman"/>
          <w:sz w:val="24"/>
          <w:szCs w:val="24"/>
          <w:lang w:val="en-GB" w:eastAsia="it-IT"/>
        </w:rPr>
        <w:t>τ</w:t>
      </w:r>
      <w:r w:rsidR="00817A7B">
        <w:rPr>
          <w:rFonts w:ascii="Times New Roman" w:eastAsia="Times New Roman" w:hAnsi="Times New Roman" w:cs="Times New Roman"/>
          <w:sz w:val="24"/>
          <w:szCs w:val="24"/>
          <w:lang w:val="en-GB" w:eastAsia="it-IT"/>
        </w:rPr>
        <w:t xml:space="preserve"> parameter</w:t>
      </w:r>
      <w:r w:rsidR="009F2BA1">
        <w:rPr>
          <w:rFonts w:ascii="Times New Roman" w:eastAsia="Times New Roman" w:hAnsi="Times New Roman" w:cs="Times New Roman"/>
          <w:sz w:val="24"/>
          <w:szCs w:val="24"/>
          <w:lang w:val="en-GB" w:eastAsia="it-IT"/>
        </w:rPr>
        <w:t>)</w:t>
      </w:r>
      <w:r w:rsidR="00817A7B">
        <w:rPr>
          <w:rFonts w:ascii="Times New Roman" w:eastAsia="Times New Roman" w:hAnsi="Times New Roman" w:cs="Times New Roman"/>
          <w:sz w:val="24"/>
          <w:szCs w:val="24"/>
          <w:lang w:val="en-GB" w:eastAsia="it-IT"/>
        </w:rPr>
        <w:t xml:space="preserve"> across studies and across group comparison within study. For all parameters not specified below, uninformed default priors were used, as set by the STAN language. The prior distributions for the effect size </w:t>
      </w:r>
      <w:r w:rsidR="00817A7B" w:rsidRPr="000C32CF">
        <w:rPr>
          <w:rFonts w:ascii="Times New Roman" w:eastAsia="Times New Roman" w:hAnsi="Times New Roman" w:cs="Times New Roman"/>
          <w:i/>
          <w:iCs/>
          <w:sz w:val="24"/>
          <w:szCs w:val="24"/>
          <w:lang w:val="en-GB" w:eastAsia="it-IT"/>
        </w:rPr>
        <w:t>d</w:t>
      </w:r>
      <w:r w:rsidR="00817A7B">
        <w:rPr>
          <w:rFonts w:ascii="Times New Roman" w:eastAsia="Times New Roman" w:hAnsi="Times New Roman" w:cs="Times New Roman"/>
          <w:sz w:val="24"/>
          <w:szCs w:val="24"/>
          <w:lang w:val="en-GB" w:eastAsia="it-IT"/>
        </w:rPr>
        <w:t xml:space="preserve"> were modelled using Student’s t distributions with 3 degrees of freedom, which is a standard in the STAN language</w:t>
      </w:r>
      <w:r w:rsidR="00A7476C">
        <w:rPr>
          <w:rFonts w:ascii="Times New Roman" w:eastAsia="Times New Roman" w:hAnsi="Times New Roman" w:cs="Times New Roman"/>
          <w:sz w:val="24"/>
          <w:szCs w:val="24"/>
          <w:lang w:val="en-GB" w:eastAsia="it-IT"/>
        </w:rPr>
        <w:t xml:space="preserve"> for both intercepts and beta parameters</w:t>
      </w:r>
      <w:r w:rsidR="00817A7B">
        <w:rPr>
          <w:rFonts w:ascii="Times New Roman" w:eastAsia="Times New Roman" w:hAnsi="Times New Roman" w:cs="Times New Roman"/>
          <w:sz w:val="24"/>
          <w:szCs w:val="24"/>
          <w:lang w:val="en-GB" w:eastAsia="it-IT"/>
        </w:rPr>
        <w:t>.</w:t>
      </w:r>
      <w:r w:rsidR="00A7476C">
        <w:rPr>
          <w:rFonts w:ascii="Times New Roman" w:eastAsia="Times New Roman" w:hAnsi="Times New Roman" w:cs="Times New Roman"/>
          <w:sz w:val="24"/>
          <w:szCs w:val="24"/>
          <w:lang w:val="en-GB" w:eastAsia="it-IT"/>
        </w:rPr>
        <w:t xml:space="preserve"> </w:t>
      </w:r>
      <w:r w:rsidR="007C2651" w:rsidRPr="002D6660">
        <w:rPr>
          <w:rFonts w:ascii="Times New Roman" w:eastAsia="Times New Roman" w:hAnsi="Times New Roman" w:cs="Times New Roman"/>
          <w:sz w:val="24"/>
          <w:szCs w:val="24"/>
          <w:lang w:val="en-GB" w:eastAsia="it-IT"/>
        </w:rPr>
        <w:t xml:space="preserve">Student’s t </w:t>
      </w:r>
      <w:r w:rsidR="007C2651">
        <w:rPr>
          <w:rFonts w:ascii="Times New Roman" w:eastAsia="Times New Roman" w:hAnsi="Times New Roman" w:cs="Times New Roman"/>
          <w:sz w:val="24"/>
          <w:szCs w:val="24"/>
          <w:lang w:val="en-GB" w:eastAsia="it-IT"/>
        </w:rPr>
        <w:t xml:space="preserve">distribution </w:t>
      </w:r>
      <w:r w:rsidR="007C2651" w:rsidRPr="002D6660">
        <w:rPr>
          <w:rFonts w:ascii="Times New Roman" w:eastAsia="Times New Roman" w:hAnsi="Times New Roman" w:cs="Times New Roman"/>
          <w:sz w:val="24"/>
          <w:szCs w:val="24"/>
          <w:lang w:val="en-GB" w:eastAsia="it-IT"/>
        </w:rPr>
        <w:t xml:space="preserve">is like a Normal distribution, but with heavier tails, thus allowing larger deviations from the mean. </w:t>
      </w:r>
      <w:r w:rsidR="00A7476C">
        <w:rPr>
          <w:rFonts w:ascii="Times New Roman" w:eastAsia="Times New Roman" w:hAnsi="Times New Roman" w:cs="Times New Roman"/>
          <w:sz w:val="24"/>
          <w:szCs w:val="24"/>
          <w:lang w:val="en-GB" w:eastAsia="it-IT"/>
        </w:rPr>
        <w:t xml:space="preserve">The </w:t>
      </w:r>
      <w:r w:rsidR="00A7476C" w:rsidRPr="009015E1">
        <w:rPr>
          <w:rFonts w:ascii="Times New Roman" w:eastAsia="Times New Roman" w:hAnsi="Times New Roman" w:cs="Times New Roman"/>
          <w:i/>
          <w:iCs/>
          <w:sz w:val="24"/>
          <w:szCs w:val="24"/>
          <w:lang w:val="en-GB" w:eastAsia="it-IT"/>
        </w:rPr>
        <w:t>τ</w:t>
      </w:r>
      <w:r w:rsidR="00A7476C">
        <w:rPr>
          <w:rFonts w:ascii="Times New Roman" w:eastAsia="Times New Roman" w:hAnsi="Times New Roman" w:cs="Times New Roman"/>
          <w:sz w:val="24"/>
          <w:szCs w:val="24"/>
          <w:lang w:val="en-GB" w:eastAsia="it-IT"/>
        </w:rPr>
        <w:t xml:space="preserve"> parameters of heterogeneity, </w:t>
      </w:r>
      <w:r w:rsidR="000117AC">
        <w:rPr>
          <w:rFonts w:ascii="Times New Roman" w:eastAsia="Times New Roman" w:hAnsi="Times New Roman" w:cs="Times New Roman"/>
          <w:sz w:val="24"/>
          <w:szCs w:val="24"/>
          <w:lang w:val="en-GB" w:eastAsia="it-IT"/>
        </w:rPr>
        <w:t xml:space="preserve">which represent standard deviations and must be </w:t>
      </w:r>
      <w:r w:rsidR="008D17D1">
        <w:rPr>
          <w:rFonts w:ascii="Times New Roman" w:eastAsia="Times New Roman" w:hAnsi="Times New Roman" w:cs="Times New Roman"/>
          <w:sz w:val="24"/>
          <w:szCs w:val="24"/>
          <w:lang w:val="en-GB" w:eastAsia="it-IT"/>
        </w:rPr>
        <w:t>defined on the positive domain</w:t>
      </w:r>
      <w:r w:rsidR="000117AC">
        <w:rPr>
          <w:rFonts w:ascii="Times New Roman" w:eastAsia="Times New Roman" w:hAnsi="Times New Roman" w:cs="Times New Roman"/>
          <w:sz w:val="24"/>
          <w:szCs w:val="24"/>
          <w:lang w:val="en-GB" w:eastAsia="it-IT"/>
        </w:rPr>
        <w:t>, were modelled using Gamma distributions.</w:t>
      </w:r>
    </w:p>
    <w:p w14:paraId="0E9BCF68" w14:textId="23CDD532" w:rsidR="00A7476C" w:rsidRPr="00A7476C" w:rsidRDefault="00A7476C" w:rsidP="00A7476C">
      <w:pPr>
        <w:spacing w:after="0" w:line="480" w:lineRule="auto"/>
        <w:jc w:val="both"/>
        <w:rPr>
          <w:rFonts w:ascii="Times New Roman" w:eastAsia="Times New Roman" w:hAnsi="Times New Roman" w:cs="Times New Roman"/>
          <w:b/>
          <w:bCs/>
          <w:sz w:val="24"/>
          <w:szCs w:val="24"/>
          <w:lang w:val="en-GB" w:eastAsia="it-IT"/>
        </w:rPr>
      </w:pPr>
      <w:r w:rsidRPr="00A7476C">
        <w:rPr>
          <w:rFonts w:ascii="Times New Roman" w:eastAsia="Times New Roman" w:hAnsi="Times New Roman" w:cs="Times New Roman"/>
          <w:b/>
          <w:bCs/>
          <w:sz w:val="24"/>
          <w:szCs w:val="24"/>
          <w:lang w:val="en-GB" w:eastAsia="it-IT"/>
        </w:rPr>
        <w:t xml:space="preserve">Overall Effect Size and Its </w:t>
      </w:r>
      <w:r w:rsidR="00880221" w:rsidRPr="00A7476C">
        <w:rPr>
          <w:rFonts w:ascii="Times New Roman" w:eastAsia="Times New Roman" w:hAnsi="Times New Roman" w:cs="Times New Roman"/>
          <w:b/>
          <w:bCs/>
          <w:sz w:val="24"/>
          <w:szCs w:val="24"/>
          <w:lang w:val="en-GB" w:eastAsia="it-IT"/>
        </w:rPr>
        <w:t>Heterogeneity</w:t>
      </w:r>
    </w:p>
    <w:p w14:paraId="65640E05" w14:textId="691880FC" w:rsidR="00067A7E" w:rsidRDefault="00A7476C" w:rsidP="002D6660">
      <w:pPr>
        <w:spacing w:after="0" w:line="480" w:lineRule="auto"/>
        <w:ind w:firstLine="567"/>
        <w:jc w:val="both"/>
        <w:rPr>
          <w:rFonts w:ascii="Times New Roman" w:eastAsia="Times New Roman" w:hAnsi="Times New Roman" w:cs="Times New Roman"/>
          <w:sz w:val="24"/>
          <w:szCs w:val="24"/>
          <w:lang w:val="en-GB" w:eastAsia="it-IT"/>
        </w:rPr>
      </w:pPr>
      <w:r>
        <w:rPr>
          <w:rFonts w:ascii="Times New Roman" w:eastAsia="Times New Roman" w:hAnsi="Times New Roman" w:cs="Times New Roman"/>
          <w:sz w:val="24"/>
          <w:szCs w:val="24"/>
          <w:lang w:val="en-GB" w:eastAsia="it-IT"/>
        </w:rPr>
        <w:t xml:space="preserve">The prior distributions for the overall mean effect size and its heterogeneity </w:t>
      </w:r>
      <w:r w:rsidR="00880221">
        <w:rPr>
          <w:rFonts w:ascii="Times New Roman" w:eastAsia="Times New Roman" w:hAnsi="Times New Roman" w:cs="Times New Roman"/>
          <w:sz w:val="24"/>
          <w:szCs w:val="24"/>
          <w:lang w:val="en-GB" w:eastAsia="it-IT"/>
        </w:rPr>
        <w:t xml:space="preserve">were defined by running a meta-analytic model including all 22 studies reviewed by </w:t>
      </w:r>
      <w:proofErr w:type="spellStart"/>
      <w:r w:rsidR="00880221">
        <w:rPr>
          <w:rFonts w:ascii="Times New Roman" w:eastAsia="Times New Roman" w:hAnsi="Times New Roman" w:cs="Times New Roman"/>
          <w:sz w:val="24"/>
          <w:szCs w:val="24"/>
          <w:lang w:val="en-GB" w:eastAsia="it-IT"/>
        </w:rPr>
        <w:t>Galuschka</w:t>
      </w:r>
      <w:proofErr w:type="spellEnd"/>
      <w:r w:rsidR="00880221">
        <w:rPr>
          <w:rFonts w:ascii="Times New Roman" w:eastAsia="Times New Roman" w:hAnsi="Times New Roman" w:cs="Times New Roman"/>
          <w:sz w:val="24"/>
          <w:szCs w:val="24"/>
          <w:lang w:val="en-GB" w:eastAsia="it-IT"/>
        </w:rPr>
        <w:t xml:space="preserve"> et al. (2014).</w:t>
      </w:r>
      <w:r w:rsidR="00067A7E">
        <w:rPr>
          <w:rFonts w:ascii="Times New Roman" w:eastAsia="Times New Roman" w:hAnsi="Times New Roman" w:cs="Times New Roman"/>
          <w:sz w:val="24"/>
          <w:szCs w:val="24"/>
          <w:lang w:val="en-GB" w:eastAsia="it-IT"/>
        </w:rPr>
        <w:t xml:space="preserve"> The model was fitted with the “brms” package of R, using</w:t>
      </w:r>
      <w:r w:rsidR="00580C4C">
        <w:rPr>
          <w:rFonts w:ascii="Times New Roman" w:eastAsia="Times New Roman" w:hAnsi="Times New Roman" w:cs="Times New Roman"/>
          <w:sz w:val="24"/>
          <w:szCs w:val="24"/>
          <w:lang w:val="en-GB" w:eastAsia="it-IT"/>
        </w:rPr>
        <w:t xml:space="preserve"> default uninformed priors. </w:t>
      </w:r>
      <w:r w:rsidR="007C1149">
        <w:rPr>
          <w:rFonts w:ascii="Times New Roman" w:eastAsia="Times New Roman" w:hAnsi="Times New Roman" w:cs="Times New Roman"/>
          <w:sz w:val="24"/>
          <w:szCs w:val="24"/>
          <w:lang w:val="en-GB" w:eastAsia="it-IT"/>
        </w:rPr>
        <w:t xml:space="preserve">We had to do so because the authors never reported an overall meta-analytic effect size </w:t>
      </w:r>
      <w:r w:rsidR="00580C4C">
        <w:rPr>
          <w:rFonts w:ascii="Times New Roman" w:eastAsia="Times New Roman" w:hAnsi="Times New Roman" w:cs="Times New Roman"/>
          <w:sz w:val="24"/>
          <w:szCs w:val="24"/>
          <w:lang w:val="en-GB" w:eastAsia="it-IT"/>
        </w:rPr>
        <w:t xml:space="preserve">that included </w:t>
      </w:r>
      <w:r w:rsidR="007C1149">
        <w:rPr>
          <w:rFonts w:ascii="Times New Roman" w:eastAsia="Times New Roman" w:hAnsi="Times New Roman" w:cs="Times New Roman"/>
          <w:sz w:val="24"/>
          <w:szCs w:val="24"/>
          <w:lang w:val="en-GB" w:eastAsia="it-IT"/>
        </w:rPr>
        <w:t xml:space="preserve">all studies simultaneously. </w:t>
      </w:r>
      <w:r w:rsidR="00880221">
        <w:rPr>
          <w:rFonts w:ascii="Times New Roman" w:eastAsia="Times New Roman" w:hAnsi="Times New Roman" w:cs="Times New Roman"/>
          <w:sz w:val="24"/>
          <w:szCs w:val="24"/>
          <w:lang w:val="en-GB" w:eastAsia="it-IT"/>
        </w:rPr>
        <w:t xml:space="preserve">Specifically, </w:t>
      </w:r>
      <w:r w:rsidR="00580C4C">
        <w:rPr>
          <w:rFonts w:ascii="Times New Roman" w:eastAsia="Times New Roman" w:hAnsi="Times New Roman" w:cs="Times New Roman"/>
          <w:sz w:val="24"/>
          <w:szCs w:val="24"/>
          <w:lang w:val="en-GB" w:eastAsia="it-IT"/>
        </w:rPr>
        <w:t xml:space="preserve">we coded the data reported by </w:t>
      </w:r>
      <w:proofErr w:type="spellStart"/>
      <w:r w:rsidR="00580C4C">
        <w:rPr>
          <w:rFonts w:ascii="Times New Roman" w:eastAsia="Times New Roman" w:hAnsi="Times New Roman" w:cs="Times New Roman"/>
          <w:sz w:val="24"/>
          <w:szCs w:val="24"/>
          <w:lang w:val="en-GB" w:eastAsia="it-IT"/>
        </w:rPr>
        <w:t>Galuschka</w:t>
      </w:r>
      <w:proofErr w:type="spellEnd"/>
      <w:r w:rsidR="00580C4C">
        <w:rPr>
          <w:rFonts w:ascii="Times New Roman" w:eastAsia="Times New Roman" w:hAnsi="Times New Roman" w:cs="Times New Roman"/>
          <w:sz w:val="24"/>
          <w:szCs w:val="24"/>
          <w:lang w:val="en-GB" w:eastAsia="it-IT"/>
        </w:rPr>
        <w:t xml:space="preserve"> et al. (2014) in their overview in Figure 2, and we run the model on it.</w:t>
      </w:r>
    </w:p>
    <w:p w14:paraId="22F5CDDA" w14:textId="74ED32CF" w:rsidR="00743DA6" w:rsidRDefault="002D6660" w:rsidP="002D6660">
      <w:pPr>
        <w:spacing w:after="0" w:line="480" w:lineRule="auto"/>
        <w:ind w:firstLine="567"/>
        <w:jc w:val="both"/>
        <w:rPr>
          <w:rFonts w:ascii="Times New Roman" w:eastAsia="Times New Roman" w:hAnsi="Times New Roman" w:cs="Times New Roman"/>
          <w:sz w:val="24"/>
          <w:szCs w:val="24"/>
          <w:lang w:val="en-GB" w:eastAsia="it-IT"/>
        </w:rPr>
      </w:pPr>
      <w:r w:rsidRPr="002D6660">
        <w:rPr>
          <w:rFonts w:ascii="Times New Roman" w:eastAsia="Times New Roman" w:hAnsi="Times New Roman" w:cs="Times New Roman"/>
          <w:sz w:val="24"/>
          <w:szCs w:val="24"/>
          <w:lang w:val="en-GB" w:eastAsia="it-IT"/>
        </w:rPr>
        <w:t xml:space="preserve">The </w:t>
      </w:r>
      <w:r w:rsidR="00F23B0E">
        <w:rPr>
          <w:rFonts w:ascii="Times New Roman" w:eastAsia="Times New Roman" w:hAnsi="Times New Roman" w:cs="Times New Roman"/>
          <w:sz w:val="24"/>
          <w:szCs w:val="24"/>
          <w:lang w:val="en-GB" w:eastAsia="it-IT"/>
        </w:rPr>
        <w:t>estimated</w:t>
      </w:r>
      <w:r w:rsidRPr="002D6660">
        <w:rPr>
          <w:rFonts w:ascii="Times New Roman" w:eastAsia="Times New Roman" w:hAnsi="Times New Roman" w:cs="Times New Roman"/>
          <w:sz w:val="24"/>
          <w:szCs w:val="24"/>
          <w:lang w:val="en-GB" w:eastAsia="it-IT"/>
        </w:rPr>
        <w:t xml:space="preserve"> mean effect size was </w:t>
      </w:r>
      <w:r w:rsidRPr="00D126E4">
        <w:rPr>
          <w:rFonts w:ascii="Times New Roman" w:eastAsia="Times New Roman" w:hAnsi="Times New Roman" w:cs="Times New Roman"/>
          <w:i/>
          <w:iCs/>
          <w:sz w:val="24"/>
          <w:szCs w:val="24"/>
          <w:lang w:val="en-GB" w:eastAsia="it-IT"/>
        </w:rPr>
        <w:t>d</w:t>
      </w:r>
      <w:r w:rsidRPr="002D6660">
        <w:rPr>
          <w:rFonts w:ascii="Times New Roman" w:eastAsia="Times New Roman" w:hAnsi="Times New Roman" w:cs="Times New Roman"/>
          <w:sz w:val="24"/>
          <w:szCs w:val="24"/>
          <w:lang w:val="en-GB" w:eastAsia="it-IT"/>
        </w:rPr>
        <w:t xml:space="preserve"> = </w:t>
      </w:r>
      <w:r w:rsidR="00D126E4">
        <w:rPr>
          <w:rFonts w:ascii="Times New Roman" w:eastAsia="Times New Roman" w:hAnsi="Times New Roman" w:cs="Times New Roman"/>
          <w:sz w:val="24"/>
          <w:szCs w:val="24"/>
          <w:lang w:val="en-GB" w:eastAsia="it-IT"/>
        </w:rPr>
        <w:t>0</w:t>
      </w:r>
      <w:r w:rsidRPr="002D6660">
        <w:rPr>
          <w:rFonts w:ascii="Times New Roman" w:eastAsia="Times New Roman" w:hAnsi="Times New Roman" w:cs="Times New Roman"/>
          <w:sz w:val="24"/>
          <w:szCs w:val="24"/>
          <w:lang w:val="en-GB" w:eastAsia="it-IT"/>
        </w:rPr>
        <w:t>.30, with standard error (</w:t>
      </w:r>
      <w:r w:rsidRPr="00D126E4">
        <w:rPr>
          <w:rFonts w:ascii="Times New Roman" w:eastAsia="Times New Roman" w:hAnsi="Times New Roman" w:cs="Times New Roman"/>
          <w:i/>
          <w:iCs/>
          <w:sz w:val="24"/>
          <w:szCs w:val="24"/>
          <w:lang w:val="en-GB" w:eastAsia="it-IT"/>
        </w:rPr>
        <w:t>SE</w:t>
      </w:r>
      <w:r w:rsidRPr="002D6660">
        <w:rPr>
          <w:rFonts w:ascii="Times New Roman" w:eastAsia="Times New Roman" w:hAnsi="Times New Roman" w:cs="Times New Roman"/>
          <w:sz w:val="24"/>
          <w:szCs w:val="24"/>
          <w:lang w:val="en-GB" w:eastAsia="it-IT"/>
        </w:rPr>
        <w:t xml:space="preserve">) = </w:t>
      </w:r>
      <w:r w:rsidR="00D126E4">
        <w:rPr>
          <w:rFonts w:ascii="Times New Roman" w:eastAsia="Times New Roman" w:hAnsi="Times New Roman" w:cs="Times New Roman"/>
          <w:sz w:val="24"/>
          <w:szCs w:val="24"/>
          <w:lang w:val="en-GB" w:eastAsia="it-IT"/>
        </w:rPr>
        <w:t>0</w:t>
      </w:r>
      <w:r w:rsidRPr="002D6660">
        <w:rPr>
          <w:rFonts w:ascii="Times New Roman" w:eastAsia="Times New Roman" w:hAnsi="Times New Roman" w:cs="Times New Roman"/>
          <w:sz w:val="24"/>
          <w:szCs w:val="24"/>
          <w:lang w:val="en-GB" w:eastAsia="it-IT"/>
        </w:rPr>
        <w:t>.06.</w:t>
      </w:r>
      <w:r w:rsidR="00F23B0E">
        <w:rPr>
          <w:rFonts w:ascii="Times New Roman" w:eastAsia="Times New Roman" w:hAnsi="Times New Roman" w:cs="Times New Roman"/>
          <w:sz w:val="24"/>
          <w:szCs w:val="24"/>
          <w:lang w:val="en-GB" w:eastAsia="it-IT"/>
        </w:rPr>
        <w:t xml:space="preserve"> These parameters were thus used as </w:t>
      </w:r>
      <w:r w:rsidR="00F23B0E" w:rsidRPr="00D126E4">
        <w:rPr>
          <w:rFonts w:ascii="Times New Roman" w:eastAsia="Times New Roman" w:hAnsi="Times New Roman" w:cs="Times New Roman"/>
          <w:i/>
          <w:iCs/>
          <w:sz w:val="24"/>
          <w:szCs w:val="24"/>
          <w:lang w:val="en-GB" w:eastAsia="it-IT"/>
        </w:rPr>
        <w:t>M</w:t>
      </w:r>
      <w:r w:rsidR="00F23B0E">
        <w:rPr>
          <w:rFonts w:ascii="Times New Roman" w:eastAsia="Times New Roman" w:hAnsi="Times New Roman" w:cs="Times New Roman"/>
          <w:sz w:val="24"/>
          <w:szCs w:val="24"/>
          <w:lang w:val="en-GB" w:eastAsia="it-IT"/>
        </w:rPr>
        <w:t xml:space="preserve"> and </w:t>
      </w:r>
      <w:r w:rsidR="00F23B0E" w:rsidRPr="00D126E4">
        <w:rPr>
          <w:rFonts w:ascii="Times New Roman" w:eastAsia="Times New Roman" w:hAnsi="Times New Roman" w:cs="Times New Roman"/>
          <w:i/>
          <w:iCs/>
          <w:sz w:val="24"/>
          <w:szCs w:val="24"/>
          <w:lang w:val="en-GB" w:eastAsia="it-IT"/>
        </w:rPr>
        <w:t>SD</w:t>
      </w:r>
      <w:r w:rsidR="00F23B0E">
        <w:rPr>
          <w:rFonts w:ascii="Times New Roman" w:eastAsia="Times New Roman" w:hAnsi="Times New Roman" w:cs="Times New Roman"/>
          <w:sz w:val="24"/>
          <w:szCs w:val="24"/>
          <w:lang w:val="en-GB" w:eastAsia="it-IT"/>
        </w:rPr>
        <w:t>, respectively, for the Student’s t-distribution that defined the prior for the overall effect size in our meta-analysis.</w:t>
      </w:r>
    </w:p>
    <w:p w14:paraId="3E6189E7" w14:textId="69D34504" w:rsidR="002D6660" w:rsidRDefault="002D6660" w:rsidP="002D6660">
      <w:pPr>
        <w:spacing w:after="0" w:line="480" w:lineRule="auto"/>
        <w:ind w:firstLine="567"/>
        <w:jc w:val="both"/>
        <w:rPr>
          <w:rFonts w:ascii="Times New Roman" w:eastAsia="Times New Roman" w:hAnsi="Times New Roman" w:cs="Times New Roman"/>
          <w:sz w:val="24"/>
          <w:szCs w:val="24"/>
          <w:lang w:val="en-GB" w:eastAsia="it-IT"/>
        </w:rPr>
      </w:pPr>
      <w:r w:rsidRPr="002D6660">
        <w:rPr>
          <w:rFonts w:ascii="Times New Roman" w:eastAsia="Times New Roman" w:hAnsi="Times New Roman" w:cs="Times New Roman"/>
          <w:sz w:val="24"/>
          <w:szCs w:val="24"/>
          <w:lang w:val="en-GB" w:eastAsia="it-IT"/>
        </w:rPr>
        <w:t>Concerning the heterogeneity, the</w:t>
      </w:r>
      <w:r w:rsidR="00743DA6">
        <w:rPr>
          <w:rFonts w:ascii="Times New Roman" w:eastAsia="Times New Roman" w:hAnsi="Times New Roman" w:cs="Times New Roman"/>
          <w:sz w:val="24"/>
          <w:szCs w:val="24"/>
          <w:lang w:val="en-GB" w:eastAsia="it-IT"/>
        </w:rPr>
        <w:t xml:space="preserve"> same</w:t>
      </w:r>
      <w:r w:rsidRPr="002D6660">
        <w:rPr>
          <w:rFonts w:ascii="Times New Roman" w:eastAsia="Times New Roman" w:hAnsi="Times New Roman" w:cs="Times New Roman"/>
          <w:sz w:val="24"/>
          <w:szCs w:val="24"/>
          <w:lang w:val="en-GB" w:eastAsia="it-IT"/>
        </w:rPr>
        <w:t xml:space="preserve"> model estimated </w:t>
      </w:r>
      <w:r w:rsidRPr="00D126E4">
        <w:rPr>
          <w:rFonts w:ascii="Times New Roman" w:eastAsia="Times New Roman" w:hAnsi="Times New Roman" w:cs="Times New Roman"/>
          <w:i/>
          <w:iCs/>
          <w:sz w:val="24"/>
          <w:szCs w:val="24"/>
          <w:lang w:val="en-GB" w:eastAsia="it-IT"/>
        </w:rPr>
        <w:t>τ</w:t>
      </w:r>
      <w:r w:rsidRPr="002D6660">
        <w:rPr>
          <w:rFonts w:ascii="Times New Roman" w:eastAsia="Times New Roman" w:hAnsi="Times New Roman" w:cs="Times New Roman"/>
          <w:sz w:val="24"/>
          <w:szCs w:val="24"/>
          <w:lang w:val="en-GB" w:eastAsia="it-IT"/>
        </w:rPr>
        <w:t xml:space="preserve"> = </w:t>
      </w:r>
      <w:r w:rsidR="00D126E4">
        <w:rPr>
          <w:rFonts w:ascii="Times New Roman" w:eastAsia="Times New Roman" w:hAnsi="Times New Roman" w:cs="Times New Roman"/>
          <w:sz w:val="24"/>
          <w:szCs w:val="24"/>
          <w:lang w:val="en-GB" w:eastAsia="it-IT"/>
        </w:rPr>
        <w:t>0</w:t>
      </w:r>
      <w:r w:rsidRPr="002D6660">
        <w:rPr>
          <w:rFonts w:ascii="Times New Roman" w:eastAsia="Times New Roman" w:hAnsi="Times New Roman" w:cs="Times New Roman"/>
          <w:sz w:val="24"/>
          <w:szCs w:val="24"/>
          <w:lang w:val="en-GB" w:eastAsia="it-IT"/>
        </w:rPr>
        <w:t xml:space="preserve">.08, </w:t>
      </w:r>
      <w:r w:rsidRPr="00D126E4">
        <w:rPr>
          <w:rFonts w:ascii="Times New Roman" w:eastAsia="Times New Roman" w:hAnsi="Times New Roman" w:cs="Times New Roman"/>
          <w:i/>
          <w:iCs/>
          <w:sz w:val="24"/>
          <w:szCs w:val="24"/>
          <w:lang w:val="en-GB" w:eastAsia="it-IT"/>
        </w:rPr>
        <w:t>SE</w:t>
      </w:r>
      <w:r w:rsidRPr="002D6660">
        <w:rPr>
          <w:rFonts w:ascii="Times New Roman" w:eastAsia="Times New Roman" w:hAnsi="Times New Roman" w:cs="Times New Roman"/>
          <w:sz w:val="24"/>
          <w:szCs w:val="24"/>
          <w:lang w:val="en-GB" w:eastAsia="it-IT"/>
        </w:rPr>
        <w:t xml:space="preserve"> = </w:t>
      </w:r>
      <w:r w:rsidR="00D126E4" w:rsidRPr="00D126E4">
        <w:rPr>
          <w:rFonts w:ascii="Times New Roman" w:eastAsia="Times New Roman" w:hAnsi="Times New Roman" w:cs="Times New Roman"/>
          <w:sz w:val="24"/>
          <w:szCs w:val="24"/>
          <w:lang w:val="en-GB" w:eastAsia="it-IT"/>
        </w:rPr>
        <w:t>0</w:t>
      </w:r>
      <w:r w:rsidRPr="00D126E4">
        <w:rPr>
          <w:rFonts w:ascii="Times New Roman" w:eastAsia="Times New Roman" w:hAnsi="Times New Roman" w:cs="Times New Roman"/>
          <w:sz w:val="24"/>
          <w:szCs w:val="24"/>
          <w:lang w:val="en-GB" w:eastAsia="it-IT"/>
        </w:rPr>
        <w:t>.</w:t>
      </w:r>
      <w:r w:rsidRPr="002D6660">
        <w:rPr>
          <w:rFonts w:ascii="Times New Roman" w:eastAsia="Times New Roman" w:hAnsi="Times New Roman" w:cs="Times New Roman"/>
          <w:sz w:val="24"/>
          <w:szCs w:val="24"/>
          <w:lang w:val="en-GB" w:eastAsia="it-IT"/>
        </w:rPr>
        <w:t xml:space="preserve">05, for the variability at the study level, and </w:t>
      </w:r>
      <w:bookmarkStart w:id="0" w:name="_Hlk58602077"/>
      <w:r w:rsidRPr="00D126E4">
        <w:rPr>
          <w:rFonts w:ascii="Times New Roman" w:eastAsia="Times New Roman" w:hAnsi="Times New Roman" w:cs="Times New Roman"/>
          <w:i/>
          <w:iCs/>
          <w:sz w:val="24"/>
          <w:szCs w:val="24"/>
          <w:lang w:val="en-GB" w:eastAsia="it-IT"/>
        </w:rPr>
        <w:t>τ</w:t>
      </w:r>
      <w:bookmarkEnd w:id="0"/>
      <w:r w:rsidRPr="002D6660">
        <w:rPr>
          <w:rFonts w:ascii="Times New Roman" w:eastAsia="Times New Roman" w:hAnsi="Times New Roman" w:cs="Times New Roman"/>
          <w:sz w:val="24"/>
          <w:szCs w:val="24"/>
          <w:lang w:val="en-GB" w:eastAsia="it-IT"/>
        </w:rPr>
        <w:t xml:space="preserve"> = </w:t>
      </w:r>
      <w:r w:rsidR="00D126E4">
        <w:rPr>
          <w:rFonts w:ascii="Times New Roman" w:eastAsia="Times New Roman" w:hAnsi="Times New Roman" w:cs="Times New Roman"/>
          <w:sz w:val="24"/>
          <w:szCs w:val="24"/>
          <w:lang w:val="en-GB" w:eastAsia="it-IT"/>
        </w:rPr>
        <w:t>0</w:t>
      </w:r>
      <w:r w:rsidRPr="002D6660">
        <w:rPr>
          <w:rFonts w:ascii="Times New Roman" w:eastAsia="Times New Roman" w:hAnsi="Times New Roman" w:cs="Times New Roman"/>
          <w:sz w:val="24"/>
          <w:szCs w:val="24"/>
          <w:lang w:val="en-GB" w:eastAsia="it-IT"/>
        </w:rPr>
        <w:t xml:space="preserve">.08, </w:t>
      </w:r>
      <w:r w:rsidRPr="00D126E4">
        <w:rPr>
          <w:rFonts w:ascii="Times New Roman" w:eastAsia="Times New Roman" w:hAnsi="Times New Roman" w:cs="Times New Roman"/>
          <w:i/>
          <w:iCs/>
          <w:sz w:val="24"/>
          <w:szCs w:val="24"/>
          <w:lang w:val="en-GB" w:eastAsia="it-IT"/>
        </w:rPr>
        <w:t>SE</w:t>
      </w:r>
      <w:r w:rsidRPr="002D6660">
        <w:rPr>
          <w:rFonts w:ascii="Times New Roman" w:eastAsia="Times New Roman" w:hAnsi="Times New Roman" w:cs="Times New Roman"/>
          <w:sz w:val="24"/>
          <w:szCs w:val="24"/>
          <w:lang w:val="en-GB" w:eastAsia="it-IT"/>
        </w:rPr>
        <w:t xml:space="preserve"> = </w:t>
      </w:r>
      <w:r w:rsidR="00D126E4">
        <w:rPr>
          <w:rFonts w:ascii="Times New Roman" w:eastAsia="Times New Roman" w:hAnsi="Times New Roman" w:cs="Times New Roman"/>
          <w:sz w:val="24"/>
          <w:szCs w:val="24"/>
          <w:lang w:val="en-GB" w:eastAsia="it-IT"/>
        </w:rPr>
        <w:t>0</w:t>
      </w:r>
      <w:r w:rsidRPr="002D6660">
        <w:rPr>
          <w:rFonts w:ascii="Times New Roman" w:eastAsia="Times New Roman" w:hAnsi="Times New Roman" w:cs="Times New Roman"/>
          <w:sz w:val="24"/>
          <w:szCs w:val="24"/>
          <w:lang w:val="en-GB" w:eastAsia="it-IT"/>
        </w:rPr>
        <w:t xml:space="preserve">.06 for the variability at the “group comparison within study” level. Such estimates were used as the means and standard deviations of the prior </w:t>
      </w:r>
      <w:r w:rsidRPr="002D6660">
        <w:rPr>
          <w:rFonts w:ascii="Times New Roman" w:eastAsia="Times New Roman" w:hAnsi="Times New Roman" w:cs="Times New Roman"/>
          <w:sz w:val="24"/>
          <w:szCs w:val="24"/>
          <w:lang w:val="en-GB" w:eastAsia="it-IT"/>
        </w:rPr>
        <w:lastRenderedPageBreak/>
        <w:t xml:space="preserve">distributions for the two levels of heterogeneity. Since </w:t>
      </w:r>
      <w:r w:rsidR="00AE5A09">
        <w:rPr>
          <w:rFonts w:ascii="Times New Roman" w:eastAsia="Times New Roman" w:hAnsi="Times New Roman" w:cs="Times New Roman"/>
          <w:sz w:val="24"/>
          <w:szCs w:val="24"/>
          <w:lang w:val="en-GB" w:eastAsia="it-IT"/>
        </w:rPr>
        <w:t xml:space="preserve">the </w:t>
      </w:r>
      <w:r w:rsidRPr="002D6660">
        <w:rPr>
          <w:rFonts w:ascii="Times New Roman" w:eastAsia="Times New Roman" w:hAnsi="Times New Roman" w:cs="Times New Roman"/>
          <w:sz w:val="24"/>
          <w:szCs w:val="24"/>
          <w:lang w:val="en-GB" w:eastAsia="it-IT"/>
        </w:rPr>
        <w:t>Gamma distribution</w:t>
      </w:r>
      <w:r w:rsidR="00AE5A09">
        <w:rPr>
          <w:rFonts w:ascii="Times New Roman" w:eastAsia="Times New Roman" w:hAnsi="Times New Roman" w:cs="Times New Roman"/>
          <w:sz w:val="24"/>
          <w:szCs w:val="24"/>
          <w:lang w:val="en-GB" w:eastAsia="it-IT"/>
        </w:rPr>
        <w:t xml:space="preserve"> was used, </w:t>
      </w:r>
      <w:r w:rsidRPr="002D6660">
        <w:rPr>
          <w:rFonts w:ascii="Times New Roman" w:eastAsia="Times New Roman" w:hAnsi="Times New Roman" w:cs="Times New Roman"/>
          <w:sz w:val="24"/>
          <w:szCs w:val="24"/>
          <w:lang w:val="en-GB" w:eastAsia="it-IT"/>
        </w:rPr>
        <w:t xml:space="preserve">the </w:t>
      </w:r>
      <w:r w:rsidRPr="00D126E4">
        <w:rPr>
          <w:rFonts w:ascii="Times New Roman" w:eastAsia="Times New Roman" w:hAnsi="Times New Roman" w:cs="Times New Roman"/>
          <w:i/>
          <w:iCs/>
          <w:sz w:val="24"/>
          <w:szCs w:val="24"/>
          <w:lang w:val="en-GB" w:eastAsia="it-IT"/>
        </w:rPr>
        <w:t>α</w:t>
      </w:r>
      <w:r w:rsidRPr="002D6660">
        <w:rPr>
          <w:rFonts w:ascii="Times New Roman" w:eastAsia="Times New Roman" w:hAnsi="Times New Roman" w:cs="Times New Roman"/>
          <w:sz w:val="24"/>
          <w:szCs w:val="24"/>
          <w:lang w:val="en-GB" w:eastAsia="it-IT"/>
        </w:rPr>
        <w:t xml:space="preserve"> </w:t>
      </w:r>
      <w:r w:rsidR="00AE5A09">
        <w:rPr>
          <w:rFonts w:ascii="Times New Roman" w:eastAsia="Times New Roman" w:hAnsi="Times New Roman" w:cs="Times New Roman"/>
          <w:sz w:val="24"/>
          <w:szCs w:val="24"/>
          <w:lang w:val="en-GB" w:eastAsia="it-IT"/>
        </w:rPr>
        <w:t>(</w:t>
      </w:r>
      <w:r w:rsidRPr="00D126E4">
        <w:rPr>
          <w:rFonts w:ascii="Times New Roman" w:eastAsia="Times New Roman" w:hAnsi="Times New Roman" w:cs="Times New Roman"/>
          <w:i/>
          <w:iCs/>
          <w:sz w:val="24"/>
          <w:szCs w:val="24"/>
          <w:lang w:val="en-GB" w:eastAsia="it-IT"/>
        </w:rPr>
        <w:t>shape</w:t>
      </w:r>
      <w:r w:rsidR="00AE5A09">
        <w:rPr>
          <w:rFonts w:ascii="Times New Roman" w:eastAsia="Times New Roman" w:hAnsi="Times New Roman" w:cs="Times New Roman"/>
          <w:sz w:val="24"/>
          <w:szCs w:val="24"/>
          <w:lang w:val="en-GB" w:eastAsia="it-IT"/>
        </w:rPr>
        <w:t>)</w:t>
      </w:r>
      <w:r w:rsidRPr="002D6660">
        <w:rPr>
          <w:rFonts w:ascii="Times New Roman" w:eastAsia="Times New Roman" w:hAnsi="Times New Roman" w:cs="Times New Roman"/>
          <w:sz w:val="24"/>
          <w:szCs w:val="24"/>
          <w:lang w:val="en-GB" w:eastAsia="it-IT"/>
        </w:rPr>
        <w:t xml:space="preserve"> and </w:t>
      </w:r>
      <w:r w:rsidRPr="00D126E4">
        <w:rPr>
          <w:rFonts w:ascii="Times New Roman" w:eastAsia="Times New Roman" w:hAnsi="Times New Roman" w:cs="Times New Roman"/>
          <w:i/>
          <w:iCs/>
          <w:sz w:val="24"/>
          <w:szCs w:val="24"/>
          <w:lang w:val="en-GB" w:eastAsia="it-IT"/>
        </w:rPr>
        <w:t>β</w:t>
      </w:r>
      <w:r w:rsidRPr="002D6660">
        <w:rPr>
          <w:rFonts w:ascii="Times New Roman" w:eastAsia="Times New Roman" w:hAnsi="Times New Roman" w:cs="Times New Roman"/>
          <w:sz w:val="24"/>
          <w:szCs w:val="24"/>
          <w:lang w:val="en-GB" w:eastAsia="it-IT"/>
        </w:rPr>
        <w:t xml:space="preserve"> </w:t>
      </w:r>
      <w:r w:rsidR="00AE5A09">
        <w:rPr>
          <w:rFonts w:ascii="Times New Roman" w:eastAsia="Times New Roman" w:hAnsi="Times New Roman" w:cs="Times New Roman"/>
          <w:sz w:val="24"/>
          <w:szCs w:val="24"/>
          <w:lang w:val="en-GB" w:eastAsia="it-IT"/>
        </w:rPr>
        <w:t>(</w:t>
      </w:r>
      <w:r w:rsidRPr="00D126E4">
        <w:rPr>
          <w:rFonts w:ascii="Times New Roman" w:eastAsia="Times New Roman" w:hAnsi="Times New Roman" w:cs="Times New Roman"/>
          <w:i/>
          <w:iCs/>
          <w:sz w:val="24"/>
          <w:szCs w:val="24"/>
          <w:lang w:val="en-GB" w:eastAsia="it-IT"/>
        </w:rPr>
        <w:t>rate</w:t>
      </w:r>
      <w:r w:rsidR="00AE5A09">
        <w:rPr>
          <w:rFonts w:ascii="Times New Roman" w:eastAsia="Times New Roman" w:hAnsi="Times New Roman" w:cs="Times New Roman"/>
          <w:sz w:val="24"/>
          <w:szCs w:val="24"/>
          <w:lang w:val="en-GB" w:eastAsia="it-IT"/>
        </w:rPr>
        <w:t>)</w:t>
      </w:r>
      <w:r w:rsidRPr="002D6660">
        <w:rPr>
          <w:rFonts w:ascii="Times New Roman" w:eastAsia="Times New Roman" w:hAnsi="Times New Roman" w:cs="Times New Roman"/>
          <w:sz w:val="24"/>
          <w:szCs w:val="24"/>
          <w:lang w:val="en-GB" w:eastAsia="it-IT"/>
        </w:rPr>
        <w:t xml:space="preserve"> parameters were set to exactly reproduce the wanted means and standard deviations.</w:t>
      </w:r>
      <w:r w:rsidR="00AE5A09">
        <w:rPr>
          <w:rFonts w:ascii="Times New Roman" w:eastAsia="Times New Roman" w:hAnsi="Times New Roman" w:cs="Times New Roman"/>
          <w:sz w:val="24"/>
          <w:szCs w:val="24"/>
          <w:lang w:val="en-GB" w:eastAsia="it-IT"/>
        </w:rPr>
        <w:t xml:space="preserve"> Specifically, </w:t>
      </w:r>
      <w:r w:rsidR="00EB1064">
        <w:rPr>
          <w:rFonts w:ascii="Times New Roman" w:eastAsia="Times New Roman" w:hAnsi="Times New Roman" w:cs="Times New Roman"/>
          <w:sz w:val="24"/>
          <w:szCs w:val="24"/>
          <w:lang w:val="en-GB" w:eastAsia="it-IT"/>
        </w:rPr>
        <w:t xml:space="preserve">for the variability at the study level, </w:t>
      </w:r>
      <w:r w:rsidR="00EB1064" w:rsidRPr="00D126E4">
        <w:rPr>
          <w:rFonts w:ascii="Times New Roman" w:eastAsia="Times New Roman" w:hAnsi="Times New Roman" w:cs="Times New Roman"/>
          <w:i/>
          <w:iCs/>
          <w:sz w:val="24"/>
          <w:szCs w:val="24"/>
          <w:lang w:val="en-GB" w:eastAsia="it-IT"/>
        </w:rPr>
        <w:t>α</w:t>
      </w:r>
      <w:r w:rsidR="00EB1064">
        <w:rPr>
          <w:rFonts w:ascii="Times New Roman" w:eastAsia="Times New Roman" w:hAnsi="Times New Roman" w:cs="Times New Roman"/>
          <w:sz w:val="24"/>
          <w:szCs w:val="24"/>
          <w:lang w:val="en-GB" w:eastAsia="it-IT"/>
        </w:rPr>
        <w:t xml:space="preserve"> = 2.56, </w:t>
      </w:r>
      <w:r w:rsidR="00EB1064" w:rsidRPr="00D126E4">
        <w:rPr>
          <w:rFonts w:ascii="Times New Roman" w:eastAsia="Times New Roman" w:hAnsi="Times New Roman" w:cs="Times New Roman"/>
          <w:i/>
          <w:iCs/>
          <w:sz w:val="24"/>
          <w:szCs w:val="24"/>
          <w:lang w:val="en-GB" w:eastAsia="it-IT"/>
        </w:rPr>
        <w:t>β</w:t>
      </w:r>
      <w:r w:rsidR="00EB1064">
        <w:rPr>
          <w:rFonts w:ascii="Times New Roman" w:eastAsia="Times New Roman" w:hAnsi="Times New Roman" w:cs="Times New Roman"/>
          <w:sz w:val="24"/>
          <w:szCs w:val="24"/>
          <w:lang w:val="en-GB" w:eastAsia="it-IT"/>
        </w:rPr>
        <w:t xml:space="preserve"> = </w:t>
      </w:r>
      <w:r w:rsidR="00776A24">
        <w:rPr>
          <w:rFonts w:ascii="Times New Roman" w:eastAsia="Times New Roman" w:hAnsi="Times New Roman" w:cs="Times New Roman"/>
          <w:sz w:val="24"/>
          <w:szCs w:val="24"/>
          <w:lang w:val="en-GB" w:eastAsia="it-IT"/>
        </w:rPr>
        <w:t>32</w:t>
      </w:r>
      <w:r w:rsidR="00BD5F45">
        <w:rPr>
          <w:rFonts w:ascii="Times New Roman" w:eastAsia="Times New Roman" w:hAnsi="Times New Roman" w:cs="Times New Roman"/>
          <w:sz w:val="24"/>
          <w:szCs w:val="24"/>
          <w:lang w:val="en-GB" w:eastAsia="it-IT"/>
        </w:rPr>
        <w:t>.00</w:t>
      </w:r>
      <w:r w:rsidR="00776A24">
        <w:rPr>
          <w:rFonts w:ascii="Times New Roman" w:eastAsia="Times New Roman" w:hAnsi="Times New Roman" w:cs="Times New Roman"/>
          <w:sz w:val="24"/>
          <w:szCs w:val="24"/>
          <w:lang w:val="en-GB" w:eastAsia="it-IT"/>
        </w:rPr>
        <w:t xml:space="preserve">; for the variability at the </w:t>
      </w:r>
      <w:r w:rsidR="00BD5F45">
        <w:rPr>
          <w:rFonts w:ascii="Times New Roman" w:eastAsia="Times New Roman" w:hAnsi="Times New Roman" w:cs="Times New Roman"/>
          <w:sz w:val="24"/>
          <w:szCs w:val="24"/>
          <w:lang w:val="en-GB" w:eastAsia="it-IT"/>
        </w:rPr>
        <w:t>“</w:t>
      </w:r>
      <w:r w:rsidR="00776A24">
        <w:rPr>
          <w:rFonts w:ascii="Times New Roman" w:eastAsia="Times New Roman" w:hAnsi="Times New Roman" w:cs="Times New Roman"/>
          <w:sz w:val="24"/>
          <w:szCs w:val="24"/>
          <w:lang w:val="en-GB" w:eastAsia="it-IT"/>
        </w:rPr>
        <w:t>group comparison within study level</w:t>
      </w:r>
      <w:r w:rsidR="00BD5F45">
        <w:rPr>
          <w:rFonts w:ascii="Times New Roman" w:eastAsia="Times New Roman" w:hAnsi="Times New Roman" w:cs="Times New Roman"/>
          <w:sz w:val="24"/>
          <w:szCs w:val="24"/>
          <w:lang w:val="en-GB" w:eastAsia="it-IT"/>
        </w:rPr>
        <w:t>”</w:t>
      </w:r>
      <w:r w:rsidR="00776A24">
        <w:rPr>
          <w:rFonts w:ascii="Times New Roman" w:eastAsia="Times New Roman" w:hAnsi="Times New Roman" w:cs="Times New Roman"/>
          <w:sz w:val="24"/>
          <w:szCs w:val="24"/>
          <w:lang w:val="en-GB" w:eastAsia="it-IT"/>
        </w:rPr>
        <w:t xml:space="preserve">, </w:t>
      </w:r>
      <w:r w:rsidR="00776A24" w:rsidRPr="00D126E4">
        <w:rPr>
          <w:rFonts w:ascii="Times New Roman" w:eastAsia="Times New Roman" w:hAnsi="Times New Roman" w:cs="Times New Roman"/>
          <w:i/>
          <w:iCs/>
          <w:sz w:val="24"/>
          <w:szCs w:val="24"/>
          <w:lang w:val="en-GB" w:eastAsia="it-IT"/>
        </w:rPr>
        <w:t>α</w:t>
      </w:r>
      <w:r w:rsidR="00776A24">
        <w:rPr>
          <w:rFonts w:ascii="Times New Roman" w:eastAsia="Times New Roman" w:hAnsi="Times New Roman" w:cs="Times New Roman"/>
          <w:sz w:val="24"/>
          <w:szCs w:val="24"/>
          <w:lang w:val="en-GB" w:eastAsia="it-IT"/>
        </w:rPr>
        <w:t xml:space="preserve"> = 1.78, </w:t>
      </w:r>
      <w:r w:rsidR="00776A24" w:rsidRPr="00D126E4">
        <w:rPr>
          <w:rFonts w:ascii="Times New Roman" w:eastAsia="Times New Roman" w:hAnsi="Times New Roman" w:cs="Times New Roman"/>
          <w:i/>
          <w:iCs/>
          <w:sz w:val="24"/>
          <w:szCs w:val="24"/>
          <w:lang w:val="en-GB" w:eastAsia="it-IT"/>
        </w:rPr>
        <w:t>β</w:t>
      </w:r>
      <w:r w:rsidR="00776A24">
        <w:rPr>
          <w:rFonts w:ascii="Times New Roman" w:eastAsia="Times New Roman" w:hAnsi="Times New Roman" w:cs="Times New Roman"/>
          <w:sz w:val="24"/>
          <w:szCs w:val="24"/>
          <w:lang w:val="en-GB" w:eastAsia="it-IT"/>
        </w:rPr>
        <w:t xml:space="preserve"> = 22.22.</w:t>
      </w:r>
    </w:p>
    <w:p w14:paraId="7802DF50" w14:textId="7DF231F8" w:rsidR="00DE125A" w:rsidRPr="002D6660" w:rsidRDefault="00DE125A" w:rsidP="00DE125A">
      <w:pPr>
        <w:spacing w:after="0" w:line="480" w:lineRule="auto"/>
        <w:jc w:val="both"/>
        <w:rPr>
          <w:rFonts w:ascii="Times New Roman" w:eastAsia="Times New Roman" w:hAnsi="Times New Roman" w:cs="Times New Roman"/>
          <w:sz w:val="24"/>
          <w:szCs w:val="24"/>
          <w:lang w:val="en-GB" w:eastAsia="it-IT"/>
        </w:rPr>
      </w:pPr>
      <w:r w:rsidRPr="00A7476C">
        <w:rPr>
          <w:rFonts w:ascii="Times New Roman" w:eastAsia="Times New Roman" w:hAnsi="Times New Roman" w:cs="Times New Roman"/>
          <w:b/>
          <w:bCs/>
          <w:sz w:val="24"/>
          <w:szCs w:val="24"/>
          <w:lang w:val="en-GB" w:eastAsia="it-IT"/>
        </w:rPr>
        <w:t>Effect Size</w:t>
      </w:r>
      <w:r>
        <w:rPr>
          <w:rFonts w:ascii="Times New Roman" w:eastAsia="Times New Roman" w:hAnsi="Times New Roman" w:cs="Times New Roman"/>
          <w:b/>
          <w:bCs/>
          <w:sz w:val="24"/>
          <w:szCs w:val="24"/>
          <w:lang w:val="en-GB" w:eastAsia="it-IT"/>
        </w:rPr>
        <w:t xml:space="preserve"> Divided by Treatment Approach</w:t>
      </w:r>
    </w:p>
    <w:p w14:paraId="6971E5C5" w14:textId="77777777" w:rsidR="0090796B" w:rsidRDefault="002D6660" w:rsidP="002D6660">
      <w:pPr>
        <w:spacing w:after="0" w:line="480" w:lineRule="auto"/>
        <w:ind w:firstLine="567"/>
        <w:jc w:val="both"/>
        <w:rPr>
          <w:rFonts w:ascii="Times New Roman" w:eastAsia="Times New Roman" w:hAnsi="Times New Roman" w:cs="Times New Roman"/>
          <w:sz w:val="24"/>
          <w:szCs w:val="24"/>
          <w:lang w:val="en-GB" w:eastAsia="it-IT"/>
        </w:rPr>
      </w:pPr>
      <w:r w:rsidRPr="002D6660">
        <w:rPr>
          <w:rFonts w:ascii="Times New Roman" w:eastAsia="Times New Roman" w:hAnsi="Times New Roman" w:cs="Times New Roman"/>
          <w:sz w:val="24"/>
          <w:szCs w:val="24"/>
          <w:lang w:val="en-GB" w:eastAsia="it-IT"/>
        </w:rPr>
        <w:t>Concerning the analyses separate by treatment approach, only “phonics instruction” and “phonemic awareness instruction”</w:t>
      </w:r>
      <w:r w:rsidR="00DE125A">
        <w:rPr>
          <w:rFonts w:ascii="Times New Roman" w:eastAsia="Times New Roman" w:hAnsi="Times New Roman" w:cs="Times New Roman"/>
          <w:sz w:val="24"/>
          <w:szCs w:val="24"/>
          <w:lang w:val="en-GB" w:eastAsia="it-IT"/>
        </w:rPr>
        <w:t>,</w:t>
      </w:r>
      <w:r w:rsidRPr="002D6660">
        <w:rPr>
          <w:rFonts w:ascii="Times New Roman" w:eastAsia="Times New Roman" w:hAnsi="Times New Roman" w:cs="Times New Roman"/>
          <w:sz w:val="24"/>
          <w:szCs w:val="24"/>
          <w:lang w:val="en-GB" w:eastAsia="it-IT"/>
        </w:rPr>
        <w:t xml:space="preserve"> among all approaches reviewed by </w:t>
      </w:r>
      <w:proofErr w:type="spellStart"/>
      <w:r w:rsidRPr="002D6660">
        <w:rPr>
          <w:rFonts w:ascii="Times New Roman" w:eastAsia="Times New Roman" w:hAnsi="Times New Roman" w:cs="Times New Roman"/>
          <w:sz w:val="24"/>
          <w:szCs w:val="24"/>
          <w:lang w:val="en-GB" w:eastAsia="it-IT"/>
        </w:rPr>
        <w:t>Galuschka</w:t>
      </w:r>
      <w:proofErr w:type="spellEnd"/>
      <w:r w:rsidRPr="002D6660">
        <w:rPr>
          <w:rFonts w:ascii="Times New Roman" w:eastAsia="Times New Roman" w:hAnsi="Times New Roman" w:cs="Times New Roman"/>
          <w:sz w:val="24"/>
          <w:szCs w:val="24"/>
          <w:lang w:val="en-GB" w:eastAsia="it-IT"/>
        </w:rPr>
        <w:t xml:space="preserve"> et al. (2014)</w:t>
      </w:r>
      <w:r w:rsidR="00DE125A">
        <w:rPr>
          <w:rFonts w:ascii="Times New Roman" w:eastAsia="Times New Roman" w:hAnsi="Times New Roman" w:cs="Times New Roman"/>
          <w:sz w:val="24"/>
          <w:szCs w:val="24"/>
          <w:lang w:val="en-GB" w:eastAsia="it-IT"/>
        </w:rPr>
        <w:t xml:space="preserve">, </w:t>
      </w:r>
      <w:r w:rsidRPr="002D6660">
        <w:rPr>
          <w:rFonts w:ascii="Times New Roman" w:eastAsia="Times New Roman" w:hAnsi="Times New Roman" w:cs="Times New Roman"/>
          <w:sz w:val="24"/>
          <w:szCs w:val="24"/>
          <w:lang w:val="en-GB" w:eastAsia="it-IT"/>
        </w:rPr>
        <w:t xml:space="preserve">were represented in at least three studies that we reviewed. </w:t>
      </w:r>
      <w:r w:rsidR="00DE125A">
        <w:rPr>
          <w:rFonts w:ascii="Times New Roman" w:eastAsia="Times New Roman" w:hAnsi="Times New Roman" w:cs="Times New Roman"/>
          <w:sz w:val="24"/>
          <w:szCs w:val="24"/>
          <w:lang w:val="en-GB" w:eastAsia="it-IT"/>
        </w:rPr>
        <w:t xml:space="preserve">For the mean effect size of these two treatment approaches, we directly used the estimates provided by </w:t>
      </w:r>
      <w:proofErr w:type="spellStart"/>
      <w:r w:rsidR="00DE125A">
        <w:rPr>
          <w:rFonts w:ascii="Times New Roman" w:eastAsia="Times New Roman" w:hAnsi="Times New Roman" w:cs="Times New Roman"/>
          <w:sz w:val="24"/>
          <w:szCs w:val="24"/>
          <w:lang w:val="en-GB" w:eastAsia="it-IT"/>
        </w:rPr>
        <w:t>Galuschka</w:t>
      </w:r>
      <w:proofErr w:type="spellEnd"/>
      <w:r w:rsidR="00DE125A">
        <w:rPr>
          <w:rFonts w:ascii="Times New Roman" w:eastAsia="Times New Roman" w:hAnsi="Times New Roman" w:cs="Times New Roman"/>
          <w:sz w:val="24"/>
          <w:szCs w:val="24"/>
          <w:lang w:val="en-GB" w:eastAsia="it-IT"/>
        </w:rPr>
        <w:t xml:space="preserve"> et al. (2014) in their Table </w:t>
      </w:r>
      <w:r w:rsidR="0075699B">
        <w:rPr>
          <w:rFonts w:ascii="Times New Roman" w:eastAsia="Times New Roman" w:hAnsi="Times New Roman" w:cs="Times New Roman"/>
          <w:sz w:val="24"/>
          <w:szCs w:val="24"/>
          <w:lang w:val="en-GB" w:eastAsia="it-IT"/>
        </w:rPr>
        <w:t>1</w:t>
      </w:r>
      <w:r w:rsidR="0090796B">
        <w:rPr>
          <w:rFonts w:ascii="Times New Roman" w:eastAsia="Times New Roman" w:hAnsi="Times New Roman" w:cs="Times New Roman"/>
          <w:sz w:val="24"/>
          <w:szCs w:val="24"/>
          <w:lang w:val="en-GB" w:eastAsia="it-IT"/>
        </w:rPr>
        <w:t xml:space="preserve"> and elsewhere in their paper</w:t>
      </w:r>
      <w:r w:rsidR="00DE125A">
        <w:rPr>
          <w:rFonts w:ascii="Times New Roman" w:eastAsia="Times New Roman" w:hAnsi="Times New Roman" w:cs="Times New Roman"/>
          <w:sz w:val="24"/>
          <w:szCs w:val="24"/>
          <w:lang w:val="en-GB" w:eastAsia="it-IT"/>
        </w:rPr>
        <w:t>.</w:t>
      </w:r>
      <w:r w:rsidR="00A3413A">
        <w:rPr>
          <w:rFonts w:ascii="Times New Roman" w:eastAsia="Times New Roman" w:hAnsi="Times New Roman" w:cs="Times New Roman"/>
          <w:sz w:val="24"/>
          <w:szCs w:val="24"/>
          <w:lang w:val="en-GB" w:eastAsia="it-IT"/>
        </w:rPr>
        <w:t xml:space="preserve"> </w:t>
      </w:r>
      <w:r w:rsidR="006001B5">
        <w:rPr>
          <w:rFonts w:ascii="Times New Roman" w:eastAsia="Times New Roman" w:hAnsi="Times New Roman" w:cs="Times New Roman"/>
          <w:sz w:val="24"/>
          <w:szCs w:val="24"/>
          <w:lang w:val="en-GB" w:eastAsia="it-IT"/>
        </w:rPr>
        <w:t>T</w:t>
      </w:r>
      <w:r w:rsidR="00A3413A">
        <w:rPr>
          <w:rFonts w:ascii="Times New Roman" w:eastAsia="Times New Roman" w:hAnsi="Times New Roman" w:cs="Times New Roman"/>
          <w:sz w:val="24"/>
          <w:szCs w:val="24"/>
          <w:lang w:val="en-GB" w:eastAsia="it-IT"/>
        </w:rPr>
        <w:t>he standard errors</w:t>
      </w:r>
      <w:r w:rsidR="006001B5">
        <w:rPr>
          <w:rFonts w:ascii="Times New Roman" w:eastAsia="Times New Roman" w:hAnsi="Times New Roman" w:cs="Times New Roman"/>
          <w:sz w:val="24"/>
          <w:szCs w:val="24"/>
          <w:lang w:val="en-GB" w:eastAsia="it-IT"/>
        </w:rPr>
        <w:t xml:space="preserve">, </w:t>
      </w:r>
      <w:r w:rsidR="00A3413A">
        <w:rPr>
          <w:rFonts w:ascii="Times New Roman" w:eastAsia="Times New Roman" w:hAnsi="Times New Roman" w:cs="Times New Roman"/>
          <w:sz w:val="24"/>
          <w:szCs w:val="24"/>
          <w:lang w:val="en-GB" w:eastAsia="it-IT"/>
        </w:rPr>
        <w:t xml:space="preserve">which serve as the </w:t>
      </w:r>
      <w:r w:rsidR="00A3413A" w:rsidRPr="00D126E4">
        <w:rPr>
          <w:rFonts w:ascii="Times New Roman" w:eastAsia="Times New Roman" w:hAnsi="Times New Roman" w:cs="Times New Roman"/>
          <w:i/>
          <w:iCs/>
          <w:sz w:val="24"/>
          <w:szCs w:val="24"/>
          <w:lang w:val="en-GB" w:eastAsia="it-IT"/>
        </w:rPr>
        <w:t>SD</w:t>
      </w:r>
      <w:r w:rsidR="00A3413A">
        <w:rPr>
          <w:rFonts w:ascii="Times New Roman" w:eastAsia="Times New Roman" w:hAnsi="Times New Roman" w:cs="Times New Roman"/>
          <w:sz w:val="24"/>
          <w:szCs w:val="24"/>
          <w:lang w:val="en-GB" w:eastAsia="it-IT"/>
        </w:rPr>
        <w:t xml:space="preserve"> </w:t>
      </w:r>
      <w:r w:rsidR="006001B5">
        <w:rPr>
          <w:rFonts w:ascii="Times New Roman" w:eastAsia="Times New Roman" w:hAnsi="Times New Roman" w:cs="Times New Roman"/>
          <w:sz w:val="24"/>
          <w:szCs w:val="24"/>
          <w:lang w:val="en-GB" w:eastAsia="it-IT"/>
        </w:rPr>
        <w:t>for our</w:t>
      </w:r>
      <w:r w:rsidR="00A3413A">
        <w:rPr>
          <w:rFonts w:ascii="Times New Roman" w:eastAsia="Times New Roman" w:hAnsi="Times New Roman" w:cs="Times New Roman"/>
          <w:sz w:val="24"/>
          <w:szCs w:val="24"/>
          <w:lang w:val="en-GB" w:eastAsia="it-IT"/>
        </w:rPr>
        <w:t xml:space="preserve"> prior distribution, however, </w:t>
      </w:r>
      <w:r w:rsidR="006001B5">
        <w:rPr>
          <w:rFonts w:ascii="Times New Roman" w:eastAsia="Times New Roman" w:hAnsi="Times New Roman" w:cs="Times New Roman"/>
          <w:sz w:val="24"/>
          <w:szCs w:val="24"/>
          <w:lang w:val="en-GB" w:eastAsia="it-IT"/>
        </w:rPr>
        <w:t xml:space="preserve">were not reported by the authors. Therefore, </w:t>
      </w:r>
      <w:r w:rsidR="00A3413A">
        <w:rPr>
          <w:rFonts w:ascii="Times New Roman" w:eastAsia="Times New Roman" w:hAnsi="Times New Roman" w:cs="Times New Roman"/>
          <w:sz w:val="24"/>
          <w:szCs w:val="24"/>
          <w:lang w:val="en-GB" w:eastAsia="it-IT"/>
        </w:rPr>
        <w:t>we had to compute them back from the 95% CI bounds.</w:t>
      </w:r>
    </w:p>
    <w:p w14:paraId="4D95AB79" w14:textId="6DDCABF7" w:rsidR="007749D8" w:rsidRDefault="0090796B" w:rsidP="002D6660">
      <w:pPr>
        <w:spacing w:after="0" w:line="480" w:lineRule="auto"/>
        <w:ind w:firstLine="567"/>
        <w:jc w:val="both"/>
        <w:rPr>
          <w:rFonts w:ascii="Times New Roman" w:eastAsia="Times New Roman" w:hAnsi="Times New Roman" w:cs="Times New Roman"/>
          <w:sz w:val="24"/>
          <w:szCs w:val="24"/>
          <w:lang w:val="en-GB" w:eastAsia="it-IT"/>
        </w:rPr>
      </w:pPr>
      <w:r>
        <w:rPr>
          <w:rFonts w:ascii="Times New Roman" w:eastAsia="Times New Roman" w:hAnsi="Times New Roman" w:cs="Times New Roman"/>
          <w:sz w:val="24"/>
          <w:szCs w:val="24"/>
          <w:lang w:val="en-GB" w:eastAsia="it-IT"/>
        </w:rPr>
        <w:t>F</w:t>
      </w:r>
      <w:r w:rsidR="00BB3472">
        <w:rPr>
          <w:rFonts w:ascii="Times New Roman" w:eastAsia="Times New Roman" w:hAnsi="Times New Roman" w:cs="Times New Roman"/>
          <w:sz w:val="24"/>
          <w:szCs w:val="24"/>
          <w:lang w:val="en-GB" w:eastAsia="it-IT"/>
        </w:rPr>
        <w:t xml:space="preserve">or “phonemic awareness instruction”, we set an informed prior distribution with </w:t>
      </w:r>
      <w:r w:rsidR="00BB3472" w:rsidRPr="00D126E4">
        <w:rPr>
          <w:rFonts w:ascii="Times New Roman" w:eastAsia="Times New Roman" w:hAnsi="Times New Roman" w:cs="Times New Roman"/>
          <w:i/>
          <w:iCs/>
          <w:sz w:val="24"/>
          <w:szCs w:val="24"/>
          <w:lang w:val="en-GB" w:eastAsia="it-IT"/>
        </w:rPr>
        <w:t>M</w:t>
      </w:r>
      <w:r w:rsidR="00BB3472">
        <w:rPr>
          <w:rFonts w:ascii="Times New Roman" w:eastAsia="Times New Roman" w:hAnsi="Times New Roman" w:cs="Times New Roman"/>
          <w:sz w:val="24"/>
          <w:szCs w:val="24"/>
          <w:lang w:val="en-GB" w:eastAsia="it-IT"/>
        </w:rPr>
        <w:t xml:space="preserve"> = </w:t>
      </w:r>
      <w:r w:rsidR="00037CA5">
        <w:rPr>
          <w:rFonts w:ascii="Times New Roman" w:eastAsia="Times New Roman" w:hAnsi="Times New Roman" w:cs="Times New Roman"/>
          <w:sz w:val="24"/>
          <w:szCs w:val="24"/>
          <w:lang w:val="en-GB" w:eastAsia="it-IT"/>
        </w:rPr>
        <w:t>0</w:t>
      </w:r>
      <w:r w:rsidR="00BB3472">
        <w:rPr>
          <w:rFonts w:ascii="Times New Roman" w:eastAsia="Times New Roman" w:hAnsi="Times New Roman" w:cs="Times New Roman"/>
          <w:sz w:val="24"/>
          <w:szCs w:val="24"/>
          <w:lang w:val="en-GB" w:eastAsia="it-IT"/>
        </w:rPr>
        <w:t xml:space="preserve">.28, </w:t>
      </w:r>
      <w:r w:rsidR="00BB3472" w:rsidRPr="00D126E4">
        <w:rPr>
          <w:rFonts w:ascii="Times New Roman" w:eastAsia="Times New Roman" w:hAnsi="Times New Roman" w:cs="Times New Roman"/>
          <w:i/>
          <w:iCs/>
          <w:sz w:val="24"/>
          <w:szCs w:val="24"/>
          <w:lang w:val="en-GB" w:eastAsia="it-IT"/>
        </w:rPr>
        <w:t>SD</w:t>
      </w:r>
      <w:r w:rsidR="00BB3472">
        <w:rPr>
          <w:rFonts w:ascii="Times New Roman" w:eastAsia="Times New Roman" w:hAnsi="Times New Roman" w:cs="Times New Roman"/>
          <w:sz w:val="24"/>
          <w:szCs w:val="24"/>
          <w:lang w:val="en-GB" w:eastAsia="it-IT"/>
        </w:rPr>
        <w:t xml:space="preserve"> = </w:t>
      </w:r>
      <w:r w:rsidR="00037CA5">
        <w:rPr>
          <w:rFonts w:ascii="Times New Roman" w:eastAsia="Times New Roman" w:hAnsi="Times New Roman" w:cs="Times New Roman"/>
          <w:sz w:val="24"/>
          <w:szCs w:val="24"/>
          <w:lang w:val="en-GB" w:eastAsia="it-IT"/>
        </w:rPr>
        <w:t>0</w:t>
      </w:r>
      <w:r w:rsidR="00BB3472">
        <w:rPr>
          <w:rFonts w:ascii="Times New Roman" w:eastAsia="Times New Roman" w:hAnsi="Times New Roman" w:cs="Times New Roman"/>
          <w:sz w:val="24"/>
          <w:szCs w:val="24"/>
          <w:lang w:val="en-GB" w:eastAsia="it-IT"/>
        </w:rPr>
        <w:t>.27</w:t>
      </w:r>
      <w:r w:rsidR="0081388C">
        <w:rPr>
          <w:rFonts w:ascii="Times New Roman" w:eastAsia="Times New Roman" w:hAnsi="Times New Roman" w:cs="Times New Roman"/>
          <w:sz w:val="24"/>
          <w:szCs w:val="24"/>
          <w:lang w:val="en-GB" w:eastAsia="it-IT"/>
        </w:rPr>
        <w:t xml:space="preserve">. For “phonics instruction”, we set an informed prior distribution with </w:t>
      </w:r>
      <w:r w:rsidR="0081388C" w:rsidRPr="00D126E4">
        <w:rPr>
          <w:rFonts w:ascii="Times New Roman" w:eastAsia="Times New Roman" w:hAnsi="Times New Roman" w:cs="Times New Roman"/>
          <w:i/>
          <w:iCs/>
          <w:sz w:val="24"/>
          <w:szCs w:val="24"/>
          <w:lang w:val="en-GB" w:eastAsia="it-IT"/>
        </w:rPr>
        <w:t>M</w:t>
      </w:r>
      <w:r w:rsidR="0081388C">
        <w:rPr>
          <w:rFonts w:ascii="Times New Roman" w:eastAsia="Times New Roman" w:hAnsi="Times New Roman" w:cs="Times New Roman"/>
          <w:sz w:val="24"/>
          <w:szCs w:val="24"/>
          <w:lang w:val="en-GB" w:eastAsia="it-IT"/>
        </w:rPr>
        <w:t xml:space="preserve"> = </w:t>
      </w:r>
      <w:r w:rsidR="00037CA5">
        <w:rPr>
          <w:rFonts w:ascii="Times New Roman" w:eastAsia="Times New Roman" w:hAnsi="Times New Roman" w:cs="Times New Roman"/>
          <w:sz w:val="24"/>
          <w:szCs w:val="24"/>
          <w:lang w:val="en-GB" w:eastAsia="it-IT"/>
        </w:rPr>
        <w:t>0</w:t>
      </w:r>
      <w:r w:rsidR="0081388C">
        <w:rPr>
          <w:rFonts w:ascii="Times New Roman" w:eastAsia="Times New Roman" w:hAnsi="Times New Roman" w:cs="Times New Roman"/>
          <w:sz w:val="24"/>
          <w:szCs w:val="24"/>
          <w:lang w:val="en-GB" w:eastAsia="it-IT"/>
        </w:rPr>
        <w:t xml:space="preserve">.20, </w:t>
      </w:r>
      <w:r w:rsidR="0081388C" w:rsidRPr="00D126E4">
        <w:rPr>
          <w:rFonts w:ascii="Times New Roman" w:eastAsia="Times New Roman" w:hAnsi="Times New Roman" w:cs="Times New Roman"/>
          <w:i/>
          <w:iCs/>
          <w:sz w:val="24"/>
          <w:szCs w:val="24"/>
          <w:lang w:val="en-GB" w:eastAsia="it-IT"/>
        </w:rPr>
        <w:t>SD</w:t>
      </w:r>
      <w:r w:rsidR="0081388C">
        <w:rPr>
          <w:rFonts w:ascii="Times New Roman" w:eastAsia="Times New Roman" w:hAnsi="Times New Roman" w:cs="Times New Roman"/>
          <w:sz w:val="24"/>
          <w:szCs w:val="24"/>
          <w:lang w:val="en-GB" w:eastAsia="it-IT"/>
        </w:rPr>
        <w:t xml:space="preserve"> = </w:t>
      </w:r>
      <w:r w:rsidR="00037CA5">
        <w:rPr>
          <w:rFonts w:ascii="Times New Roman" w:eastAsia="Times New Roman" w:hAnsi="Times New Roman" w:cs="Times New Roman"/>
          <w:sz w:val="24"/>
          <w:szCs w:val="24"/>
          <w:lang w:val="en-GB" w:eastAsia="it-IT"/>
        </w:rPr>
        <w:t>0</w:t>
      </w:r>
      <w:r w:rsidR="0081388C">
        <w:rPr>
          <w:rFonts w:ascii="Times New Roman" w:eastAsia="Times New Roman" w:hAnsi="Times New Roman" w:cs="Times New Roman"/>
          <w:sz w:val="24"/>
          <w:szCs w:val="24"/>
          <w:lang w:val="en-GB" w:eastAsia="it-IT"/>
        </w:rPr>
        <w:t>.08</w:t>
      </w:r>
      <w:r>
        <w:rPr>
          <w:rFonts w:ascii="Times New Roman" w:eastAsia="Times New Roman" w:hAnsi="Times New Roman" w:cs="Times New Roman"/>
          <w:sz w:val="24"/>
          <w:szCs w:val="24"/>
          <w:lang w:val="en-GB" w:eastAsia="it-IT"/>
        </w:rPr>
        <w:t xml:space="preserve">. </w:t>
      </w:r>
      <w:r w:rsidR="00BA0639">
        <w:rPr>
          <w:rFonts w:ascii="Times New Roman" w:eastAsia="Times New Roman" w:hAnsi="Times New Roman" w:cs="Times New Roman"/>
          <w:sz w:val="24"/>
          <w:szCs w:val="24"/>
          <w:lang w:val="en-GB" w:eastAsia="it-IT"/>
        </w:rPr>
        <w:t xml:space="preserve">The latter </w:t>
      </w:r>
      <w:r w:rsidR="002609FD">
        <w:rPr>
          <w:rFonts w:ascii="Times New Roman" w:eastAsia="Times New Roman" w:hAnsi="Times New Roman" w:cs="Times New Roman"/>
          <w:sz w:val="24"/>
          <w:szCs w:val="24"/>
          <w:lang w:val="en-GB" w:eastAsia="it-IT"/>
        </w:rPr>
        <w:t>mean</w:t>
      </w:r>
      <w:r w:rsidR="00BA0639">
        <w:rPr>
          <w:rFonts w:ascii="Times New Roman" w:eastAsia="Times New Roman" w:hAnsi="Times New Roman" w:cs="Times New Roman"/>
          <w:sz w:val="24"/>
          <w:szCs w:val="24"/>
          <w:lang w:val="en-GB" w:eastAsia="it-IT"/>
        </w:rPr>
        <w:t xml:space="preserve"> does not represent the </w:t>
      </w:r>
      <w:r w:rsidR="00867421">
        <w:rPr>
          <w:rFonts w:ascii="Times New Roman" w:eastAsia="Times New Roman" w:hAnsi="Times New Roman" w:cs="Times New Roman"/>
          <w:sz w:val="24"/>
          <w:szCs w:val="24"/>
          <w:lang w:val="en-GB" w:eastAsia="it-IT"/>
        </w:rPr>
        <w:t xml:space="preserve">raw </w:t>
      </w:r>
      <w:r w:rsidR="00BA0639">
        <w:rPr>
          <w:rFonts w:ascii="Times New Roman" w:eastAsia="Times New Roman" w:hAnsi="Times New Roman" w:cs="Times New Roman"/>
          <w:sz w:val="24"/>
          <w:szCs w:val="24"/>
          <w:lang w:val="en-GB" w:eastAsia="it-IT"/>
        </w:rPr>
        <w:t xml:space="preserve">estimate provided by </w:t>
      </w:r>
      <w:proofErr w:type="spellStart"/>
      <w:r w:rsidR="00BA0639">
        <w:rPr>
          <w:rFonts w:ascii="Times New Roman" w:eastAsia="Times New Roman" w:hAnsi="Times New Roman" w:cs="Times New Roman"/>
          <w:sz w:val="24"/>
          <w:szCs w:val="24"/>
          <w:lang w:val="en-GB" w:eastAsia="it-IT"/>
        </w:rPr>
        <w:t>Galuschka</w:t>
      </w:r>
      <w:proofErr w:type="spellEnd"/>
      <w:r w:rsidR="00BA0639">
        <w:rPr>
          <w:rFonts w:ascii="Times New Roman" w:eastAsia="Times New Roman" w:hAnsi="Times New Roman" w:cs="Times New Roman"/>
          <w:sz w:val="24"/>
          <w:szCs w:val="24"/>
          <w:lang w:val="en-GB" w:eastAsia="it-IT"/>
        </w:rPr>
        <w:t xml:space="preserve"> et al. (2014) for this treatment approach, but </w:t>
      </w:r>
      <w:r w:rsidR="00E171B3">
        <w:rPr>
          <w:rFonts w:ascii="Times New Roman" w:eastAsia="Times New Roman" w:hAnsi="Times New Roman" w:cs="Times New Roman"/>
          <w:sz w:val="24"/>
          <w:szCs w:val="24"/>
          <w:lang w:val="en-GB" w:eastAsia="it-IT"/>
        </w:rPr>
        <w:t>the</w:t>
      </w:r>
      <w:r w:rsidR="00BA0639">
        <w:rPr>
          <w:rFonts w:ascii="Times New Roman" w:eastAsia="Times New Roman" w:hAnsi="Times New Roman" w:cs="Times New Roman"/>
          <w:sz w:val="24"/>
          <w:szCs w:val="24"/>
          <w:lang w:val="en-GB" w:eastAsia="it-IT"/>
        </w:rPr>
        <w:t xml:space="preserve"> estimate adjusted for the publication bias</w:t>
      </w:r>
      <w:r w:rsidR="00E171B3">
        <w:rPr>
          <w:rFonts w:ascii="Times New Roman" w:eastAsia="Times New Roman" w:hAnsi="Times New Roman" w:cs="Times New Roman"/>
          <w:sz w:val="24"/>
          <w:szCs w:val="24"/>
          <w:lang w:val="en-GB" w:eastAsia="it-IT"/>
        </w:rPr>
        <w:t xml:space="preserve"> as reported by the authors</w:t>
      </w:r>
      <w:r w:rsidR="00BA0639">
        <w:rPr>
          <w:rFonts w:ascii="Times New Roman" w:eastAsia="Times New Roman" w:hAnsi="Times New Roman" w:cs="Times New Roman"/>
          <w:sz w:val="24"/>
          <w:szCs w:val="24"/>
          <w:lang w:val="en-GB" w:eastAsia="it-IT"/>
        </w:rPr>
        <w:t>.</w:t>
      </w:r>
      <w:r w:rsidR="00E171B3">
        <w:rPr>
          <w:rFonts w:ascii="Times New Roman" w:eastAsia="Times New Roman" w:hAnsi="Times New Roman" w:cs="Times New Roman"/>
          <w:sz w:val="24"/>
          <w:szCs w:val="24"/>
          <w:lang w:val="en-GB" w:eastAsia="it-IT"/>
        </w:rPr>
        <w:t xml:space="preserve"> For all other treatment approaches that we investigated, there was no specific prior information in the meta-analysis by </w:t>
      </w:r>
      <w:proofErr w:type="spellStart"/>
      <w:r w:rsidR="00E171B3">
        <w:rPr>
          <w:rFonts w:ascii="Times New Roman" w:eastAsia="Times New Roman" w:hAnsi="Times New Roman" w:cs="Times New Roman"/>
          <w:sz w:val="24"/>
          <w:szCs w:val="24"/>
          <w:lang w:val="en-GB" w:eastAsia="it-IT"/>
        </w:rPr>
        <w:t>Galuschka</w:t>
      </w:r>
      <w:proofErr w:type="spellEnd"/>
      <w:r w:rsidR="00E171B3">
        <w:rPr>
          <w:rFonts w:ascii="Times New Roman" w:eastAsia="Times New Roman" w:hAnsi="Times New Roman" w:cs="Times New Roman"/>
          <w:sz w:val="24"/>
          <w:szCs w:val="24"/>
          <w:lang w:val="en-GB" w:eastAsia="it-IT"/>
        </w:rPr>
        <w:t xml:space="preserve"> et al. (2014). Therefore, we defined weakly informed prior distributions centred on the point estimate of the overall effect size </w:t>
      </w:r>
      <w:r w:rsidR="00B41287">
        <w:rPr>
          <w:rFonts w:ascii="Times New Roman" w:eastAsia="Times New Roman" w:hAnsi="Times New Roman" w:cs="Times New Roman"/>
          <w:sz w:val="24"/>
          <w:szCs w:val="24"/>
          <w:lang w:val="en-GB" w:eastAsia="it-IT"/>
        </w:rPr>
        <w:t>(</w:t>
      </w:r>
      <w:r w:rsidR="00E171B3">
        <w:rPr>
          <w:rFonts w:ascii="Times New Roman" w:eastAsia="Times New Roman" w:hAnsi="Times New Roman" w:cs="Times New Roman"/>
          <w:sz w:val="24"/>
          <w:szCs w:val="24"/>
          <w:lang w:val="en-GB" w:eastAsia="it-IT"/>
        </w:rPr>
        <w:t>as defined in the previous section</w:t>
      </w:r>
      <w:r w:rsidR="00B41287">
        <w:rPr>
          <w:rFonts w:ascii="Times New Roman" w:eastAsia="Times New Roman" w:hAnsi="Times New Roman" w:cs="Times New Roman"/>
          <w:sz w:val="24"/>
          <w:szCs w:val="24"/>
          <w:lang w:val="en-GB" w:eastAsia="it-IT"/>
        </w:rPr>
        <w:t xml:space="preserve">, </w:t>
      </w:r>
      <w:r w:rsidR="00E171B3">
        <w:rPr>
          <w:rFonts w:ascii="Times New Roman" w:eastAsia="Times New Roman" w:hAnsi="Times New Roman" w:cs="Times New Roman"/>
          <w:sz w:val="24"/>
          <w:szCs w:val="24"/>
          <w:lang w:val="en-GB" w:eastAsia="it-IT"/>
        </w:rPr>
        <w:t xml:space="preserve">i.e., </w:t>
      </w:r>
      <w:r w:rsidR="00E171B3" w:rsidRPr="00037CA5">
        <w:rPr>
          <w:rFonts w:ascii="Times New Roman" w:eastAsia="Times New Roman" w:hAnsi="Times New Roman" w:cs="Times New Roman"/>
          <w:i/>
          <w:iCs/>
          <w:sz w:val="24"/>
          <w:szCs w:val="24"/>
          <w:lang w:val="en-GB" w:eastAsia="it-IT"/>
        </w:rPr>
        <w:t>M</w:t>
      </w:r>
      <w:r w:rsidR="00E171B3">
        <w:rPr>
          <w:rFonts w:ascii="Times New Roman" w:eastAsia="Times New Roman" w:hAnsi="Times New Roman" w:cs="Times New Roman"/>
          <w:sz w:val="24"/>
          <w:szCs w:val="24"/>
          <w:lang w:val="en-GB" w:eastAsia="it-IT"/>
        </w:rPr>
        <w:t xml:space="preserve"> = </w:t>
      </w:r>
      <w:r w:rsidR="00037CA5">
        <w:rPr>
          <w:rFonts w:ascii="Times New Roman" w:eastAsia="Times New Roman" w:hAnsi="Times New Roman" w:cs="Times New Roman"/>
          <w:sz w:val="24"/>
          <w:szCs w:val="24"/>
          <w:lang w:val="en-GB" w:eastAsia="it-IT"/>
        </w:rPr>
        <w:t>0</w:t>
      </w:r>
      <w:r w:rsidR="00E171B3">
        <w:rPr>
          <w:rFonts w:ascii="Times New Roman" w:eastAsia="Times New Roman" w:hAnsi="Times New Roman" w:cs="Times New Roman"/>
          <w:sz w:val="24"/>
          <w:szCs w:val="24"/>
          <w:lang w:val="en-GB" w:eastAsia="it-IT"/>
        </w:rPr>
        <w:t xml:space="preserve">.30), but with very large uncertainty, </w:t>
      </w:r>
      <w:r w:rsidR="00E171B3" w:rsidRPr="00037CA5">
        <w:rPr>
          <w:rFonts w:ascii="Times New Roman" w:eastAsia="Times New Roman" w:hAnsi="Times New Roman" w:cs="Times New Roman"/>
          <w:i/>
          <w:iCs/>
          <w:sz w:val="24"/>
          <w:szCs w:val="24"/>
          <w:lang w:val="en-GB" w:eastAsia="it-IT"/>
        </w:rPr>
        <w:t>SD</w:t>
      </w:r>
      <w:r w:rsidR="00E171B3">
        <w:rPr>
          <w:rFonts w:ascii="Times New Roman" w:eastAsia="Times New Roman" w:hAnsi="Times New Roman" w:cs="Times New Roman"/>
          <w:sz w:val="24"/>
          <w:szCs w:val="24"/>
          <w:lang w:val="en-GB" w:eastAsia="it-IT"/>
        </w:rPr>
        <w:t xml:space="preserve"> = </w:t>
      </w:r>
      <w:r w:rsidR="00037CA5">
        <w:rPr>
          <w:rFonts w:ascii="Times New Roman" w:eastAsia="Times New Roman" w:hAnsi="Times New Roman" w:cs="Times New Roman"/>
          <w:sz w:val="24"/>
          <w:szCs w:val="24"/>
          <w:lang w:val="en-GB" w:eastAsia="it-IT"/>
        </w:rPr>
        <w:t>0</w:t>
      </w:r>
      <w:r w:rsidR="00E171B3">
        <w:rPr>
          <w:rFonts w:ascii="Times New Roman" w:eastAsia="Times New Roman" w:hAnsi="Times New Roman" w:cs="Times New Roman"/>
          <w:sz w:val="24"/>
          <w:szCs w:val="24"/>
          <w:lang w:val="en-GB" w:eastAsia="it-IT"/>
        </w:rPr>
        <w:t xml:space="preserve">.50. </w:t>
      </w:r>
      <w:r w:rsidR="0019775D">
        <w:rPr>
          <w:rFonts w:ascii="Times New Roman" w:eastAsia="Times New Roman" w:hAnsi="Times New Roman" w:cs="Times New Roman"/>
          <w:sz w:val="24"/>
          <w:szCs w:val="24"/>
          <w:lang w:val="en-GB" w:eastAsia="it-IT"/>
        </w:rPr>
        <w:t xml:space="preserve">In this way, the prior distribution is centred on a plausible mean </w:t>
      </w:r>
      <w:r w:rsidR="00037CA5">
        <w:rPr>
          <w:rFonts w:ascii="Times New Roman" w:eastAsia="Times New Roman" w:hAnsi="Times New Roman" w:cs="Times New Roman"/>
          <w:sz w:val="24"/>
          <w:szCs w:val="24"/>
          <w:lang w:val="en-GB" w:eastAsia="it-IT"/>
        </w:rPr>
        <w:t>value,</w:t>
      </w:r>
      <w:r w:rsidR="0019775D">
        <w:rPr>
          <w:rFonts w:ascii="Times New Roman" w:eastAsia="Times New Roman" w:hAnsi="Times New Roman" w:cs="Times New Roman"/>
          <w:sz w:val="24"/>
          <w:szCs w:val="24"/>
          <w:lang w:val="en-GB" w:eastAsia="it-IT"/>
        </w:rPr>
        <w:t xml:space="preserve"> but its span of possible values ranges from well below </w:t>
      </w:r>
      <w:r w:rsidR="009737AE">
        <w:rPr>
          <w:rFonts w:ascii="Times New Roman" w:eastAsia="Times New Roman" w:hAnsi="Times New Roman" w:cs="Times New Roman"/>
          <w:sz w:val="24"/>
          <w:szCs w:val="24"/>
          <w:lang w:val="en-GB" w:eastAsia="it-IT"/>
        </w:rPr>
        <w:t>zero</w:t>
      </w:r>
      <w:r w:rsidR="0019775D">
        <w:rPr>
          <w:rFonts w:ascii="Times New Roman" w:eastAsia="Times New Roman" w:hAnsi="Times New Roman" w:cs="Times New Roman"/>
          <w:sz w:val="24"/>
          <w:szCs w:val="24"/>
          <w:lang w:val="en-GB" w:eastAsia="it-IT"/>
        </w:rPr>
        <w:t xml:space="preserve"> to well above 1.00.</w:t>
      </w:r>
    </w:p>
    <w:p w14:paraId="44CD4E2E" w14:textId="1F996486" w:rsidR="00987162" w:rsidRDefault="00987162">
      <w:pPr>
        <w:rPr>
          <w:rFonts w:ascii="Times New Roman" w:eastAsia="Times New Roman" w:hAnsi="Times New Roman" w:cs="Times New Roman"/>
          <w:sz w:val="24"/>
          <w:szCs w:val="24"/>
          <w:lang w:val="en-GB" w:eastAsia="it-IT"/>
        </w:rPr>
      </w:pPr>
      <w:r>
        <w:rPr>
          <w:rFonts w:ascii="Times New Roman" w:eastAsia="Times New Roman" w:hAnsi="Times New Roman" w:cs="Times New Roman"/>
          <w:sz w:val="24"/>
          <w:szCs w:val="24"/>
          <w:lang w:val="en-GB" w:eastAsia="it-IT"/>
        </w:rPr>
        <w:br w:type="page"/>
      </w:r>
    </w:p>
    <w:p w14:paraId="4949B032" w14:textId="77777777" w:rsidR="00E75205" w:rsidRDefault="00E75205" w:rsidP="00A35B1C">
      <w:pPr>
        <w:spacing w:after="0" w:line="480" w:lineRule="auto"/>
        <w:jc w:val="center"/>
        <w:rPr>
          <w:rFonts w:ascii="Times New Roman" w:eastAsia="Times New Roman" w:hAnsi="Times New Roman" w:cs="Times New Roman"/>
          <w:b/>
          <w:bCs/>
          <w:sz w:val="24"/>
          <w:szCs w:val="24"/>
          <w:lang w:val="en-GB" w:eastAsia="it-IT"/>
        </w:rPr>
        <w:sectPr w:rsidR="00E75205" w:rsidSect="00F84596">
          <w:headerReference w:type="default" r:id="rId8"/>
          <w:footerReference w:type="even" r:id="rId9"/>
          <w:footerReference w:type="default" r:id="rId10"/>
          <w:pgSz w:w="12240" w:h="15840"/>
          <w:pgMar w:top="1440" w:right="1440" w:bottom="1440" w:left="1440" w:header="709" w:footer="709" w:gutter="0"/>
          <w:cols w:space="708"/>
          <w:docGrid w:linePitch="360"/>
        </w:sectPr>
      </w:pPr>
    </w:p>
    <w:p w14:paraId="5AB238B4" w14:textId="15D5E1F2" w:rsidR="0019775D" w:rsidRPr="0076082A" w:rsidRDefault="00A35B1C" w:rsidP="00A35B1C">
      <w:pPr>
        <w:spacing w:after="0" w:line="480" w:lineRule="auto"/>
        <w:jc w:val="center"/>
        <w:rPr>
          <w:rFonts w:ascii="Times New Roman" w:eastAsia="Times New Roman" w:hAnsi="Times New Roman" w:cs="Times New Roman"/>
          <w:b/>
          <w:bCs/>
          <w:color w:val="0070C0"/>
          <w:sz w:val="24"/>
          <w:szCs w:val="24"/>
          <w:lang w:val="en-GB" w:eastAsia="it-IT"/>
        </w:rPr>
      </w:pPr>
      <w:r w:rsidRPr="0076082A">
        <w:rPr>
          <w:rFonts w:ascii="Times New Roman" w:eastAsia="Times New Roman" w:hAnsi="Times New Roman" w:cs="Times New Roman"/>
          <w:b/>
          <w:bCs/>
          <w:color w:val="0070C0"/>
          <w:sz w:val="24"/>
          <w:szCs w:val="24"/>
          <w:lang w:val="en-GB" w:eastAsia="it-IT"/>
        </w:rPr>
        <w:lastRenderedPageBreak/>
        <w:t xml:space="preserve">PART 2 – </w:t>
      </w:r>
      <w:r w:rsidR="00E75205" w:rsidRPr="0076082A">
        <w:rPr>
          <w:rFonts w:ascii="Times New Roman" w:eastAsia="Times New Roman" w:hAnsi="Times New Roman" w:cs="Times New Roman"/>
          <w:b/>
          <w:bCs/>
          <w:color w:val="0070C0"/>
          <w:sz w:val="24"/>
          <w:szCs w:val="24"/>
          <w:lang w:val="en-GB" w:eastAsia="it-IT"/>
        </w:rPr>
        <w:t>Treatment Efficacy Divided by Treatment Approach</w:t>
      </w:r>
    </w:p>
    <w:p w14:paraId="2A632966" w14:textId="52213EAD" w:rsidR="00AA6A00" w:rsidRDefault="00A517C8" w:rsidP="009B2524">
      <w:pPr>
        <w:spacing w:after="0" w:line="480" w:lineRule="auto"/>
        <w:ind w:firstLine="567"/>
        <w:rPr>
          <w:rFonts w:ascii="Times New Roman" w:hAnsi="Times New Roman" w:cs="Times New Roman"/>
          <w:color w:val="0070C0"/>
          <w:sz w:val="24"/>
          <w:szCs w:val="24"/>
        </w:rPr>
      </w:pPr>
      <w:r>
        <w:rPr>
          <w:rFonts w:ascii="Times New Roman" w:hAnsi="Times New Roman" w:cs="Times New Roman"/>
          <w:color w:val="0070C0"/>
          <w:sz w:val="24"/>
          <w:szCs w:val="24"/>
        </w:rPr>
        <w:t>Here</w:t>
      </w:r>
      <w:r w:rsidR="009B2524" w:rsidRPr="009B2524">
        <w:rPr>
          <w:rFonts w:ascii="Times New Roman" w:hAnsi="Times New Roman" w:cs="Times New Roman"/>
          <w:color w:val="0070C0"/>
          <w:sz w:val="24"/>
          <w:szCs w:val="24"/>
        </w:rPr>
        <w:t xml:space="preserve"> we report </w:t>
      </w:r>
      <w:r w:rsidR="009B2524">
        <w:rPr>
          <w:rFonts w:ascii="Times New Roman" w:hAnsi="Times New Roman" w:cs="Times New Roman"/>
          <w:color w:val="0070C0"/>
          <w:sz w:val="24"/>
          <w:szCs w:val="24"/>
        </w:rPr>
        <w:t>estimated effect size</w:t>
      </w:r>
      <w:r w:rsidR="0052587A">
        <w:rPr>
          <w:rFonts w:ascii="Times New Roman" w:hAnsi="Times New Roman" w:cs="Times New Roman"/>
          <w:color w:val="0070C0"/>
          <w:sz w:val="24"/>
          <w:szCs w:val="24"/>
        </w:rPr>
        <w:t>s</w:t>
      </w:r>
      <w:r w:rsidR="009B2524">
        <w:rPr>
          <w:rFonts w:ascii="Times New Roman" w:hAnsi="Times New Roman" w:cs="Times New Roman"/>
          <w:color w:val="0070C0"/>
          <w:sz w:val="24"/>
          <w:szCs w:val="24"/>
        </w:rPr>
        <w:t xml:space="preserve"> for treatment efficacy divided by treatment approach. This was limited to</w:t>
      </w:r>
      <w:r w:rsidR="009305FA">
        <w:rPr>
          <w:rFonts w:ascii="Times New Roman" w:hAnsi="Times New Roman" w:cs="Times New Roman"/>
          <w:color w:val="0070C0"/>
          <w:sz w:val="24"/>
          <w:szCs w:val="24"/>
        </w:rPr>
        <w:t xml:space="preserve"> the</w:t>
      </w:r>
      <w:r w:rsidR="009B2524">
        <w:rPr>
          <w:rFonts w:ascii="Times New Roman" w:hAnsi="Times New Roman" w:cs="Times New Roman"/>
          <w:color w:val="0070C0"/>
          <w:sz w:val="24"/>
          <w:szCs w:val="24"/>
        </w:rPr>
        <w:t xml:space="preserve"> treatment approaches </w:t>
      </w:r>
      <w:r w:rsidR="0076082A">
        <w:rPr>
          <w:rFonts w:ascii="Times New Roman" w:hAnsi="Times New Roman" w:cs="Times New Roman"/>
          <w:color w:val="0070C0"/>
          <w:sz w:val="24"/>
          <w:szCs w:val="24"/>
        </w:rPr>
        <w:t xml:space="preserve">for which there were at least three studies each. </w:t>
      </w:r>
      <w:r w:rsidR="001E682F">
        <w:rPr>
          <w:rFonts w:ascii="Times New Roman" w:hAnsi="Times New Roman" w:cs="Times New Roman"/>
          <w:color w:val="0070C0"/>
          <w:sz w:val="24"/>
          <w:szCs w:val="24"/>
        </w:rPr>
        <w:t xml:space="preserve">Details on data analysis are reported in the manuscript. Prior distributions were defined in the previous section of this Supplemental materials document. </w:t>
      </w:r>
      <w:r w:rsidR="000C5DA7">
        <w:rPr>
          <w:rFonts w:ascii="Times New Roman" w:hAnsi="Times New Roman" w:cs="Times New Roman"/>
          <w:color w:val="0070C0"/>
          <w:sz w:val="24"/>
          <w:szCs w:val="24"/>
        </w:rPr>
        <w:t>Re</w:t>
      </w:r>
      <w:r w:rsidR="001E682F">
        <w:rPr>
          <w:rFonts w:ascii="Times New Roman" w:hAnsi="Times New Roman" w:cs="Times New Roman"/>
          <w:color w:val="0070C0"/>
          <w:sz w:val="24"/>
          <w:szCs w:val="24"/>
        </w:rPr>
        <w:t xml:space="preserve">sults are reported </w:t>
      </w:r>
      <w:r w:rsidR="00ED26E0">
        <w:rPr>
          <w:rFonts w:ascii="Times New Roman" w:hAnsi="Times New Roman" w:cs="Times New Roman"/>
          <w:color w:val="0070C0"/>
          <w:sz w:val="24"/>
          <w:szCs w:val="24"/>
        </w:rPr>
        <w:t>below in Table S1.</w:t>
      </w:r>
    </w:p>
    <w:p w14:paraId="6A854DE4" w14:textId="77777777" w:rsidR="000C5DA7" w:rsidRDefault="000C5DA7" w:rsidP="00804D8C">
      <w:pPr>
        <w:spacing w:after="0" w:line="480" w:lineRule="auto"/>
        <w:ind w:left="709" w:hanging="709"/>
        <w:rPr>
          <w:rFonts w:ascii="Times New Roman" w:hAnsi="Times New Roman" w:cs="Times New Roman"/>
          <w:b/>
          <w:bCs/>
          <w:color w:val="0070C0"/>
          <w:sz w:val="24"/>
          <w:szCs w:val="24"/>
        </w:rPr>
      </w:pPr>
    </w:p>
    <w:p w14:paraId="2AF9393E" w14:textId="06C2640F" w:rsidR="00E75205" w:rsidRPr="00401224" w:rsidRDefault="00E75205" w:rsidP="00804D8C">
      <w:pPr>
        <w:spacing w:after="0" w:line="480" w:lineRule="auto"/>
        <w:ind w:left="709" w:hanging="709"/>
        <w:rPr>
          <w:rFonts w:ascii="Times New Roman" w:hAnsi="Times New Roman" w:cs="Times New Roman"/>
          <w:b/>
          <w:bCs/>
          <w:color w:val="0070C0"/>
          <w:sz w:val="24"/>
          <w:szCs w:val="24"/>
        </w:rPr>
      </w:pPr>
      <w:r w:rsidRPr="00401224">
        <w:rPr>
          <w:rFonts w:ascii="Times New Roman" w:hAnsi="Times New Roman" w:cs="Times New Roman"/>
          <w:b/>
          <w:bCs/>
          <w:color w:val="0070C0"/>
          <w:sz w:val="24"/>
          <w:szCs w:val="24"/>
        </w:rPr>
        <w:t xml:space="preserve">Table </w:t>
      </w:r>
      <w:r w:rsidR="00401224" w:rsidRPr="00401224">
        <w:rPr>
          <w:rFonts w:ascii="Times New Roman" w:hAnsi="Times New Roman" w:cs="Times New Roman"/>
          <w:b/>
          <w:bCs/>
          <w:color w:val="0070C0"/>
          <w:sz w:val="24"/>
          <w:szCs w:val="24"/>
        </w:rPr>
        <w:t>S</w:t>
      </w:r>
      <w:r w:rsidRPr="00401224">
        <w:rPr>
          <w:rFonts w:ascii="Times New Roman" w:hAnsi="Times New Roman" w:cs="Times New Roman"/>
          <w:b/>
          <w:bCs/>
          <w:color w:val="0070C0"/>
          <w:sz w:val="24"/>
          <w:szCs w:val="24"/>
        </w:rPr>
        <w:t>1</w:t>
      </w:r>
    </w:p>
    <w:p w14:paraId="3615D983" w14:textId="77777777" w:rsidR="00E75205" w:rsidRPr="00E75205" w:rsidRDefault="00E75205" w:rsidP="00804D8C">
      <w:pPr>
        <w:spacing w:after="0" w:line="480" w:lineRule="auto"/>
        <w:ind w:left="709" w:hanging="709"/>
        <w:rPr>
          <w:rFonts w:ascii="Times New Roman" w:hAnsi="Times New Roman" w:cs="Times New Roman"/>
          <w:i/>
          <w:iCs/>
          <w:color w:val="000000" w:themeColor="text1"/>
          <w:sz w:val="24"/>
          <w:szCs w:val="24"/>
        </w:rPr>
      </w:pPr>
      <w:r w:rsidRPr="00E75205">
        <w:rPr>
          <w:rFonts w:ascii="Times New Roman" w:hAnsi="Times New Roman" w:cs="Times New Roman"/>
          <w:i/>
          <w:iCs/>
          <w:color w:val="000000" w:themeColor="text1"/>
          <w:sz w:val="24"/>
          <w:szCs w:val="24"/>
        </w:rPr>
        <w:t>Estimated efficacy of treatment approaches on reading performance</w:t>
      </w:r>
    </w:p>
    <w:tbl>
      <w:tblPr>
        <w:tblW w:w="13325"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3402"/>
        <w:gridCol w:w="993"/>
        <w:gridCol w:w="1559"/>
        <w:gridCol w:w="1276"/>
        <w:gridCol w:w="2126"/>
        <w:gridCol w:w="1276"/>
        <w:gridCol w:w="708"/>
        <w:gridCol w:w="709"/>
        <w:gridCol w:w="709"/>
        <w:gridCol w:w="567"/>
      </w:tblGrid>
      <w:tr w:rsidR="00150627" w:rsidRPr="00E75205" w14:paraId="7AF20FAD" w14:textId="6F16203C" w:rsidTr="001D2390">
        <w:trPr>
          <w:trHeight w:val="378"/>
        </w:trPr>
        <w:tc>
          <w:tcPr>
            <w:tcW w:w="3402" w:type="dxa"/>
            <w:vMerge w:val="restart"/>
            <w:tcBorders>
              <w:top w:val="single" w:sz="4" w:space="0" w:color="000000"/>
              <w:bottom w:val="single" w:sz="4" w:space="0" w:color="000000"/>
            </w:tcBorders>
            <w:shd w:val="clear" w:color="000000" w:fill="FFFFFF"/>
            <w:vAlign w:val="center"/>
          </w:tcPr>
          <w:p w14:paraId="7F465632" w14:textId="77777777" w:rsidR="00150627" w:rsidRPr="00E75205" w:rsidRDefault="00150627" w:rsidP="00804D8C">
            <w:pPr>
              <w:spacing w:after="0" w:line="240" w:lineRule="auto"/>
              <w:jc w:val="center"/>
              <w:rPr>
                <w:rFonts w:ascii="Times New Roman" w:hAnsi="Times New Roman" w:cs="Times New Roman"/>
                <w:b/>
                <w:bCs/>
                <w:color w:val="000000" w:themeColor="text1"/>
                <w:sz w:val="24"/>
                <w:szCs w:val="24"/>
              </w:rPr>
            </w:pPr>
            <w:r w:rsidRPr="00E75205">
              <w:rPr>
                <w:rFonts w:ascii="Times New Roman" w:hAnsi="Times New Roman" w:cs="Times New Roman"/>
                <w:b/>
                <w:bCs/>
                <w:color w:val="000000" w:themeColor="text1"/>
                <w:sz w:val="24"/>
                <w:szCs w:val="24"/>
              </w:rPr>
              <w:t>Treatment approach</w:t>
            </w:r>
          </w:p>
        </w:tc>
        <w:tc>
          <w:tcPr>
            <w:tcW w:w="993" w:type="dxa"/>
            <w:vMerge w:val="restart"/>
            <w:tcBorders>
              <w:top w:val="single" w:sz="4" w:space="0" w:color="000000"/>
              <w:bottom w:val="single" w:sz="4" w:space="0" w:color="000000"/>
            </w:tcBorders>
            <w:shd w:val="clear" w:color="000000" w:fill="FFFFFF"/>
            <w:vAlign w:val="center"/>
          </w:tcPr>
          <w:p w14:paraId="4865B3AD" w14:textId="77777777" w:rsidR="00150627" w:rsidRPr="00E75205" w:rsidRDefault="00150627" w:rsidP="00804D8C">
            <w:pPr>
              <w:spacing w:after="0" w:line="240" w:lineRule="auto"/>
              <w:jc w:val="center"/>
              <w:rPr>
                <w:rFonts w:ascii="Times New Roman" w:hAnsi="Times New Roman" w:cs="Times New Roman"/>
                <w:b/>
                <w:bCs/>
                <w:color w:val="000000" w:themeColor="text1"/>
                <w:sz w:val="24"/>
                <w:szCs w:val="24"/>
              </w:rPr>
            </w:pPr>
            <w:r w:rsidRPr="00E75205">
              <w:rPr>
                <w:rFonts w:ascii="Times New Roman" w:hAnsi="Times New Roman" w:cs="Times New Roman"/>
                <w:b/>
                <w:bCs/>
                <w:color w:val="000000" w:themeColor="text1"/>
                <w:sz w:val="24"/>
                <w:szCs w:val="24"/>
              </w:rPr>
              <w:t>N. of studies</w:t>
            </w:r>
          </w:p>
        </w:tc>
        <w:tc>
          <w:tcPr>
            <w:tcW w:w="1559" w:type="dxa"/>
            <w:vMerge w:val="restart"/>
            <w:tcBorders>
              <w:top w:val="single" w:sz="4" w:space="0" w:color="000000"/>
              <w:bottom w:val="single" w:sz="4" w:space="0" w:color="000000"/>
            </w:tcBorders>
            <w:shd w:val="clear" w:color="000000" w:fill="FFFFFF"/>
            <w:vAlign w:val="center"/>
          </w:tcPr>
          <w:p w14:paraId="00AAC2E7" w14:textId="77777777" w:rsidR="00150627" w:rsidRPr="00E75205" w:rsidRDefault="00150627" w:rsidP="00804D8C">
            <w:pPr>
              <w:spacing w:after="0" w:line="240" w:lineRule="auto"/>
              <w:jc w:val="center"/>
              <w:rPr>
                <w:rFonts w:ascii="Times New Roman" w:hAnsi="Times New Roman" w:cs="Times New Roman"/>
                <w:b/>
                <w:bCs/>
                <w:color w:val="000000" w:themeColor="text1"/>
                <w:sz w:val="24"/>
                <w:szCs w:val="24"/>
              </w:rPr>
            </w:pPr>
            <w:r w:rsidRPr="00E75205">
              <w:rPr>
                <w:rFonts w:ascii="Times New Roman" w:hAnsi="Times New Roman" w:cs="Times New Roman"/>
                <w:b/>
                <w:bCs/>
                <w:color w:val="000000" w:themeColor="text1"/>
                <w:sz w:val="24"/>
                <w:szCs w:val="24"/>
              </w:rPr>
              <w:t>N. of group comparisons</w:t>
            </w:r>
          </w:p>
        </w:tc>
        <w:tc>
          <w:tcPr>
            <w:tcW w:w="1276" w:type="dxa"/>
            <w:vMerge w:val="restart"/>
            <w:tcBorders>
              <w:top w:val="single" w:sz="4" w:space="0" w:color="000000"/>
              <w:bottom w:val="single" w:sz="4" w:space="0" w:color="000000"/>
            </w:tcBorders>
            <w:shd w:val="clear" w:color="000000" w:fill="FFFFFF"/>
            <w:vAlign w:val="center"/>
          </w:tcPr>
          <w:p w14:paraId="3203BD3C" w14:textId="77777777" w:rsidR="00150627" w:rsidRPr="00E75205" w:rsidRDefault="00150627" w:rsidP="00804D8C">
            <w:pPr>
              <w:spacing w:after="0" w:line="240" w:lineRule="auto"/>
              <w:jc w:val="center"/>
              <w:rPr>
                <w:rFonts w:ascii="Times New Roman" w:hAnsi="Times New Roman" w:cs="Times New Roman"/>
                <w:b/>
                <w:bCs/>
                <w:color w:val="000000" w:themeColor="text1"/>
                <w:sz w:val="24"/>
                <w:szCs w:val="24"/>
              </w:rPr>
            </w:pPr>
            <w:r w:rsidRPr="00E75205">
              <w:rPr>
                <w:rFonts w:ascii="Times New Roman" w:hAnsi="Times New Roman" w:cs="Times New Roman"/>
                <w:b/>
                <w:bCs/>
                <w:color w:val="000000" w:themeColor="text1"/>
                <w:sz w:val="24"/>
                <w:szCs w:val="24"/>
              </w:rPr>
              <w:t>Median N per group</w:t>
            </w:r>
          </w:p>
        </w:tc>
        <w:tc>
          <w:tcPr>
            <w:tcW w:w="2126" w:type="dxa"/>
            <w:vMerge w:val="restart"/>
            <w:tcBorders>
              <w:top w:val="single" w:sz="4" w:space="0" w:color="000000"/>
            </w:tcBorders>
            <w:shd w:val="clear" w:color="000000" w:fill="FFFFFF"/>
            <w:vAlign w:val="center"/>
          </w:tcPr>
          <w:p w14:paraId="547F6BCE" w14:textId="77777777" w:rsidR="00150627" w:rsidRPr="001D2390" w:rsidRDefault="00150627" w:rsidP="00153277">
            <w:pPr>
              <w:spacing w:after="0" w:line="240" w:lineRule="auto"/>
              <w:jc w:val="center"/>
              <w:rPr>
                <w:rFonts w:ascii="Times New Roman" w:hAnsi="Times New Roman" w:cs="Times New Roman"/>
                <w:b/>
                <w:bCs/>
                <w:color w:val="000000" w:themeColor="text1"/>
              </w:rPr>
            </w:pPr>
            <w:r w:rsidRPr="001D2390">
              <w:rPr>
                <w:rFonts w:ascii="Times New Roman" w:hAnsi="Times New Roman" w:cs="Times New Roman"/>
                <w:b/>
                <w:bCs/>
                <w:color w:val="000000" w:themeColor="text1"/>
              </w:rPr>
              <w:t>Prior distribution for the effect size</w:t>
            </w:r>
          </w:p>
          <w:p w14:paraId="3757AE57" w14:textId="77777777" w:rsidR="00150627" w:rsidRPr="001D2390" w:rsidRDefault="00150627" w:rsidP="00153277">
            <w:pPr>
              <w:spacing w:after="0" w:line="240" w:lineRule="auto"/>
              <w:jc w:val="center"/>
              <w:rPr>
                <w:rFonts w:ascii="Times New Roman" w:hAnsi="Times New Roman" w:cs="Times New Roman"/>
                <w:b/>
                <w:bCs/>
                <w:color w:val="000000" w:themeColor="text1"/>
              </w:rPr>
            </w:pPr>
            <w:r w:rsidRPr="001D2390">
              <w:rPr>
                <w:rFonts w:ascii="Times New Roman" w:hAnsi="Times New Roman" w:cs="Times New Roman"/>
                <w:b/>
                <w:bCs/>
                <w:color w:val="000000" w:themeColor="text1"/>
              </w:rPr>
              <w:t>Student’s t (</w:t>
            </w:r>
            <w:r w:rsidRPr="001D2390">
              <w:rPr>
                <w:rFonts w:ascii="Times New Roman" w:hAnsi="Times New Roman" w:cs="Times New Roman"/>
                <w:b/>
                <w:bCs/>
                <w:i/>
                <w:iCs/>
                <w:color w:val="000000" w:themeColor="text1"/>
              </w:rPr>
              <w:t>df</w:t>
            </w:r>
            <w:r w:rsidRPr="001D2390">
              <w:rPr>
                <w:rFonts w:ascii="Times New Roman" w:hAnsi="Times New Roman" w:cs="Times New Roman"/>
                <w:b/>
                <w:bCs/>
                <w:color w:val="000000" w:themeColor="text1"/>
              </w:rPr>
              <w:t xml:space="preserve"> = 3)</w:t>
            </w:r>
          </w:p>
        </w:tc>
        <w:tc>
          <w:tcPr>
            <w:tcW w:w="1276" w:type="dxa"/>
            <w:vMerge w:val="restart"/>
            <w:tcBorders>
              <w:top w:val="single" w:sz="4" w:space="0" w:color="000000"/>
              <w:bottom w:val="single" w:sz="4" w:space="0" w:color="000000"/>
            </w:tcBorders>
            <w:shd w:val="clear" w:color="000000" w:fill="FFFFFF"/>
            <w:vAlign w:val="center"/>
          </w:tcPr>
          <w:p w14:paraId="39C8225D" w14:textId="77777777" w:rsidR="00150627" w:rsidRPr="00E75205" w:rsidRDefault="00150627" w:rsidP="00804D8C">
            <w:pPr>
              <w:spacing w:after="0" w:line="240" w:lineRule="auto"/>
              <w:jc w:val="center"/>
              <w:rPr>
                <w:rFonts w:ascii="Times New Roman" w:hAnsi="Times New Roman" w:cs="Times New Roman"/>
                <w:b/>
                <w:bCs/>
                <w:color w:val="000000" w:themeColor="text1"/>
                <w:sz w:val="24"/>
                <w:szCs w:val="24"/>
              </w:rPr>
            </w:pPr>
            <w:r w:rsidRPr="00E75205">
              <w:rPr>
                <w:rFonts w:ascii="Times New Roman" w:hAnsi="Times New Roman" w:cs="Times New Roman"/>
                <w:b/>
                <w:bCs/>
                <w:color w:val="000000" w:themeColor="text1"/>
                <w:sz w:val="24"/>
                <w:szCs w:val="24"/>
              </w:rPr>
              <w:t>Estimated effect size</w:t>
            </w:r>
          </w:p>
        </w:tc>
        <w:tc>
          <w:tcPr>
            <w:tcW w:w="708" w:type="dxa"/>
            <w:vMerge w:val="restart"/>
            <w:tcBorders>
              <w:top w:val="single" w:sz="4" w:space="0" w:color="000000"/>
            </w:tcBorders>
            <w:shd w:val="clear" w:color="000000" w:fill="FFFFFF"/>
            <w:vAlign w:val="center"/>
          </w:tcPr>
          <w:p w14:paraId="4DDB0CB2" w14:textId="77777777" w:rsidR="00150627" w:rsidRPr="00E75205" w:rsidRDefault="00150627" w:rsidP="00804D8C">
            <w:pPr>
              <w:spacing w:after="0" w:line="240" w:lineRule="auto"/>
              <w:jc w:val="center"/>
              <w:rPr>
                <w:rFonts w:ascii="Times New Roman" w:hAnsi="Times New Roman" w:cs="Times New Roman"/>
                <w:b/>
                <w:bCs/>
                <w:color w:val="000000" w:themeColor="text1"/>
                <w:sz w:val="24"/>
                <w:szCs w:val="24"/>
              </w:rPr>
            </w:pPr>
            <w:r w:rsidRPr="00E75205">
              <w:rPr>
                <w:rFonts w:ascii="Times New Roman" w:hAnsi="Times New Roman" w:cs="Times New Roman"/>
                <w:b/>
                <w:bCs/>
                <w:color w:val="000000" w:themeColor="text1"/>
                <w:sz w:val="24"/>
                <w:szCs w:val="24"/>
              </w:rPr>
              <w:t>Std.</w:t>
            </w:r>
          </w:p>
          <w:p w14:paraId="6782EA5E" w14:textId="77777777" w:rsidR="00150627" w:rsidRPr="00E75205" w:rsidRDefault="00150627" w:rsidP="00804D8C">
            <w:pPr>
              <w:spacing w:after="0" w:line="240" w:lineRule="auto"/>
              <w:jc w:val="center"/>
              <w:rPr>
                <w:rFonts w:ascii="Times New Roman" w:hAnsi="Times New Roman" w:cs="Times New Roman"/>
                <w:b/>
                <w:bCs/>
                <w:color w:val="000000" w:themeColor="text1"/>
                <w:sz w:val="24"/>
                <w:szCs w:val="24"/>
              </w:rPr>
            </w:pPr>
            <w:r w:rsidRPr="00E75205">
              <w:rPr>
                <w:rFonts w:ascii="Times New Roman" w:hAnsi="Times New Roman" w:cs="Times New Roman"/>
                <w:b/>
                <w:bCs/>
                <w:color w:val="000000" w:themeColor="text1"/>
                <w:sz w:val="24"/>
                <w:szCs w:val="24"/>
              </w:rPr>
              <w:t>Err.</w:t>
            </w:r>
          </w:p>
        </w:tc>
        <w:tc>
          <w:tcPr>
            <w:tcW w:w="1418" w:type="dxa"/>
            <w:gridSpan w:val="2"/>
            <w:tcBorders>
              <w:top w:val="single" w:sz="4" w:space="0" w:color="000000"/>
            </w:tcBorders>
            <w:shd w:val="clear" w:color="000000" w:fill="FFFFFF"/>
            <w:vAlign w:val="center"/>
          </w:tcPr>
          <w:p w14:paraId="246612F5" w14:textId="7148E8A1" w:rsidR="00150627" w:rsidRPr="00E75205" w:rsidRDefault="00150627" w:rsidP="00804D8C">
            <w:pPr>
              <w:spacing w:after="0" w:line="240" w:lineRule="auto"/>
              <w:jc w:val="center"/>
              <w:rPr>
                <w:rFonts w:ascii="Times New Roman" w:hAnsi="Times New Roman" w:cs="Times New Roman"/>
                <w:b/>
                <w:bCs/>
                <w:color w:val="000000" w:themeColor="text1"/>
                <w:sz w:val="24"/>
                <w:szCs w:val="24"/>
              </w:rPr>
            </w:pPr>
            <w:r w:rsidRPr="00E75205">
              <w:rPr>
                <w:rFonts w:ascii="Times New Roman" w:hAnsi="Times New Roman" w:cs="Times New Roman"/>
                <w:b/>
                <w:bCs/>
                <w:color w:val="000000" w:themeColor="text1"/>
                <w:sz w:val="24"/>
                <w:szCs w:val="24"/>
              </w:rPr>
              <w:t xml:space="preserve">95% </w:t>
            </w:r>
            <w:r w:rsidR="00657545">
              <w:rPr>
                <w:rFonts w:ascii="Times New Roman" w:hAnsi="Times New Roman" w:cs="Times New Roman"/>
                <w:b/>
                <w:bCs/>
                <w:color w:val="000000" w:themeColor="text1"/>
                <w:sz w:val="24"/>
                <w:szCs w:val="24"/>
              </w:rPr>
              <w:t>B</w:t>
            </w:r>
            <w:r w:rsidRPr="00E75205">
              <w:rPr>
                <w:rFonts w:ascii="Times New Roman" w:hAnsi="Times New Roman" w:cs="Times New Roman"/>
                <w:b/>
                <w:bCs/>
                <w:color w:val="000000" w:themeColor="text1"/>
                <w:sz w:val="24"/>
                <w:szCs w:val="24"/>
              </w:rPr>
              <w:t>CI</w:t>
            </w:r>
          </w:p>
        </w:tc>
        <w:tc>
          <w:tcPr>
            <w:tcW w:w="567" w:type="dxa"/>
            <w:vMerge w:val="restart"/>
            <w:tcBorders>
              <w:top w:val="single" w:sz="4" w:space="0" w:color="000000"/>
            </w:tcBorders>
            <w:shd w:val="clear" w:color="000000" w:fill="FFFFFF"/>
            <w:vAlign w:val="center"/>
          </w:tcPr>
          <w:p w14:paraId="3EDF813A" w14:textId="0487D1AE" w:rsidR="00150627" w:rsidRPr="00E75205" w:rsidRDefault="00320546" w:rsidP="00804D8C">
            <w:pPr>
              <w:spacing w:after="0" w:line="240" w:lineRule="auto"/>
              <w:jc w:val="center"/>
              <w:rPr>
                <w:rFonts w:ascii="Times New Roman" w:hAnsi="Times New Roman" w:cs="Times New Roman"/>
                <w:b/>
                <w:bCs/>
                <w:color w:val="000000" w:themeColor="text1"/>
                <w:sz w:val="24"/>
                <w:szCs w:val="24"/>
              </w:rPr>
            </w:pPr>
            <w:r w:rsidRPr="00320546">
              <w:rPr>
                <w:rFonts w:ascii="Times New Roman" w:hAnsi="Times New Roman" w:cs="Times New Roman"/>
                <w:b/>
                <w:bCs/>
                <w:color w:val="000000" w:themeColor="text1"/>
                <w:sz w:val="24"/>
                <w:szCs w:val="24"/>
              </w:rPr>
              <w:t>τ</w:t>
            </w:r>
            <w:r w:rsidR="00FA7E2E" w:rsidRPr="00FA7E2E">
              <w:rPr>
                <w:rFonts w:ascii="Times New Roman" w:hAnsi="Times New Roman" w:cs="Times New Roman"/>
                <w:b/>
                <w:bCs/>
                <w:color w:val="000000" w:themeColor="text1"/>
                <w:sz w:val="24"/>
                <w:szCs w:val="24"/>
                <w:vertAlign w:val="superscript"/>
              </w:rPr>
              <w:t>†</w:t>
            </w:r>
          </w:p>
        </w:tc>
      </w:tr>
      <w:tr w:rsidR="00150627" w:rsidRPr="00E75205" w14:paraId="2DA99B90" w14:textId="1F6D6969" w:rsidTr="001D2390">
        <w:trPr>
          <w:trHeight w:val="378"/>
        </w:trPr>
        <w:tc>
          <w:tcPr>
            <w:tcW w:w="3402" w:type="dxa"/>
            <w:vMerge/>
            <w:tcBorders>
              <w:top w:val="single" w:sz="4" w:space="0" w:color="000000"/>
              <w:bottom w:val="single" w:sz="4" w:space="0" w:color="auto"/>
            </w:tcBorders>
            <w:shd w:val="clear" w:color="auto" w:fill="auto"/>
            <w:vAlign w:val="center"/>
          </w:tcPr>
          <w:p w14:paraId="33505569" w14:textId="77777777" w:rsidR="00150627" w:rsidRPr="00E75205" w:rsidRDefault="00150627" w:rsidP="00804D8C">
            <w:pPr>
              <w:spacing w:after="0" w:line="240" w:lineRule="auto"/>
              <w:rPr>
                <w:rFonts w:ascii="Times New Roman" w:hAnsi="Times New Roman" w:cs="Times New Roman"/>
                <w:b/>
                <w:bCs/>
                <w:color w:val="000000" w:themeColor="text1"/>
                <w:sz w:val="24"/>
                <w:szCs w:val="24"/>
              </w:rPr>
            </w:pPr>
          </w:p>
        </w:tc>
        <w:tc>
          <w:tcPr>
            <w:tcW w:w="993" w:type="dxa"/>
            <w:vMerge/>
            <w:tcBorders>
              <w:top w:val="single" w:sz="4" w:space="0" w:color="000000"/>
              <w:bottom w:val="single" w:sz="4" w:space="0" w:color="auto"/>
            </w:tcBorders>
            <w:shd w:val="clear" w:color="auto" w:fill="auto"/>
            <w:vAlign w:val="center"/>
          </w:tcPr>
          <w:p w14:paraId="2BE976D6" w14:textId="77777777" w:rsidR="00150627" w:rsidRPr="00E75205" w:rsidRDefault="00150627" w:rsidP="00804D8C">
            <w:pPr>
              <w:spacing w:after="0" w:line="240" w:lineRule="auto"/>
              <w:rPr>
                <w:rFonts w:ascii="Times New Roman" w:hAnsi="Times New Roman" w:cs="Times New Roman"/>
                <w:b/>
                <w:bCs/>
                <w:color w:val="000000" w:themeColor="text1"/>
                <w:sz w:val="24"/>
                <w:szCs w:val="24"/>
              </w:rPr>
            </w:pPr>
          </w:p>
        </w:tc>
        <w:tc>
          <w:tcPr>
            <w:tcW w:w="1559" w:type="dxa"/>
            <w:vMerge/>
            <w:tcBorders>
              <w:top w:val="single" w:sz="4" w:space="0" w:color="000000"/>
              <w:bottom w:val="single" w:sz="4" w:space="0" w:color="auto"/>
            </w:tcBorders>
            <w:shd w:val="clear" w:color="auto" w:fill="auto"/>
            <w:vAlign w:val="center"/>
          </w:tcPr>
          <w:p w14:paraId="3680B37A" w14:textId="77777777" w:rsidR="00150627" w:rsidRPr="00E75205" w:rsidRDefault="00150627" w:rsidP="00804D8C">
            <w:pPr>
              <w:spacing w:after="0" w:line="240" w:lineRule="auto"/>
              <w:rPr>
                <w:rFonts w:ascii="Times New Roman" w:hAnsi="Times New Roman" w:cs="Times New Roman"/>
                <w:b/>
                <w:bCs/>
                <w:color w:val="000000" w:themeColor="text1"/>
                <w:sz w:val="24"/>
                <w:szCs w:val="24"/>
              </w:rPr>
            </w:pPr>
          </w:p>
        </w:tc>
        <w:tc>
          <w:tcPr>
            <w:tcW w:w="1276" w:type="dxa"/>
            <w:vMerge/>
            <w:tcBorders>
              <w:top w:val="single" w:sz="4" w:space="0" w:color="000000"/>
              <w:bottom w:val="single" w:sz="4" w:space="0" w:color="auto"/>
            </w:tcBorders>
            <w:shd w:val="clear" w:color="auto" w:fill="auto"/>
            <w:vAlign w:val="center"/>
          </w:tcPr>
          <w:p w14:paraId="027230F5" w14:textId="77777777" w:rsidR="00150627" w:rsidRPr="00E75205" w:rsidRDefault="00150627" w:rsidP="00804D8C">
            <w:pPr>
              <w:spacing w:after="0" w:line="240" w:lineRule="auto"/>
              <w:rPr>
                <w:rFonts w:ascii="Times New Roman" w:hAnsi="Times New Roman" w:cs="Times New Roman"/>
                <w:b/>
                <w:bCs/>
                <w:color w:val="000000" w:themeColor="text1"/>
                <w:sz w:val="24"/>
                <w:szCs w:val="24"/>
              </w:rPr>
            </w:pPr>
          </w:p>
        </w:tc>
        <w:tc>
          <w:tcPr>
            <w:tcW w:w="2126" w:type="dxa"/>
            <w:vMerge/>
            <w:tcBorders>
              <w:bottom w:val="single" w:sz="4" w:space="0" w:color="auto"/>
            </w:tcBorders>
            <w:shd w:val="clear" w:color="auto" w:fill="auto"/>
            <w:vAlign w:val="center"/>
          </w:tcPr>
          <w:p w14:paraId="71CCCE1D" w14:textId="77777777" w:rsidR="00150627" w:rsidRPr="001D2390" w:rsidRDefault="00150627" w:rsidP="00153277">
            <w:pPr>
              <w:spacing w:after="0" w:line="240" w:lineRule="auto"/>
              <w:jc w:val="center"/>
              <w:rPr>
                <w:rFonts w:ascii="Times New Roman" w:hAnsi="Times New Roman" w:cs="Times New Roman"/>
                <w:b/>
                <w:bCs/>
                <w:color w:val="000000" w:themeColor="text1"/>
              </w:rPr>
            </w:pPr>
          </w:p>
        </w:tc>
        <w:tc>
          <w:tcPr>
            <w:tcW w:w="1276" w:type="dxa"/>
            <w:vMerge/>
            <w:tcBorders>
              <w:top w:val="single" w:sz="4" w:space="0" w:color="000000"/>
              <w:bottom w:val="single" w:sz="4" w:space="0" w:color="auto"/>
            </w:tcBorders>
            <w:shd w:val="clear" w:color="auto" w:fill="auto"/>
            <w:vAlign w:val="center"/>
          </w:tcPr>
          <w:p w14:paraId="590C27B2" w14:textId="77777777" w:rsidR="00150627" w:rsidRPr="00E75205" w:rsidRDefault="00150627" w:rsidP="00804D8C">
            <w:pPr>
              <w:spacing w:after="0" w:line="240" w:lineRule="auto"/>
              <w:rPr>
                <w:rFonts w:ascii="Times New Roman" w:hAnsi="Times New Roman" w:cs="Times New Roman"/>
                <w:b/>
                <w:bCs/>
                <w:color w:val="000000" w:themeColor="text1"/>
                <w:sz w:val="24"/>
                <w:szCs w:val="24"/>
              </w:rPr>
            </w:pPr>
          </w:p>
        </w:tc>
        <w:tc>
          <w:tcPr>
            <w:tcW w:w="708" w:type="dxa"/>
            <w:vMerge/>
            <w:tcBorders>
              <w:bottom w:val="single" w:sz="4" w:space="0" w:color="auto"/>
            </w:tcBorders>
            <w:shd w:val="clear" w:color="000000" w:fill="FFFFFF"/>
            <w:vAlign w:val="center"/>
          </w:tcPr>
          <w:p w14:paraId="425BBD7E" w14:textId="77777777" w:rsidR="00150627" w:rsidRPr="00E75205" w:rsidRDefault="00150627" w:rsidP="00804D8C">
            <w:pPr>
              <w:spacing w:after="0" w:line="240" w:lineRule="auto"/>
              <w:jc w:val="center"/>
              <w:rPr>
                <w:rFonts w:ascii="Times New Roman" w:hAnsi="Times New Roman" w:cs="Times New Roman"/>
                <w:b/>
                <w:bCs/>
                <w:color w:val="000000" w:themeColor="text1"/>
                <w:sz w:val="24"/>
                <w:szCs w:val="24"/>
              </w:rPr>
            </w:pPr>
          </w:p>
        </w:tc>
        <w:tc>
          <w:tcPr>
            <w:tcW w:w="709" w:type="dxa"/>
            <w:tcBorders>
              <w:bottom w:val="single" w:sz="4" w:space="0" w:color="auto"/>
            </w:tcBorders>
            <w:shd w:val="clear" w:color="000000" w:fill="FFFFFF"/>
            <w:vAlign w:val="center"/>
          </w:tcPr>
          <w:p w14:paraId="54815ED8" w14:textId="77777777" w:rsidR="00150627" w:rsidRPr="00E75205" w:rsidRDefault="00150627" w:rsidP="00804D8C">
            <w:pPr>
              <w:spacing w:after="0" w:line="240" w:lineRule="auto"/>
              <w:jc w:val="center"/>
              <w:rPr>
                <w:rFonts w:ascii="Times New Roman" w:hAnsi="Times New Roman" w:cs="Times New Roman"/>
                <w:b/>
                <w:bCs/>
                <w:color w:val="000000" w:themeColor="text1"/>
                <w:sz w:val="24"/>
                <w:szCs w:val="24"/>
              </w:rPr>
            </w:pPr>
            <w:r w:rsidRPr="00E75205">
              <w:rPr>
                <w:rFonts w:ascii="Times New Roman" w:hAnsi="Times New Roman" w:cs="Times New Roman"/>
                <w:b/>
                <w:bCs/>
                <w:color w:val="000000" w:themeColor="text1"/>
                <w:sz w:val="24"/>
                <w:szCs w:val="24"/>
              </w:rPr>
              <w:t>LL</w:t>
            </w:r>
          </w:p>
        </w:tc>
        <w:tc>
          <w:tcPr>
            <w:tcW w:w="709" w:type="dxa"/>
            <w:tcBorders>
              <w:bottom w:val="single" w:sz="4" w:space="0" w:color="auto"/>
            </w:tcBorders>
            <w:shd w:val="clear" w:color="000000" w:fill="FFFFFF"/>
            <w:vAlign w:val="center"/>
          </w:tcPr>
          <w:p w14:paraId="022056AB" w14:textId="77777777" w:rsidR="00150627" w:rsidRPr="00E75205" w:rsidRDefault="00150627" w:rsidP="00804D8C">
            <w:pPr>
              <w:spacing w:after="0" w:line="240" w:lineRule="auto"/>
              <w:jc w:val="center"/>
              <w:rPr>
                <w:rFonts w:ascii="Times New Roman" w:hAnsi="Times New Roman" w:cs="Times New Roman"/>
                <w:b/>
                <w:bCs/>
                <w:color w:val="000000" w:themeColor="text1"/>
                <w:sz w:val="24"/>
                <w:szCs w:val="24"/>
              </w:rPr>
            </w:pPr>
            <w:r w:rsidRPr="00E75205">
              <w:rPr>
                <w:rFonts w:ascii="Times New Roman" w:hAnsi="Times New Roman" w:cs="Times New Roman"/>
                <w:b/>
                <w:bCs/>
                <w:color w:val="000000" w:themeColor="text1"/>
                <w:sz w:val="24"/>
                <w:szCs w:val="24"/>
              </w:rPr>
              <w:t>UL</w:t>
            </w:r>
          </w:p>
        </w:tc>
        <w:tc>
          <w:tcPr>
            <w:tcW w:w="567" w:type="dxa"/>
            <w:vMerge/>
            <w:tcBorders>
              <w:bottom w:val="single" w:sz="4" w:space="0" w:color="auto"/>
            </w:tcBorders>
            <w:shd w:val="clear" w:color="000000" w:fill="FFFFFF"/>
            <w:vAlign w:val="center"/>
          </w:tcPr>
          <w:p w14:paraId="4371A4BB" w14:textId="77777777" w:rsidR="00150627" w:rsidRPr="00E75205" w:rsidRDefault="00150627" w:rsidP="00804D8C">
            <w:pPr>
              <w:spacing w:after="0" w:line="240" w:lineRule="auto"/>
              <w:jc w:val="center"/>
              <w:rPr>
                <w:rFonts w:ascii="Times New Roman" w:hAnsi="Times New Roman" w:cs="Times New Roman"/>
                <w:b/>
                <w:bCs/>
                <w:color w:val="000000" w:themeColor="text1"/>
                <w:sz w:val="24"/>
                <w:szCs w:val="24"/>
              </w:rPr>
            </w:pPr>
          </w:p>
        </w:tc>
      </w:tr>
      <w:tr w:rsidR="00150627" w:rsidRPr="00E75205" w14:paraId="73510F56" w14:textId="79C96DA0" w:rsidTr="001D2390">
        <w:trPr>
          <w:trHeight w:val="378"/>
        </w:trPr>
        <w:tc>
          <w:tcPr>
            <w:tcW w:w="3402" w:type="dxa"/>
            <w:tcBorders>
              <w:top w:val="single" w:sz="4" w:space="0" w:color="auto"/>
              <w:bottom w:val="nil"/>
            </w:tcBorders>
            <w:shd w:val="clear" w:color="000000" w:fill="FFFFFF"/>
            <w:vAlign w:val="center"/>
          </w:tcPr>
          <w:p w14:paraId="5EC1BB0E" w14:textId="77777777" w:rsidR="00150627" w:rsidRPr="00E75205" w:rsidRDefault="00150627" w:rsidP="00804D8C">
            <w:pPr>
              <w:spacing w:after="0" w:line="240" w:lineRule="auto"/>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Phonemic awareness instruction</w:t>
            </w:r>
          </w:p>
        </w:tc>
        <w:tc>
          <w:tcPr>
            <w:tcW w:w="993" w:type="dxa"/>
            <w:tcBorders>
              <w:top w:val="single" w:sz="4" w:space="0" w:color="auto"/>
              <w:bottom w:val="nil"/>
            </w:tcBorders>
            <w:shd w:val="clear" w:color="000000" w:fill="FFFFFF"/>
            <w:vAlign w:val="center"/>
          </w:tcPr>
          <w:p w14:paraId="4931ED77"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3</w:t>
            </w:r>
          </w:p>
        </w:tc>
        <w:tc>
          <w:tcPr>
            <w:tcW w:w="1559" w:type="dxa"/>
            <w:tcBorders>
              <w:top w:val="single" w:sz="4" w:space="0" w:color="auto"/>
              <w:bottom w:val="nil"/>
            </w:tcBorders>
            <w:shd w:val="clear" w:color="000000" w:fill="FFFFFF"/>
            <w:vAlign w:val="center"/>
          </w:tcPr>
          <w:p w14:paraId="1B6FBEDB"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3</w:t>
            </w:r>
          </w:p>
        </w:tc>
        <w:tc>
          <w:tcPr>
            <w:tcW w:w="1276" w:type="dxa"/>
            <w:tcBorders>
              <w:top w:val="single" w:sz="4" w:space="0" w:color="auto"/>
              <w:bottom w:val="nil"/>
            </w:tcBorders>
            <w:shd w:val="clear" w:color="000000" w:fill="FFFFFF"/>
            <w:vAlign w:val="center"/>
          </w:tcPr>
          <w:p w14:paraId="28F99C1F"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20</w:t>
            </w:r>
          </w:p>
        </w:tc>
        <w:tc>
          <w:tcPr>
            <w:tcW w:w="2126" w:type="dxa"/>
            <w:tcBorders>
              <w:top w:val="single" w:sz="4" w:space="0" w:color="auto"/>
              <w:bottom w:val="nil"/>
            </w:tcBorders>
            <w:shd w:val="clear" w:color="000000" w:fill="FFFFFF"/>
            <w:vAlign w:val="center"/>
          </w:tcPr>
          <w:p w14:paraId="0AE70C75" w14:textId="4FC48524" w:rsidR="00150627" w:rsidRPr="001D2390" w:rsidRDefault="00150627" w:rsidP="00153277">
            <w:pPr>
              <w:spacing w:after="0" w:line="240" w:lineRule="auto"/>
              <w:jc w:val="center"/>
              <w:rPr>
                <w:rFonts w:ascii="Times New Roman" w:hAnsi="Times New Roman" w:cs="Times New Roman"/>
                <w:color w:val="000000" w:themeColor="text1"/>
              </w:rPr>
            </w:pPr>
            <w:r w:rsidRPr="001D2390">
              <w:rPr>
                <w:rFonts w:ascii="Times New Roman" w:hAnsi="Times New Roman" w:cs="Times New Roman"/>
                <w:i/>
                <w:iCs/>
                <w:color w:val="000000" w:themeColor="text1"/>
              </w:rPr>
              <w:t>M</w:t>
            </w:r>
            <w:r w:rsidRPr="001D2390">
              <w:rPr>
                <w:rFonts w:ascii="Times New Roman" w:hAnsi="Times New Roman" w:cs="Times New Roman"/>
                <w:color w:val="000000" w:themeColor="text1"/>
              </w:rPr>
              <w:t xml:space="preserve">=0.28, </w:t>
            </w:r>
            <w:r w:rsidRPr="001D2390">
              <w:rPr>
                <w:rFonts w:ascii="Times New Roman" w:hAnsi="Times New Roman" w:cs="Times New Roman"/>
                <w:i/>
                <w:iCs/>
                <w:color w:val="000000" w:themeColor="text1"/>
              </w:rPr>
              <w:t>SD</w:t>
            </w:r>
            <w:r w:rsidRPr="001D2390">
              <w:rPr>
                <w:rFonts w:ascii="Times New Roman" w:hAnsi="Times New Roman" w:cs="Times New Roman"/>
                <w:color w:val="000000" w:themeColor="text1"/>
              </w:rPr>
              <w:t>=0.27</w:t>
            </w:r>
          </w:p>
        </w:tc>
        <w:tc>
          <w:tcPr>
            <w:tcW w:w="1276" w:type="dxa"/>
            <w:tcBorders>
              <w:top w:val="single" w:sz="4" w:space="0" w:color="auto"/>
              <w:bottom w:val="nil"/>
            </w:tcBorders>
            <w:shd w:val="clear" w:color="000000" w:fill="FFFFFF"/>
            <w:vAlign w:val="center"/>
          </w:tcPr>
          <w:p w14:paraId="5CD5AB03"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0.58</w:t>
            </w:r>
          </w:p>
        </w:tc>
        <w:tc>
          <w:tcPr>
            <w:tcW w:w="708" w:type="dxa"/>
            <w:tcBorders>
              <w:top w:val="single" w:sz="4" w:space="0" w:color="auto"/>
              <w:bottom w:val="nil"/>
            </w:tcBorders>
            <w:shd w:val="clear" w:color="000000" w:fill="FFFFFF"/>
            <w:vAlign w:val="center"/>
          </w:tcPr>
          <w:p w14:paraId="0C0E6903"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0.15</w:t>
            </w:r>
          </w:p>
        </w:tc>
        <w:tc>
          <w:tcPr>
            <w:tcW w:w="709" w:type="dxa"/>
            <w:tcBorders>
              <w:top w:val="single" w:sz="4" w:space="0" w:color="auto"/>
              <w:bottom w:val="nil"/>
            </w:tcBorders>
            <w:shd w:val="clear" w:color="000000" w:fill="FFFFFF"/>
            <w:vAlign w:val="center"/>
          </w:tcPr>
          <w:p w14:paraId="1FDF402E"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0.29</w:t>
            </w:r>
          </w:p>
        </w:tc>
        <w:tc>
          <w:tcPr>
            <w:tcW w:w="709" w:type="dxa"/>
            <w:tcBorders>
              <w:top w:val="single" w:sz="4" w:space="0" w:color="auto"/>
              <w:bottom w:val="nil"/>
            </w:tcBorders>
            <w:shd w:val="clear" w:color="000000" w:fill="FFFFFF"/>
            <w:vAlign w:val="center"/>
          </w:tcPr>
          <w:p w14:paraId="52ADDF01"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0.87</w:t>
            </w:r>
          </w:p>
        </w:tc>
        <w:tc>
          <w:tcPr>
            <w:tcW w:w="567" w:type="dxa"/>
            <w:tcBorders>
              <w:top w:val="single" w:sz="4" w:space="0" w:color="auto"/>
              <w:bottom w:val="nil"/>
            </w:tcBorders>
            <w:shd w:val="clear" w:color="000000" w:fill="FFFFFF"/>
            <w:vAlign w:val="center"/>
          </w:tcPr>
          <w:p w14:paraId="3F7F8F35" w14:textId="51113651" w:rsidR="00150627" w:rsidRPr="00CB3ED7" w:rsidRDefault="00A84C08" w:rsidP="00804D8C">
            <w:pPr>
              <w:spacing w:after="0" w:line="240" w:lineRule="auto"/>
              <w:jc w:val="center"/>
              <w:rPr>
                <w:rFonts w:ascii="Times New Roman" w:hAnsi="Times New Roman" w:cs="Times New Roman"/>
                <w:color w:val="0070C0"/>
                <w:sz w:val="24"/>
                <w:szCs w:val="24"/>
              </w:rPr>
            </w:pPr>
            <w:r w:rsidRPr="00CB3ED7">
              <w:rPr>
                <w:rFonts w:ascii="Times New Roman" w:hAnsi="Times New Roman" w:cs="Times New Roman"/>
                <w:color w:val="0070C0"/>
                <w:sz w:val="24"/>
                <w:szCs w:val="24"/>
              </w:rPr>
              <w:t>.12</w:t>
            </w:r>
          </w:p>
        </w:tc>
      </w:tr>
      <w:tr w:rsidR="00150627" w:rsidRPr="00E75205" w14:paraId="70464A28" w14:textId="1BA5B64E" w:rsidTr="001D2390">
        <w:trPr>
          <w:trHeight w:val="378"/>
        </w:trPr>
        <w:tc>
          <w:tcPr>
            <w:tcW w:w="3402" w:type="dxa"/>
            <w:tcBorders>
              <w:top w:val="nil"/>
              <w:bottom w:val="nil"/>
            </w:tcBorders>
            <w:shd w:val="clear" w:color="000000" w:fill="FFFFFF"/>
            <w:vAlign w:val="center"/>
          </w:tcPr>
          <w:p w14:paraId="07C65E9E" w14:textId="77777777" w:rsidR="00150627" w:rsidRPr="00E75205" w:rsidRDefault="00150627" w:rsidP="00804D8C">
            <w:pPr>
              <w:spacing w:after="0" w:line="240" w:lineRule="auto"/>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Phonics instruction</w:t>
            </w:r>
          </w:p>
        </w:tc>
        <w:tc>
          <w:tcPr>
            <w:tcW w:w="993" w:type="dxa"/>
            <w:tcBorders>
              <w:top w:val="nil"/>
              <w:bottom w:val="nil"/>
            </w:tcBorders>
            <w:shd w:val="clear" w:color="000000" w:fill="FFFFFF"/>
            <w:vAlign w:val="center"/>
          </w:tcPr>
          <w:p w14:paraId="602876FD"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7</w:t>
            </w:r>
          </w:p>
        </w:tc>
        <w:tc>
          <w:tcPr>
            <w:tcW w:w="1559" w:type="dxa"/>
            <w:tcBorders>
              <w:top w:val="nil"/>
              <w:bottom w:val="nil"/>
            </w:tcBorders>
            <w:shd w:val="clear" w:color="000000" w:fill="FFFFFF"/>
            <w:vAlign w:val="center"/>
          </w:tcPr>
          <w:p w14:paraId="0B69AC78"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8</w:t>
            </w:r>
          </w:p>
        </w:tc>
        <w:tc>
          <w:tcPr>
            <w:tcW w:w="1276" w:type="dxa"/>
            <w:tcBorders>
              <w:top w:val="nil"/>
              <w:bottom w:val="nil"/>
            </w:tcBorders>
            <w:shd w:val="clear" w:color="000000" w:fill="FFFFFF"/>
            <w:vAlign w:val="center"/>
          </w:tcPr>
          <w:p w14:paraId="700A21ED"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23</w:t>
            </w:r>
          </w:p>
        </w:tc>
        <w:tc>
          <w:tcPr>
            <w:tcW w:w="2126" w:type="dxa"/>
            <w:tcBorders>
              <w:top w:val="nil"/>
              <w:bottom w:val="nil"/>
            </w:tcBorders>
            <w:shd w:val="clear" w:color="000000" w:fill="FFFFFF"/>
            <w:vAlign w:val="center"/>
          </w:tcPr>
          <w:p w14:paraId="4FC472FD" w14:textId="07DAF293" w:rsidR="00150627" w:rsidRPr="001D2390" w:rsidRDefault="00150627" w:rsidP="00153277">
            <w:pPr>
              <w:spacing w:after="0" w:line="240" w:lineRule="auto"/>
              <w:jc w:val="center"/>
              <w:rPr>
                <w:rFonts w:ascii="Times New Roman" w:hAnsi="Times New Roman" w:cs="Times New Roman"/>
                <w:color w:val="000000" w:themeColor="text1"/>
              </w:rPr>
            </w:pPr>
            <w:r w:rsidRPr="001D2390">
              <w:rPr>
                <w:rFonts w:ascii="Times New Roman" w:hAnsi="Times New Roman" w:cs="Times New Roman"/>
                <w:i/>
                <w:iCs/>
                <w:color w:val="000000" w:themeColor="text1"/>
              </w:rPr>
              <w:t>M</w:t>
            </w:r>
            <w:r w:rsidRPr="001D2390">
              <w:rPr>
                <w:rFonts w:ascii="Times New Roman" w:hAnsi="Times New Roman" w:cs="Times New Roman"/>
                <w:color w:val="000000" w:themeColor="text1"/>
              </w:rPr>
              <w:t xml:space="preserve">=0.20, </w:t>
            </w:r>
            <w:r w:rsidRPr="001D2390">
              <w:rPr>
                <w:rFonts w:ascii="Times New Roman" w:hAnsi="Times New Roman" w:cs="Times New Roman"/>
                <w:i/>
                <w:iCs/>
                <w:color w:val="000000" w:themeColor="text1"/>
              </w:rPr>
              <w:t>SD</w:t>
            </w:r>
            <w:r w:rsidRPr="001D2390">
              <w:rPr>
                <w:rFonts w:ascii="Times New Roman" w:hAnsi="Times New Roman" w:cs="Times New Roman"/>
                <w:color w:val="000000" w:themeColor="text1"/>
              </w:rPr>
              <w:t>=0.08</w:t>
            </w:r>
          </w:p>
        </w:tc>
        <w:tc>
          <w:tcPr>
            <w:tcW w:w="1276" w:type="dxa"/>
            <w:tcBorders>
              <w:top w:val="nil"/>
              <w:bottom w:val="nil"/>
            </w:tcBorders>
            <w:shd w:val="clear" w:color="000000" w:fill="FFFFFF"/>
            <w:vAlign w:val="center"/>
          </w:tcPr>
          <w:p w14:paraId="3E7C3159"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0.44</w:t>
            </w:r>
          </w:p>
        </w:tc>
        <w:tc>
          <w:tcPr>
            <w:tcW w:w="708" w:type="dxa"/>
            <w:tcBorders>
              <w:top w:val="nil"/>
              <w:bottom w:val="nil"/>
            </w:tcBorders>
            <w:shd w:val="clear" w:color="000000" w:fill="FFFFFF"/>
            <w:vAlign w:val="center"/>
          </w:tcPr>
          <w:p w14:paraId="3D7DEA37"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0.07</w:t>
            </w:r>
          </w:p>
        </w:tc>
        <w:tc>
          <w:tcPr>
            <w:tcW w:w="709" w:type="dxa"/>
            <w:tcBorders>
              <w:top w:val="nil"/>
              <w:bottom w:val="nil"/>
            </w:tcBorders>
            <w:shd w:val="clear" w:color="000000" w:fill="FFFFFF"/>
            <w:vAlign w:val="center"/>
          </w:tcPr>
          <w:p w14:paraId="228F1361"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0.27</w:t>
            </w:r>
          </w:p>
        </w:tc>
        <w:tc>
          <w:tcPr>
            <w:tcW w:w="709" w:type="dxa"/>
            <w:tcBorders>
              <w:top w:val="nil"/>
              <w:bottom w:val="nil"/>
            </w:tcBorders>
            <w:shd w:val="clear" w:color="000000" w:fill="FFFFFF"/>
            <w:vAlign w:val="center"/>
          </w:tcPr>
          <w:p w14:paraId="65E72A15"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0.57</w:t>
            </w:r>
          </w:p>
        </w:tc>
        <w:tc>
          <w:tcPr>
            <w:tcW w:w="567" w:type="dxa"/>
            <w:tcBorders>
              <w:top w:val="nil"/>
              <w:bottom w:val="nil"/>
            </w:tcBorders>
            <w:shd w:val="clear" w:color="000000" w:fill="FFFFFF"/>
            <w:vAlign w:val="center"/>
          </w:tcPr>
          <w:p w14:paraId="3F4F7DD7" w14:textId="34499C5B" w:rsidR="00150627" w:rsidRPr="00CB3ED7" w:rsidRDefault="00CB3ED7" w:rsidP="00804D8C">
            <w:pPr>
              <w:spacing w:after="0" w:line="240" w:lineRule="auto"/>
              <w:jc w:val="center"/>
              <w:rPr>
                <w:rFonts w:ascii="Times New Roman" w:hAnsi="Times New Roman" w:cs="Times New Roman"/>
                <w:color w:val="0070C0"/>
                <w:sz w:val="24"/>
                <w:szCs w:val="24"/>
              </w:rPr>
            </w:pPr>
            <w:r w:rsidRPr="00CB3ED7">
              <w:rPr>
                <w:rFonts w:ascii="Times New Roman" w:hAnsi="Times New Roman" w:cs="Times New Roman"/>
                <w:color w:val="0070C0"/>
                <w:sz w:val="24"/>
                <w:szCs w:val="24"/>
              </w:rPr>
              <w:t>.09</w:t>
            </w:r>
          </w:p>
        </w:tc>
      </w:tr>
      <w:tr w:rsidR="00150627" w:rsidRPr="00E75205" w14:paraId="7D3D7044" w14:textId="679B8116" w:rsidTr="001D2390">
        <w:trPr>
          <w:trHeight w:val="378"/>
        </w:trPr>
        <w:tc>
          <w:tcPr>
            <w:tcW w:w="3402" w:type="dxa"/>
            <w:tcBorders>
              <w:top w:val="nil"/>
              <w:bottom w:val="nil"/>
            </w:tcBorders>
            <w:shd w:val="clear" w:color="000000" w:fill="FFFFFF"/>
            <w:vAlign w:val="center"/>
          </w:tcPr>
          <w:p w14:paraId="5397DB43" w14:textId="77777777" w:rsidR="00150627" w:rsidRPr="00E75205" w:rsidRDefault="00150627" w:rsidP="00804D8C">
            <w:pPr>
              <w:spacing w:after="0" w:line="240" w:lineRule="auto"/>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Mixed</w:t>
            </w:r>
          </w:p>
        </w:tc>
        <w:tc>
          <w:tcPr>
            <w:tcW w:w="993" w:type="dxa"/>
            <w:tcBorders>
              <w:top w:val="nil"/>
              <w:bottom w:val="nil"/>
            </w:tcBorders>
            <w:shd w:val="clear" w:color="000000" w:fill="FFFFFF"/>
            <w:vAlign w:val="center"/>
          </w:tcPr>
          <w:p w14:paraId="03C38790"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3</w:t>
            </w:r>
          </w:p>
        </w:tc>
        <w:tc>
          <w:tcPr>
            <w:tcW w:w="1559" w:type="dxa"/>
            <w:tcBorders>
              <w:top w:val="nil"/>
              <w:bottom w:val="nil"/>
            </w:tcBorders>
            <w:shd w:val="clear" w:color="000000" w:fill="FFFFFF"/>
            <w:vAlign w:val="center"/>
          </w:tcPr>
          <w:p w14:paraId="7F345A34"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4</w:t>
            </w:r>
          </w:p>
        </w:tc>
        <w:tc>
          <w:tcPr>
            <w:tcW w:w="1276" w:type="dxa"/>
            <w:tcBorders>
              <w:top w:val="nil"/>
              <w:bottom w:val="nil"/>
            </w:tcBorders>
            <w:shd w:val="clear" w:color="000000" w:fill="FFFFFF"/>
            <w:vAlign w:val="center"/>
          </w:tcPr>
          <w:p w14:paraId="16757441"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35</w:t>
            </w:r>
          </w:p>
        </w:tc>
        <w:tc>
          <w:tcPr>
            <w:tcW w:w="2126" w:type="dxa"/>
            <w:tcBorders>
              <w:top w:val="nil"/>
              <w:bottom w:val="nil"/>
            </w:tcBorders>
            <w:shd w:val="clear" w:color="000000" w:fill="FFFFFF"/>
            <w:vAlign w:val="center"/>
          </w:tcPr>
          <w:p w14:paraId="32F9A2BA" w14:textId="7BE31E71" w:rsidR="00150627" w:rsidRPr="001D2390" w:rsidRDefault="00150627" w:rsidP="00153277">
            <w:pPr>
              <w:spacing w:after="0" w:line="240" w:lineRule="auto"/>
              <w:jc w:val="center"/>
              <w:rPr>
                <w:rFonts w:ascii="Times New Roman" w:hAnsi="Times New Roman" w:cs="Times New Roman"/>
                <w:color w:val="000000" w:themeColor="text1"/>
              </w:rPr>
            </w:pPr>
            <w:r w:rsidRPr="001D2390">
              <w:rPr>
                <w:rFonts w:ascii="Times New Roman" w:hAnsi="Times New Roman" w:cs="Times New Roman"/>
                <w:i/>
                <w:iCs/>
                <w:color w:val="000000" w:themeColor="text1"/>
              </w:rPr>
              <w:t>M</w:t>
            </w:r>
            <w:r w:rsidRPr="001D2390">
              <w:rPr>
                <w:rFonts w:ascii="Times New Roman" w:hAnsi="Times New Roman" w:cs="Times New Roman"/>
                <w:color w:val="000000" w:themeColor="text1"/>
              </w:rPr>
              <w:t xml:space="preserve">=0.30, </w:t>
            </w:r>
            <w:r w:rsidRPr="001D2390">
              <w:rPr>
                <w:rFonts w:ascii="Times New Roman" w:hAnsi="Times New Roman" w:cs="Times New Roman"/>
                <w:i/>
                <w:iCs/>
                <w:color w:val="000000" w:themeColor="text1"/>
              </w:rPr>
              <w:t>SD</w:t>
            </w:r>
            <w:r w:rsidRPr="001D2390">
              <w:rPr>
                <w:rFonts w:ascii="Times New Roman" w:hAnsi="Times New Roman" w:cs="Times New Roman"/>
                <w:color w:val="000000" w:themeColor="text1"/>
              </w:rPr>
              <w:t>=0.50</w:t>
            </w:r>
            <w:r w:rsidRPr="001D2390">
              <w:rPr>
                <w:rFonts w:ascii="Times New Roman" w:hAnsi="Times New Roman" w:cs="Times New Roman"/>
                <w:color w:val="000000" w:themeColor="text1"/>
                <w:vertAlign w:val="superscript"/>
              </w:rPr>
              <w:t>*</w:t>
            </w:r>
          </w:p>
        </w:tc>
        <w:tc>
          <w:tcPr>
            <w:tcW w:w="1276" w:type="dxa"/>
            <w:tcBorders>
              <w:top w:val="nil"/>
              <w:bottom w:val="nil"/>
            </w:tcBorders>
            <w:shd w:val="clear" w:color="000000" w:fill="FFFFFF"/>
            <w:vAlign w:val="center"/>
          </w:tcPr>
          <w:p w14:paraId="2DE48D7E"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0.25</w:t>
            </w:r>
          </w:p>
        </w:tc>
        <w:tc>
          <w:tcPr>
            <w:tcW w:w="708" w:type="dxa"/>
            <w:tcBorders>
              <w:top w:val="nil"/>
              <w:bottom w:val="nil"/>
            </w:tcBorders>
            <w:shd w:val="clear" w:color="000000" w:fill="FFFFFF"/>
            <w:vAlign w:val="center"/>
          </w:tcPr>
          <w:p w14:paraId="3414DF09"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0.09</w:t>
            </w:r>
          </w:p>
        </w:tc>
        <w:tc>
          <w:tcPr>
            <w:tcW w:w="709" w:type="dxa"/>
            <w:tcBorders>
              <w:top w:val="nil"/>
              <w:bottom w:val="nil"/>
            </w:tcBorders>
            <w:shd w:val="clear" w:color="000000" w:fill="FFFFFF"/>
            <w:vAlign w:val="center"/>
          </w:tcPr>
          <w:p w14:paraId="1FBD21F5"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0.07</w:t>
            </w:r>
          </w:p>
        </w:tc>
        <w:tc>
          <w:tcPr>
            <w:tcW w:w="709" w:type="dxa"/>
            <w:tcBorders>
              <w:top w:val="nil"/>
              <w:bottom w:val="nil"/>
            </w:tcBorders>
            <w:shd w:val="clear" w:color="000000" w:fill="FFFFFF"/>
            <w:vAlign w:val="center"/>
          </w:tcPr>
          <w:p w14:paraId="35CC64A2"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0.42</w:t>
            </w:r>
          </w:p>
        </w:tc>
        <w:tc>
          <w:tcPr>
            <w:tcW w:w="567" w:type="dxa"/>
            <w:tcBorders>
              <w:top w:val="nil"/>
              <w:bottom w:val="nil"/>
            </w:tcBorders>
            <w:shd w:val="clear" w:color="000000" w:fill="FFFFFF"/>
            <w:vAlign w:val="center"/>
          </w:tcPr>
          <w:p w14:paraId="53B41CFB" w14:textId="1A39A4DA" w:rsidR="00150627" w:rsidRPr="00CB3ED7" w:rsidRDefault="00CB3ED7" w:rsidP="00804D8C">
            <w:pPr>
              <w:spacing w:after="0" w:line="240" w:lineRule="auto"/>
              <w:jc w:val="center"/>
              <w:rPr>
                <w:rFonts w:ascii="Times New Roman" w:hAnsi="Times New Roman" w:cs="Times New Roman"/>
                <w:color w:val="0070C0"/>
                <w:sz w:val="24"/>
                <w:szCs w:val="24"/>
              </w:rPr>
            </w:pPr>
            <w:r w:rsidRPr="00CB3ED7">
              <w:rPr>
                <w:rFonts w:ascii="Times New Roman" w:hAnsi="Times New Roman" w:cs="Times New Roman"/>
                <w:color w:val="0070C0"/>
                <w:sz w:val="24"/>
                <w:szCs w:val="24"/>
              </w:rPr>
              <w:t>.08</w:t>
            </w:r>
          </w:p>
        </w:tc>
      </w:tr>
      <w:tr w:rsidR="00150627" w:rsidRPr="00E75205" w14:paraId="10128578" w14:textId="3FC8A9EB" w:rsidTr="001D2390">
        <w:trPr>
          <w:trHeight w:val="378"/>
        </w:trPr>
        <w:tc>
          <w:tcPr>
            <w:tcW w:w="3402" w:type="dxa"/>
            <w:tcBorders>
              <w:top w:val="nil"/>
              <w:bottom w:val="nil"/>
            </w:tcBorders>
            <w:shd w:val="clear" w:color="000000" w:fill="FFFFFF"/>
            <w:vAlign w:val="center"/>
          </w:tcPr>
          <w:p w14:paraId="3908E39B" w14:textId="77777777" w:rsidR="00150627" w:rsidRPr="00E75205" w:rsidRDefault="00150627" w:rsidP="00804D8C">
            <w:pPr>
              <w:spacing w:after="0" w:line="240" w:lineRule="auto"/>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Brain stimulation</w:t>
            </w:r>
          </w:p>
        </w:tc>
        <w:tc>
          <w:tcPr>
            <w:tcW w:w="993" w:type="dxa"/>
            <w:tcBorders>
              <w:top w:val="nil"/>
              <w:bottom w:val="nil"/>
            </w:tcBorders>
            <w:shd w:val="clear" w:color="000000" w:fill="FFFFFF"/>
            <w:vAlign w:val="center"/>
          </w:tcPr>
          <w:p w14:paraId="25107160"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3</w:t>
            </w:r>
          </w:p>
        </w:tc>
        <w:tc>
          <w:tcPr>
            <w:tcW w:w="1559" w:type="dxa"/>
            <w:tcBorders>
              <w:top w:val="nil"/>
              <w:bottom w:val="nil"/>
            </w:tcBorders>
            <w:shd w:val="clear" w:color="000000" w:fill="FFFFFF"/>
            <w:vAlign w:val="center"/>
          </w:tcPr>
          <w:p w14:paraId="02DA2EF8"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3</w:t>
            </w:r>
          </w:p>
        </w:tc>
        <w:tc>
          <w:tcPr>
            <w:tcW w:w="1276" w:type="dxa"/>
            <w:tcBorders>
              <w:top w:val="nil"/>
              <w:bottom w:val="nil"/>
            </w:tcBorders>
            <w:shd w:val="clear" w:color="000000" w:fill="FFFFFF"/>
            <w:vAlign w:val="center"/>
          </w:tcPr>
          <w:p w14:paraId="07489153"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11</w:t>
            </w:r>
          </w:p>
        </w:tc>
        <w:tc>
          <w:tcPr>
            <w:tcW w:w="2126" w:type="dxa"/>
            <w:tcBorders>
              <w:top w:val="nil"/>
              <w:bottom w:val="nil"/>
            </w:tcBorders>
            <w:shd w:val="clear" w:color="000000" w:fill="FFFFFF"/>
            <w:vAlign w:val="center"/>
          </w:tcPr>
          <w:p w14:paraId="05FBDD99" w14:textId="3A0E7A31" w:rsidR="00150627" w:rsidRPr="001D2390" w:rsidRDefault="00150627" w:rsidP="00153277">
            <w:pPr>
              <w:spacing w:after="0" w:line="240" w:lineRule="auto"/>
              <w:jc w:val="center"/>
              <w:rPr>
                <w:rFonts w:ascii="Times New Roman" w:hAnsi="Times New Roman" w:cs="Times New Roman"/>
                <w:color w:val="000000" w:themeColor="text1"/>
              </w:rPr>
            </w:pPr>
            <w:r w:rsidRPr="001D2390">
              <w:rPr>
                <w:rFonts w:ascii="Times New Roman" w:hAnsi="Times New Roman" w:cs="Times New Roman"/>
                <w:i/>
                <w:iCs/>
                <w:color w:val="000000" w:themeColor="text1"/>
              </w:rPr>
              <w:t>M</w:t>
            </w:r>
            <w:r w:rsidRPr="001D2390">
              <w:rPr>
                <w:rFonts w:ascii="Times New Roman" w:hAnsi="Times New Roman" w:cs="Times New Roman"/>
                <w:color w:val="000000" w:themeColor="text1"/>
              </w:rPr>
              <w:t xml:space="preserve">=0.30, </w:t>
            </w:r>
            <w:r w:rsidRPr="001D2390">
              <w:rPr>
                <w:rFonts w:ascii="Times New Roman" w:hAnsi="Times New Roman" w:cs="Times New Roman"/>
                <w:i/>
                <w:iCs/>
                <w:color w:val="000000" w:themeColor="text1"/>
              </w:rPr>
              <w:t>SD</w:t>
            </w:r>
            <w:r w:rsidRPr="001D2390">
              <w:rPr>
                <w:rFonts w:ascii="Times New Roman" w:hAnsi="Times New Roman" w:cs="Times New Roman"/>
                <w:color w:val="000000" w:themeColor="text1"/>
              </w:rPr>
              <w:t>=0.50</w:t>
            </w:r>
            <w:r w:rsidRPr="001D2390">
              <w:rPr>
                <w:rFonts w:ascii="Times New Roman" w:hAnsi="Times New Roman" w:cs="Times New Roman"/>
                <w:color w:val="000000" w:themeColor="text1"/>
                <w:vertAlign w:val="superscript"/>
              </w:rPr>
              <w:t>*</w:t>
            </w:r>
          </w:p>
        </w:tc>
        <w:tc>
          <w:tcPr>
            <w:tcW w:w="1276" w:type="dxa"/>
            <w:tcBorders>
              <w:top w:val="nil"/>
              <w:bottom w:val="nil"/>
            </w:tcBorders>
            <w:shd w:val="clear" w:color="000000" w:fill="FFFFFF"/>
            <w:vAlign w:val="center"/>
          </w:tcPr>
          <w:p w14:paraId="2A70E2C8"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0.37</w:t>
            </w:r>
          </w:p>
        </w:tc>
        <w:tc>
          <w:tcPr>
            <w:tcW w:w="708" w:type="dxa"/>
            <w:tcBorders>
              <w:top w:val="nil"/>
              <w:bottom w:val="nil"/>
            </w:tcBorders>
            <w:shd w:val="clear" w:color="000000" w:fill="FFFFFF"/>
            <w:vAlign w:val="center"/>
          </w:tcPr>
          <w:p w14:paraId="47B8E3AF"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0.12</w:t>
            </w:r>
          </w:p>
        </w:tc>
        <w:tc>
          <w:tcPr>
            <w:tcW w:w="709" w:type="dxa"/>
            <w:tcBorders>
              <w:top w:val="nil"/>
              <w:bottom w:val="nil"/>
            </w:tcBorders>
            <w:shd w:val="clear" w:color="000000" w:fill="FFFFFF"/>
            <w:vAlign w:val="center"/>
          </w:tcPr>
          <w:p w14:paraId="1B037908"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0.15</w:t>
            </w:r>
          </w:p>
        </w:tc>
        <w:tc>
          <w:tcPr>
            <w:tcW w:w="709" w:type="dxa"/>
            <w:tcBorders>
              <w:top w:val="nil"/>
              <w:bottom w:val="nil"/>
            </w:tcBorders>
            <w:shd w:val="clear" w:color="000000" w:fill="FFFFFF"/>
            <w:vAlign w:val="center"/>
          </w:tcPr>
          <w:p w14:paraId="6F46F42E"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0.59</w:t>
            </w:r>
          </w:p>
        </w:tc>
        <w:tc>
          <w:tcPr>
            <w:tcW w:w="567" w:type="dxa"/>
            <w:tcBorders>
              <w:top w:val="nil"/>
              <w:bottom w:val="nil"/>
            </w:tcBorders>
            <w:shd w:val="clear" w:color="000000" w:fill="FFFFFF"/>
            <w:vAlign w:val="center"/>
          </w:tcPr>
          <w:p w14:paraId="102B62F5" w14:textId="647C9FD5" w:rsidR="00150627" w:rsidRPr="00CB3ED7" w:rsidRDefault="00CB3ED7" w:rsidP="00804D8C">
            <w:pPr>
              <w:spacing w:after="0" w:line="240" w:lineRule="auto"/>
              <w:jc w:val="center"/>
              <w:rPr>
                <w:rFonts w:ascii="Times New Roman" w:hAnsi="Times New Roman" w:cs="Times New Roman"/>
                <w:color w:val="0070C0"/>
                <w:sz w:val="24"/>
                <w:szCs w:val="24"/>
              </w:rPr>
            </w:pPr>
            <w:r w:rsidRPr="00CB3ED7">
              <w:rPr>
                <w:rFonts w:ascii="Times New Roman" w:hAnsi="Times New Roman" w:cs="Times New Roman"/>
                <w:color w:val="0070C0"/>
                <w:sz w:val="24"/>
                <w:szCs w:val="24"/>
              </w:rPr>
              <w:t>.07</w:t>
            </w:r>
          </w:p>
        </w:tc>
      </w:tr>
      <w:tr w:rsidR="00150627" w:rsidRPr="00E75205" w14:paraId="35C55F02" w14:textId="6B800886" w:rsidTr="001D2390">
        <w:trPr>
          <w:trHeight w:val="378"/>
        </w:trPr>
        <w:tc>
          <w:tcPr>
            <w:tcW w:w="3402" w:type="dxa"/>
            <w:tcBorders>
              <w:top w:val="nil"/>
              <w:bottom w:val="nil"/>
            </w:tcBorders>
            <w:shd w:val="clear" w:color="000000" w:fill="FFFFFF"/>
            <w:vAlign w:val="center"/>
          </w:tcPr>
          <w:p w14:paraId="319710B4" w14:textId="5CAB2DEF" w:rsidR="00150627" w:rsidRPr="00846B87" w:rsidRDefault="00150627" w:rsidP="00804D8C">
            <w:pPr>
              <w:spacing w:after="0" w:line="240" w:lineRule="auto"/>
              <w:rPr>
                <w:rFonts w:ascii="Times New Roman" w:hAnsi="Times New Roman" w:cs="Times New Roman"/>
                <w:color w:val="0070C0"/>
                <w:sz w:val="24"/>
                <w:szCs w:val="24"/>
              </w:rPr>
            </w:pPr>
            <w:r w:rsidRPr="00846B87">
              <w:rPr>
                <w:rFonts w:ascii="Times New Roman" w:hAnsi="Times New Roman" w:cs="Times New Roman"/>
                <w:color w:val="0070C0"/>
                <w:sz w:val="24"/>
                <w:szCs w:val="24"/>
              </w:rPr>
              <w:t>Visual-attentional/</w:t>
            </w:r>
            <w:proofErr w:type="spellStart"/>
            <w:r w:rsidRPr="00846B87">
              <w:rPr>
                <w:rFonts w:ascii="Times New Roman" w:hAnsi="Times New Roman" w:cs="Times New Roman"/>
                <w:color w:val="0070C0"/>
                <w:sz w:val="24"/>
                <w:szCs w:val="24"/>
              </w:rPr>
              <w:t>Neurop</w:t>
            </w:r>
            <w:r>
              <w:rPr>
                <w:rFonts w:ascii="Times New Roman" w:hAnsi="Times New Roman" w:cs="Times New Roman"/>
                <w:color w:val="0070C0"/>
                <w:sz w:val="24"/>
                <w:szCs w:val="24"/>
              </w:rPr>
              <w:t>sy</w:t>
            </w:r>
            <w:proofErr w:type="spellEnd"/>
            <w:r>
              <w:rPr>
                <w:rFonts w:ascii="Times New Roman" w:hAnsi="Times New Roman" w:cs="Times New Roman"/>
                <w:color w:val="0070C0"/>
                <w:sz w:val="24"/>
                <w:szCs w:val="24"/>
              </w:rPr>
              <w:t>.</w:t>
            </w:r>
          </w:p>
        </w:tc>
        <w:tc>
          <w:tcPr>
            <w:tcW w:w="993" w:type="dxa"/>
            <w:tcBorders>
              <w:top w:val="nil"/>
              <w:bottom w:val="nil"/>
            </w:tcBorders>
            <w:shd w:val="clear" w:color="000000" w:fill="FFFFFF"/>
            <w:vAlign w:val="center"/>
          </w:tcPr>
          <w:p w14:paraId="0B68A781" w14:textId="6A305816" w:rsidR="00150627" w:rsidRPr="00846B87" w:rsidRDefault="00150627" w:rsidP="00804D8C">
            <w:pPr>
              <w:spacing w:after="0" w:line="240" w:lineRule="auto"/>
              <w:jc w:val="center"/>
              <w:rPr>
                <w:rFonts w:ascii="Times New Roman" w:hAnsi="Times New Roman" w:cs="Times New Roman"/>
                <w:color w:val="0070C0"/>
                <w:sz w:val="24"/>
                <w:szCs w:val="24"/>
              </w:rPr>
            </w:pPr>
            <w:r>
              <w:rPr>
                <w:rFonts w:ascii="Times New Roman" w:hAnsi="Times New Roman" w:cs="Times New Roman"/>
                <w:color w:val="0070C0"/>
                <w:sz w:val="24"/>
                <w:szCs w:val="24"/>
              </w:rPr>
              <w:t>8</w:t>
            </w:r>
          </w:p>
        </w:tc>
        <w:tc>
          <w:tcPr>
            <w:tcW w:w="1559" w:type="dxa"/>
            <w:tcBorders>
              <w:top w:val="nil"/>
              <w:bottom w:val="nil"/>
            </w:tcBorders>
            <w:shd w:val="clear" w:color="000000" w:fill="FFFFFF"/>
            <w:vAlign w:val="center"/>
          </w:tcPr>
          <w:p w14:paraId="48EEB8BC" w14:textId="10BFABAC" w:rsidR="00150627" w:rsidRPr="00846B87" w:rsidRDefault="00150627" w:rsidP="00804D8C">
            <w:pPr>
              <w:spacing w:after="0" w:line="240" w:lineRule="auto"/>
              <w:jc w:val="center"/>
              <w:rPr>
                <w:rFonts w:ascii="Times New Roman" w:hAnsi="Times New Roman" w:cs="Times New Roman"/>
                <w:color w:val="0070C0"/>
                <w:sz w:val="24"/>
                <w:szCs w:val="24"/>
              </w:rPr>
            </w:pPr>
            <w:r>
              <w:rPr>
                <w:rFonts w:ascii="Times New Roman" w:hAnsi="Times New Roman" w:cs="Times New Roman"/>
                <w:color w:val="0070C0"/>
                <w:sz w:val="24"/>
                <w:szCs w:val="24"/>
              </w:rPr>
              <w:t>11</w:t>
            </w:r>
          </w:p>
        </w:tc>
        <w:tc>
          <w:tcPr>
            <w:tcW w:w="1276" w:type="dxa"/>
            <w:tcBorders>
              <w:top w:val="nil"/>
              <w:bottom w:val="nil"/>
            </w:tcBorders>
            <w:shd w:val="clear" w:color="000000" w:fill="FFFFFF"/>
            <w:vAlign w:val="center"/>
          </w:tcPr>
          <w:p w14:paraId="0931D8F8" w14:textId="6B4B221F" w:rsidR="00150627" w:rsidRPr="00846B87" w:rsidRDefault="00150627" w:rsidP="00804D8C">
            <w:pPr>
              <w:spacing w:after="0" w:line="240" w:lineRule="auto"/>
              <w:jc w:val="center"/>
              <w:rPr>
                <w:rFonts w:ascii="Times New Roman" w:hAnsi="Times New Roman" w:cs="Times New Roman"/>
                <w:color w:val="0070C0"/>
                <w:sz w:val="24"/>
                <w:szCs w:val="24"/>
              </w:rPr>
            </w:pPr>
            <w:r>
              <w:rPr>
                <w:rFonts w:ascii="Times New Roman" w:hAnsi="Times New Roman" w:cs="Times New Roman"/>
                <w:color w:val="0070C0"/>
                <w:sz w:val="24"/>
                <w:szCs w:val="24"/>
              </w:rPr>
              <w:t>10</w:t>
            </w:r>
          </w:p>
        </w:tc>
        <w:tc>
          <w:tcPr>
            <w:tcW w:w="2126" w:type="dxa"/>
            <w:tcBorders>
              <w:top w:val="nil"/>
              <w:bottom w:val="nil"/>
            </w:tcBorders>
            <w:shd w:val="clear" w:color="000000" w:fill="FFFFFF"/>
            <w:vAlign w:val="center"/>
          </w:tcPr>
          <w:p w14:paraId="585D5F4F" w14:textId="385CC85A" w:rsidR="00150627" w:rsidRPr="001D2390" w:rsidRDefault="00150627" w:rsidP="00153277">
            <w:pPr>
              <w:spacing w:after="0" w:line="240" w:lineRule="auto"/>
              <w:jc w:val="center"/>
              <w:rPr>
                <w:rFonts w:ascii="Times New Roman" w:hAnsi="Times New Roman" w:cs="Times New Roman"/>
                <w:color w:val="0070C0"/>
              </w:rPr>
            </w:pPr>
            <w:r w:rsidRPr="001D2390">
              <w:rPr>
                <w:rFonts w:ascii="Times New Roman" w:hAnsi="Times New Roman" w:cs="Times New Roman"/>
                <w:i/>
                <w:iCs/>
                <w:color w:val="0070C0"/>
              </w:rPr>
              <w:t>M</w:t>
            </w:r>
            <w:r w:rsidRPr="001D2390">
              <w:rPr>
                <w:rFonts w:ascii="Times New Roman" w:hAnsi="Times New Roman" w:cs="Times New Roman"/>
                <w:color w:val="0070C0"/>
              </w:rPr>
              <w:t xml:space="preserve">=0.30, </w:t>
            </w:r>
            <w:r w:rsidRPr="001D2390">
              <w:rPr>
                <w:rFonts w:ascii="Times New Roman" w:hAnsi="Times New Roman" w:cs="Times New Roman"/>
                <w:i/>
                <w:iCs/>
                <w:color w:val="0070C0"/>
              </w:rPr>
              <w:t>SD</w:t>
            </w:r>
            <w:r w:rsidRPr="001D2390">
              <w:rPr>
                <w:rFonts w:ascii="Times New Roman" w:hAnsi="Times New Roman" w:cs="Times New Roman"/>
                <w:color w:val="0070C0"/>
              </w:rPr>
              <w:t>=0.50</w:t>
            </w:r>
            <w:r w:rsidRPr="001D2390">
              <w:rPr>
                <w:rFonts w:ascii="Times New Roman" w:hAnsi="Times New Roman" w:cs="Times New Roman"/>
                <w:color w:val="0070C0"/>
                <w:vertAlign w:val="superscript"/>
              </w:rPr>
              <w:t>*</w:t>
            </w:r>
          </w:p>
        </w:tc>
        <w:tc>
          <w:tcPr>
            <w:tcW w:w="1276" w:type="dxa"/>
            <w:tcBorders>
              <w:top w:val="nil"/>
              <w:bottom w:val="nil"/>
            </w:tcBorders>
            <w:shd w:val="clear" w:color="000000" w:fill="FFFFFF"/>
            <w:vAlign w:val="center"/>
          </w:tcPr>
          <w:p w14:paraId="111E42E7" w14:textId="183F2844" w:rsidR="00150627" w:rsidRPr="00846B87" w:rsidRDefault="00150627" w:rsidP="00804D8C">
            <w:pPr>
              <w:spacing w:after="0" w:line="240" w:lineRule="auto"/>
              <w:jc w:val="center"/>
              <w:rPr>
                <w:rFonts w:ascii="Times New Roman" w:hAnsi="Times New Roman" w:cs="Times New Roman"/>
                <w:color w:val="0070C0"/>
                <w:sz w:val="24"/>
                <w:szCs w:val="24"/>
              </w:rPr>
            </w:pPr>
            <w:r>
              <w:rPr>
                <w:rFonts w:ascii="Times New Roman" w:hAnsi="Times New Roman" w:cs="Times New Roman"/>
                <w:color w:val="0070C0"/>
                <w:sz w:val="24"/>
                <w:szCs w:val="24"/>
              </w:rPr>
              <w:t>0.35</w:t>
            </w:r>
          </w:p>
        </w:tc>
        <w:tc>
          <w:tcPr>
            <w:tcW w:w="708" w:type="dxa"/>
            <w:tcBorders>
              <w:top w:val="nil"/>
              <w:bottom w:val="nil"/>
            </w:tcBorders>
            <w:shd w:val="clear" w:color="000000" w:fill="FFFFFF"/>
            <w:vAlign w:val="center"/>
          </w:tcPr>
          <w:p w14:paraId="50F94C4B" w14:textId="5D772E8F" w:rsidR="00150627" w:rsidRPr="00846B87" w:rsidRDefault="00150627" w:rsidP="00804D8C">
            <w:pPr>
              <w:spacing w:after="0" w:line="240" w:lineRule="auto"/>
              <w:jc w:val="center"/>
              <w:rPr>
                <w:rFonts w:ascii="Times New Roman" w:hAnsi="Times New Roman" w:cs="Times New Roman"/>
                <w:color w:val="0070C0"/>
                <w:sz w:val="24"/>
                <w:szCs w:val="24"/>
              </w:rPr>
            </w:pPr>
            <w:r>
              <w:rPr>
                <w:rFonts w:ascii="Times New Roman" w:hAnsi="Times New Roman" w:cs="Times New Roman"/>
                <w:color w:val="0070C0"/>
                <w:sz w:val="24"/>
                <w:szCs w:val="24"/>
              </w:rPr>
              <w:t>0.07</w:t>
            </w:r>
          </w:p>
        </w:tc>
        <w:tc>
          <w:tcPr>
            <w:tcW w:w="709" w:type="dxa"/>
            <w:tcBorders>
              <w:top w:val="nil"/>
              <w:bottom w:val="nil"/>
            </w:tcBorders>
            <w:shd w:val="clear" w:color="000000" w:fill="FFFFFF"/>
            <w:vAlign w:val="center"/>
          </w:tcPr>
          <w:p w14:paraId="06F0B1D1" w14:textId="400810AA" w:rsidR="00150627" w:rsidRPr="00846B87" w:rsidRDefault="00150627" w:rsidP="00804D8C">
            <w:pPr>
              <w:spacing w:after="0" w:line="240" w:lineRule="auto"/>
              <w:jc w:val="center"/>
              <w:rPr>
                <w:rFonts w:ascii="Times New Roman" w:hAnsi="Times New Roman" w:cs="Times New Roman"/>
                <w:color w:val="0070C0"/>
                <w:sz w:val="24"/>
                <w:szCs w:val="24"/>
              </w:rPr>
            </w:pPr>
            <w:r>
              <w:rPr>
                <w:rFonts w:ascii="Times New Roman" w:hAnsi="Times New Roman" w:cs="Times New Roman"/>
                <w:color w:val="0070C0"/>
                <w:sz w:val="24"/>
                <w:szCs w:val="24"/>
              </w:rPr>
              <w:t>0.22</w:t>
            </w:r>
          </w:p>
        </w:tc>
        <w:tc>
          <w:tcPr>
            <w:tcW w:w="709" w:type="dxa"/>
            <w:tcBorders>
              <w:top w:val="nil"/>
              <w:bottom w:val="nil"/>
            </w:tcBorders>
            <w:shd w:val="clear" w:color="000000" w:fill="FFFFFF"/>
            <w:vAlign w:val="center"/>
          </w:tcPr>
          <w:p w14:paraId="5AE246DC" w14:textId="4654E386" w:rsidR="00150627" w:rsidRPr="00846B87" w:rsidRDefault="00150627" w:rsidP="00804D8C">
            <w:pPr>
              <w:spacing w:after="0" w:line="240" w:lineRule="auto"/>
              <w:jc w:val="center"/>
              <w:rPr>
                <w:rFonts w:ascii="Times New Roman" w:hAnsi="Times New Roman" w:cs="Times New Roman"/>
                <w:color w:val="0070C0"/>
                <w:sz w:val="24"/>
                <w:szCs w:val="24"/>
              </w:rPr>
            </w:pPr>
            <w:r>
              <w:rPr>
                <w:rFonts w:ascii="Times New Roman" w:hAnsi="Times New Roman" w:cs="Times New Roman"/>
                <w:color w:val="0070C0"/>
                <w:sz w:val="24"/>
                <w:szCs w:val="24"/>
              </w:rPr>
              <w:t>0.51</w:t>
            </w:r>
          </w:p>
        </w:tc>
        <w:tc>
          <w:tcPr>
            <w:tcW w:w="567" w:type="dxa"/>
            <w:tcBorders>
              <w:top w:val="nil"/>
              <w:bottom w:val="nil"/>
            </w:tcBorders>
            <w:shd w:val="clear" w:color="000000" w:fill="FFFFFF"/>
            <w:vAlign w:val="center"/>
          </w:tcPr>
          <w:p w14:paraId="29D3ED60" w14:textId="756CAAC2" w:rsidR="00150627" w:rsidRPr="00CB3ED7" w:rsidRDefault="00E94C79" w:rsidP="00804D8C">
            <w:pPr>
              <w:spacing w:after="0" w:line="240" w:lineRule="auto"/>
              <w:jc w:val="center"/>
              <w:rPr>
                <w:rFonts w:ascii="Times New Roman" w:hAnsi="Times New Roman" w:cs="Times New Roman"/>
                <w:color w:val="0070C0"/>
                <w:sz w:val="24"/>
                <w:szCs w:val="24"/>
              </w:rPr>
            </w:pPr>
            <w:r w:rsidRPr="00CB3ED7">
              <w:rPr>
                <w:rFonts w:ascii="Times New Roman" w:hAnsi="Times New Roman" w:cs="Times New Roman"/>
                <w:color w:val="0070C0"/>
                <w:sz w:val="24"/>
                <w:szCs w:val="24"/>
              </w:rPr>
              <w:t>.10</w:t>
            </w:r>
          </w:p>
        </w:tc>
      </w:tr>
      <w:tr w:rsidR="00150627" w:rsidRPr="00E75205" w14:paraId="717A780E" w14:textId="4246368B" w:rsidTr="001D2390">
        <w:trPr>
          <w:trHeight w:val="378"/>
        </w:trPr>
        <w:tc>
          <w:tcPr>
            <w:tcW w:w="3402" w:type="dxa"/>
            <w:tcBorders>
              <w:top w:val="nil"/>
              <w:bottom w:val="nil"/>
            </w:tcBorders>
            <w:shd w:val="clear" w:color="000000" w:fill="FFFFFF"/>
            <w:vAlign w:val="center"/>
          </w:tcPr>
          <w:p w14:paraId="18E552A3" w14:textId="6F34EC4F" w:rsidR="00150627" w:rsidRPr="00846B87" w:rsidRDefault="00150627" w:rsidP="00804D8C">
            <w:pPr>
              <w:spacing w:after="0" w:line="240" w:lineRule="auto"/>
              <w:rPr>
                <w:rFonts w:ascii="Times New Roman" w:hAnsi="Times New Roman" w:cs="Times New Roman"/>
                <w:color w:val="0070C0"/>
                <w:sz w:val="24"/>
                <w:szCs w:val="24"/>
              </w:rPr>
            </w:pPr>
            <w:r w:rsidRPr="00846B87">
              <w:rPr>
                <w:rFonts w:ascii="Times New Roman" w:hAnsi="Times New Roman" w:cs="Times New Roman"/>
                <w:color w:val="0070C0"/>
                <w:sz w:val="24"/>
                <w:szCs w:val="24"/>
              </w:rPr>
              <w:t>Action video game</w:t>
            </w:r>
          </w:p>
        </w:tc>
        <w:tc>
          <w:tcPr>
            <w:tcW w:w="993" w:type="dxa"/>
            <w:tcBorders>
              <w:top w:val="nil"/>
              <w:bottom w:val="nil"/>
            </w:tcBorders>
            <w:shd w:val="clear" w:color="000000" w:fill="FFFFFF"/>
            <w:vAlign w:val="center"/>
          </w:tcPr>
          <w:p w14:paraId="30A0024B" w14:textId="4F7DF479" w:rsidR="00150627" w:rsidRPr="00846B87" w:rsidRDefault="00150627" w:rsidP="00804D8C">
            <w:pPr>
              <w:spacing w:after="0" w:line="240" w:lineRule="auto"/>
              <w:jc w:val="center"/>
              <w:rPr>
                <w:rFonts w:ascii="Times New Roman" w:hAnsi="Times New Roman" w:cs="Times New Roman"/>
                <w:color w:val="0070C0"/>
                <w:sz w:val="24"/>
                <w:szCs w:val="24"/>
              </w:rPr>
            </w:pPr>
            <w:r>
              <w:rPr>
                <w:rFonts w:ascii="Times New Roman" w:hAnsi="Times New Roman" w:cs="Times New Roman"/>
                <w:color w:val="0070C0"/>
                <w:sz w:val="24"/>
                <w:szCs w:val="24"/>
              </w:rPr>
              <w:t>5</w:t>
            </w:r>
          </w:p>
        </w:tc>
        <w:tc>
          <w:tcPr>
            <w:tcW w:w="1559" w:type="dxa"/>
            <w:tcBorders>
              <w:top w:val="nil"/>
              <w:bottom w:val="nil"/>
            </w:tcBorders>
            <w:shd w:val="clear" w:color="000000" w:fill="FFFFFF"/>
            <w:vAlign w:val="center"/>
          </w:tcPr>
          <w:p w14:paraId="0584D13D" w14:textId="1E56234A" w:rsidR="00150627" w:rsidRPr="00846B87" w:rsidRDefault="00150627" w:rsidP="00804D8C">
            <w:pPr>
              <w:spacing w:after="0" w:line="240" w:lineRule="auto"/>
              <w:jc w:val="center"/>
              <w:rPr>
                <w:rFonts w:ascii="Times New Roman" w:hAnsi="Times New Roman" w:cs="Times New Roman"/>
                <w:color w:val="0070C0"/>
                <w:sz w:val="24"/>
                <w:szCs w:val="24"/>
              </w:rPr>
            </w:pPr>
            <w:r>
              <w:rPr>
                <w:rFonts w:ascii="Times New Roman" w:hAnsi="Times New Roman" w:cs="Times New Roman"/>
                <w:color w:val="0070C0"/>
                <w:sz w:val="24"/>
                <w:szCs w:val="24"/>
              </w:rPr>
              <w:t>5</w:t>
            </w:r>
          </w:p>
        </w:tc>
        <w:tc>
          <w:tcPr>
            <w:tcW w:w="1276" w:type="dxa"/>
            <w:tcBorders>
              <w:top w:val="nil"/>
              <w:bottom w:val="nil"/>
            </w:tcBorders>
            <w:shd w:val="clear" w:color="000000" w:fill="FFFFFF"/>
            <w:vAlign w:val="center"/>
          </w:tcPr>
          <w:p w14:paraId="535BCA68" w14:textId="1144E5DF" w:rsidR="00150627" w:rsidRPr="00846B87" w:rsidRDefault="00150627" w:rsidP="00804D8C">
            <w:pPr>
              <w:spacing w:after="0" w:line="240" w:lineRule="auto"/>
              <w:jc w:val="center"/>
              <w:rPr>
                <w:rFonts w:ascii="Times New Roman" w:hAnsi="Times New Roman" w:cs="Times New Roman"/>
                <w:color w:val="0070C0"/>
                <w:sz w:val="24"/>
                <w:szCs w:val="24"/>
              </w:rPr>
            </w:pPr>
            <w:r>
              <w:rPr>
                <w:rFonts w:ascii="Times New Roman" w:hAnsi="Times New Roman" w:cs="Times New Roman"/>
                <w:color w:val="0070C0"/>
                <w:sz w:val="24"/>
                <w:szCs w:val="24"/>
              </w:rPr>
              <w:t>10</w:t>
            </w:r>
          </w:p>
        </w:tc>
        <w:tc>
          <w:tcPr>
            <w:tcW w:w="2126" w:type="dxa"/>
            <w:tcBorders>
              <w:top w:val="nil"/>
              <w:bottom w:val="nil"/>
            </w:tcBorders>
            <w:shd w:val="clear" w:color="000000" w:fill="FFFFFF"/>
            <w:vAlign w:val="center"/>
          </w:tcPr>
          <w:p w14:paraId="0370C8EF" w14:textId="1BFD13F4" w:rsidR="00150627" w:rsidRPr="001D2390" w:rsidRDefault="00150627" w:rsidP="00153277">
            <w:pPr>
              <w:spacing w:after="0" w:line="240" w:lineRule="auto"/>
              <w:jc w:val="center"/>
              <w:rPr>
                <w:rFonts w:ascii="Times New Roman" w:hAnsi="Times New Roman" w:cs="Times New Roman"/>
                <w:i/>
                <w:iCs/>
                <w:color w:val="0070C0"/>
              </w:rPr>
            </w:pPr>
            <w:r w:rsidRPr="001D2390">
              <w:rPr>
                <w:rFonts w:ascii="Times New Roman" w:hAnsi="Times New Roman" w:cs="Times New Roman"/>
                <w:i/>
                <w:iCs/>
                <w:color w:val="0070C0"/>
              </w:rPr>
              <w:t>M</w:t>
            </w:r>
            <w:r w:rsidRPr="001D2390">
              <w:rPr>
                <w:rFonts w:ascii="Times New Roman" w:hAnsi="Times New Roman" w:cs="Times New Roman"/>
                <w:color w:val="0070C0"/>
              </w:rPr>
              <w:t xml:space="preserve">=0.30, </w:t>
            </w:r>
            <w:r w:rsidRPr="001D2390">
              <w:rPr>
                <w:rFonts w:ascii="Times New Roman" w:hAnsi="Times New Roman" w:cs="Times New Roman"/>
                <w:i/>
                <w:iCs/>
                <w:color w:val="0070C0"/>
              </w:rPr>
              <w:t>SD</w:t>
            </w:r>
            <w:r w:rsidRPr="001D2390">
              <w:rPr>
                <w:rFonts w:ascii="Times New Roman" w:hAnsi="Times New Roman" w:cs="Times New Roman"/>
                <w:color w:val="0070C0"/>
              </w:rPr>
              <w:t>=0.50</w:t>
            </w:r>
            <w:r w:rsidRPr="001D2390">
              <w:rPr>
                <w:rFonts w:ascii="Times New Roman" w:hAnsi="Times New Roman" w:cs="Times New Roman"/>
                <w:color w:val="0070C0"/>
                <w:vertAlign w:val="superscript"/>
              </w:rPr>
              <w:t>*</w:t>
            </w:r>
          </w:p>
        </w:tc>
        <w:tc>
          <w:tcPr>
            <w:tcW w:w="1276" w:type="dxa"/>
            <w:tcBorders>
              <w:top w:val="nil"/>
              <w:bottom w:val="nil"/>
            </w:tcBorders>
            <w:shd w:val="clear" w:color="000000" w:fill="FFFFFF"/>
            <w:vAlign w:val="center"/>
          </w:tcPr>
          <w:p w14:paraId="18D92170" w14:textId="2263179A" w:rsidR="00150627" w:rsidRPr="00846B87" w:rsidRDefault="00150627" w:rsidP="00804D8C">
            <w:pPr>
              <w:spacing w:after="0" w:line="240" w:lineRule="auto"/>
              <w:jc w:val="center"/>
              <w:rPr>
                <w:rFonts w:ascii="Times New Roman" w:hAnsi="Times New Roman" w:cs="Times New Roman"/>
                <w:color w:val="0070C0"/>
                <w:sz w:val="24"/>
                <w:szCs w:val="24"/>
              </w:rPr>
            </w:pPr>
            <w:r>
              <w:rPr>
                <w:rFonts w:ascii="Times New Roman" w:hAnsi="Times New Roman" w:cs="Times New Roman"/>
                <w:color w:val="0070C0"/>
                <w:sz w:val="24"/>
                <w:szCs w:val="24"/>
              </w:rPr>
              <w:t>0.</w:t>
            </w:r>
            <w:r w:rsidR="00FF5FEE">
              <w:rPr>
                <w:rFonts w:ascii="Times New Roman" w:hAnsi="Times New Roman" w:cs="Times New Roman"/>
                <w:color w:val="0070C0"/>
                <w:sz w:val="24"/>
                <w:szCs w:val="24"/>
              </w:rPr>
              <w:t>20</w:t>
            </w:r>
          </w:p>
        </w:tc>
        <w:tc>
          <w:tcPr>
            <w:tcW w:w="708" w:type="dxa"/>
            <w:tcBorders>
              <w:top w:val="nil"/>
              <w:bottom w:val="nil"/>
            </w:tcBorders>
            <w:shd w:val="clear" w:color="000000" w:fill="FFFFFF"/>
            <w:vAlign w:val="center"/>
          </w:tcPr>
          <w:p w14:paraId="5CE48A65" w14:textId="3189A161" w:rsidR="00150627" w:rsidRPr="00846B87" w:rsidRDefault="00150627" w:rsidP="00804D8C">
            <w:pPr>
              <w:spacing w:after="0" w:line="240" w:lineRule="auto"/>
              <w:jc w:val="center"/>
              <w:rPr>
                <w:rFonts w:ascii="Times New Roman" w:hAnsi="Times New Roman" w:cs="Times New Roman"/>
                <w:color w:val="0070C0"/>
                <w:sz w:val="24"/>
                <w:szCs w:val="24"/>
              </w:rPr>
            </w:pPr>
            <w:r>
              <w:rPr>
                <w:rFonts w:ascii="Times New Roman" w:hAnsi="Times New Roman" w:cs="Times New Roman"/>
                <w:color w:val="0070C0"/>
                <w:sz w:val="24"/>
                <w:szCs w:val="24"/>
              </w:rPr>
              <w:t>0.</w:t>
            </w:r>
            <w:r w:rsidR="00657545">
              <w:rPr>
                <w:rFonts w:ascii="Times New Roman" w:hAnsi="Times New Roman" w:cs="Times New Roman"/>
                <w:color w:val="0070C0"/>
                <w:sz w:val="24"/>
                <w:szCs w:val="24"/>
              </w:rPr>
              <w:t>11</w:t>
            </w:r>
          </w:p>
        </w:tc>
        <w:tc>
          <w:tcPr>
            <w:tcW w:w="709" w:type="dxa"/>
            <w:tcBorders>
              <w:top w:val="nil"/>
              <w:bottom w:val="nil"/>
            </w:tcBorders>
            <w:shd w:val="clear" w:color="000000" w:fill="FFFFFF"/>
            <w:vAlign w:val="center"/>
          </w:tcPr>
          <w:p w14:paraId="469E342F" w14:textId="205C49BA" w:rsidR="00150627" w:rsidRPr="00846B87" w:rsidRDefault="00150627" w:rsidP="00804D8C">
            <w:pPr>
              <w:spacing w:after="0" w:line="240" w:lineRule="auto"/>
              <w:jc w:val="center"/>
              <w:rPr>
                <w:rFonts w:ascii="Times New Roman" w:hAnsi="Times New Roman" w:cs="Times New Roman"/>
                <w:color w:val="0070C0"/>
                <w:sz w:val="24"/>
                <w:szCs w:val="24"/>
              </w:rPr>
            </w:pPr>
            <w:r>
              <w:rPr>
                <w:rFonts w:ascii="Times New Roman" w:hAnsi="Times New Roman" w:cs="Times New Roman"/>
                <w:color w:val="0070C0"/>
                <w:sz w:val="24"/>
                <w:szCs w:val="24"/>
              </w:rPr>
              <w:t>0.</w:t>
            </w:r>
            <w:r w:rsidR="00657545">
              <w:rPr>
                <w:rFonts w:ascii="Times New Roman" w:hAnsi="Times New Roman" w:cs="Times New Roman"/>
                <w:color w:val="0070C0"/>
                <w:sz w:val="24"/>
                <w:szCs w:val="24"/>
              </w:rPr>
              <w:t>01</w:t>
            </w:r>
          </w:p>
        </w:tc>
        <w:tc>
          <w:tcPr>
            <w:tcW w:w="709" w:type="dxa"/>
            <w:tcBorders>
              <w:top w:val="nil"/>
              <w:bottom w:val="nil"/>
            </w:tcBorders>
            <w:shd w:val="clear" w:color="000000" w:fill="FFFFFF"/>
            <w:vAlign w:val="center"/>
          </w:tcPr>
          <w:p w14:paraId="3E44D3B4" w14:textId="77CF930A" w:rsidR="00150627" w:rsidRPr="00846B87" w:rsidRDefault="00150627" w:rsidP="00804D8C">
            <w:pPr>
              <w:spacing w:after="0" w:line="240" w:lineRule="auto"/>
              <w:jc w:val="center"/>
              <w:rPr>
                <w:rFonts w:ascii="Times New Roman" w:hAnsi="Times New Roman" w:cs="Times New Roman"/>
                <w:color w:val="0070C0"/>
                <w:sz w:val="24"/>
                <w:szCs w:val="24"/>
              </w:rPr>
            </w:pPr>
            <w:r>
              <w:rPr>
                <w:rFonts w:ascii="Times New Roman" w:hAnsi="Times New Roman" w:cs="Times New Roman"/>
                <w:color w:val="0070C0"/>
                <w:sz w:val="24"/>
                <w:szCs w:val="24"/>
              </w:rPr>
              <w:t>0.4</w:t>
            </w:r>
            <w:r w:rsidR="00657545">
              <w:rPr>
                <w:rFonts w:ascii="Times New Roman" w:hAnsi="Times New Roman" w:cs="Times New Roman"/>
                <w:color w:val="0070C0"/>
                <w:sz w:val="24"/>
                <w:szCs w:val="24"/>
              </w:rPr>
              <w:t>3</w:t>
            </w:r>
          </w:p>
        </w:tc>
        <w:tc>
          <w:tcPr>
            <w:tcW w:w="567" w:type="dxa"/>
            <w:tcBorders>
              <w:top w:val="nil"/>
              <w:bottom w:val="nil"/>
            </w:tcBorders>
            <w:shd w:val="clear" w:color="000000" w:fill="FFFFFF"/>
            <w:vAlign w:val="center"/>
          </w:tcPr>
          <w:p w14:paraId="1AA754F4" w14:textId="3E254BEE" w:rsidR="00150627" w:rsidRPr="00CB3ED7" w:rsidRDefault="00784E15" w:rsidP="00804D8C">
            <w:pPr>
              <w:spacing w:after="0" w:line="240" w:lineRule="auto"/>
              <w:jc w:val="center"/>
              <w:rPr>
                <w:rFonts w:ascii="Times New Roman" w:hAnsi="Times New Roman" w:cs="Times New Roman"/>
                <w:color w:val="0070C0"/>
                <w:sz w:val="24"/>
                <w:szCs w:val="24"/>
              </w:rPr>
            </w:pPr>
            <w:r w:rsidRPr="00CB3ED7">
              <w:rPr>
                <w:rFonts w:ascii="Times New Roman" w:hAnsi="Times New Roman" w:cs="Times New Roman"/>
                <w:color w:val="0070C0"/>
                <w:sz w:val="24"/>
                <w:szCs w:val="24"/>
              </w:rPr>
              <w:t>.10</w:t>
            </w:r>
          </w:p>
        </w:tc>
      </w:tr>
      <w:tr w:rsidR="00150627" w:rsidRPr="00E75205" w14:paraId="579BE039" w14:textId="2072E20B" w:rsidTr="001D2390">
        <w:trPr>
          <w:trHeight w:val="378"/>
        </w:trPr>
        <w:tc>
          <w:tcPr>
            <w:tcW w:w="3402" w:type="dxa"/>
            <w:tcBorders>
              <w:top w:val="nil"/>
              <w:bottom w:val="nil"/>
            </w:tcBorders>
            <w:shd w:val="clear" w:color="000000" w:fill="FFFFFF"/>
            <w:vAlign w:val="center"/>
          </w:tcPr>
          <w:p w14:paraId="6FDA9795" w14:textId="77777777" w:rsidR="00150627" w:rsidRPr="00E75205" w:rsidRDefault="00150627" w:rsidP="00804D8C">
            <w:pPr>
              <w:spacing w:after="0" w:line="240" w:lineRule="auto"/>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Reading acceleration program</w:t>
            </w:r>
          </w:p>
        </w:tc>
        <w:tc>
          <w:tcPr>
            <w:tcW w:w="993" w:type="dxa"/>
            <w:tcBorders>
              <w:top w:val="nil"/>
              <w:bottom w:val="nil"/>
            </w:tcBorders>
            <w:shd w:val="clear" w:color="000000" w:fill="FFFFFF"/>
            <w:vAlign w:val="center"/>
          </w:tcPr>
          <w:p w14:paraId="2FF61063"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3</w:t>
            </w:r>
          </w:p>
        </w:tc>
        <w:tc>
          <w:tcPr>
            <w:tcW w:w="1559" w:type="dxa"/>
            <w:tcBorders>
              <w:top w:val="nil"/>
              <w:bottom w:val="nil"/>
            </w:tcBorders>
            <w:shd w:val="clear" w:color="000000" w:fill="FFFFFF"/>
            <w:vAlign w:val="center"/>
          </w:tcPr>
          <w:p w14:paraId="0DDF771E"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5</w:t>
            </w:r>
          </w:p>
        </w:tc>
        <w:tc>
          <w:tcPr>
            <w:tcW w:w="1276" w:type="dxa"/>
            <w:tcBorders>
              <w:top w:val="nil"/>
              <w:bottom w:val="nil"/>
            </w:tcBorders>
            <w:shd w:val="clear" w:color="000000" w:fill="FFFFFF"/>
            <w:vAlign w:val="center"/>
          </w:tcPr>
          <w:p w14:paraId="50E96282"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15</w:t>
            </w:r>
          </w:p>
        </w:tc>
        <w:tc>
          <w:tcPr>
            <w:tcW w:w="2126" w:type="dxa"/>
            <w:tcBorders>
              <w:top w:val="nil"/>
              <w:bottom w:val="nil"/>
            </w:tcBorders>
            <w:shd w:val="clear" w:color="000000" w:fill="FFFFFF"/>
            <w:vAlign w:val="center"/>
          </w:tcPr>
          <w:p w14:paraId="2475004D" w14:textId="539FFEE0" w:rsidR="00150627" w:rsidRPr="001D2390" w:rsidRDefault="00150627" w:rsidP="00153277">
            <w:pPr>
              <w:spacing w:after="0" w:line="240" w:lineRule="auto"/>
              <w:jc w:val="center"/>
              <w:rPr>
                <w:rFonts w:ascii="Times New Roman" w:hAnsi="Times New Roman" w:cs="Times New Roman"/>
                <w:color w:val="000000" w:themeColor="text1"/>
              </w:rPr>
            </w:pPr>
            <w:r w:rsidRPr="001D2390">
              <w:rPr>
                <w:rFonts w:ascii="Times New Roman" w:hAnsi="Times New Roman" w:cs="Times New Roman"/>
                <w:i/>
                <w:iCs/>
                <w:color w:val="000000" w:themeColor="text1"/>
              </w:rPr>
              <w:t>M</w:t>
            </w:r>
            <w:r w:rsidRPr="001D2390">
              <w:rPr>
                <w:rFonts w:ascii="Times New Roman" w:hAnsi="Times New Roman" w:cs="Times New Roman"/>
                <w:color w:val="000000" w:themeColor="text1"/>
              </w:rPr>
              <w:t xml:space="preserve">=0.30, </w:t>
            </w:r>
            <w:r w:rsidRPr="001D2390">
              <w:rPr>
                <w:rFonts w:ascii="Times New Roman" w:hAnsi="Times New Roman" w:cs="Times New Roman"/>
                <w:i/>
                <w:iCs/>
                <w:color w:val="000000" w:themeColor="text1"/>
              </w:rPr>
              <w:t>SD</w:t>
            </w:r>
            <w:r w:rsidRPr="001D2390">
              <w:rPr>
                <w:rFonts w:ascii="Times New Roman" w:hAnsi="Times New Roman" w:cs="Times New Roman"/>
                <w:color w:val="000000" w:themeColor="text1"/>
              </w:rPr>
              <w:t>=0.50</w:t>
            </w:r>
            <w:r w:rsidRPr="001D2390">
              <w:rPr>
                <w:rFonts w:ascii="Times New Roman" w:hAnsi="Times New Roman" w:cs="Times New Roman"/>
                <w:color w:val="000000" w:themeColor="text1"/>
                <w:vertAlign w:val="superscript"/>
              </w:rPr>
              <w:t>*</w:t>
            </w:r>
          </w:p>
        </w:tc>
        <w:tc>
          <w:tcPr>
            <w:tcW w:w="1276" w:type="dxa"/>
            <w:tcBorders>
              <w:top w:val="nil"/>
              <w:bottom w:val="nil"/>
            </w:tcBorders>
            <w:shd w:val="clear" w:color="000000" w:fill="FFFFFF"/>
            <w:vAlign w:val="center"/>
          </w:tcPr>
          <w:p w14:paraId="3799531A"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0.61</w:t>
            </w:r>
          </w:p>
        </w:tc>
        <w:tc>
          <w:tcPr>
            <w:tcW w:w="708" w:type="dxa"/>
            <w:tcBorders>
              <w:top w:val="nil"/>
              <w:bottom w:val="nil"/>
            </w:tcBorders>
            <w:shd w:val="clear" w:color="000000" w:fill="FFFFFF"/>
            <w:vAlign w:val="center"/>
          </w:tcPr>
          <w:p w14:paraId="1015F114"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0.11</w:t>
            </w:r>
          </w:p>
        </w:tc>
        <w:tc>
          <w:tcPr>
            <w:tcW w:w="709" w:type="dxa"/>
            <w:tcBorders>
              <w:top w:val="nil"/>
              <w:bottom w:val="nil"/>
            </w:tcBorders>
            <w:shd w:val="clear" w:color="000000" w:fill="FFFFFF"/>
            <w:vAlign w:val="center"/>
          </w:tcPr>
          <w:p w14:paraId="34CE3D92"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0.38</w:t>
            </w:r>
          </w:p>
        </w:tc>
        <w:tc>
          <w:tcPr>
            <w:tcW w:w="709" w:type="dxa"/>
            <w:tcBorders>
              <w:top w:val="nil"/>
              <w:bottom w:val="nil"/>
            </w:tcBorders>
            <w:shd w:val="clear" w:color="000000" w:fill="FFFFFF"/>
            <w:vAlign w:val="center"/>
          </w:tcPr>
          <w:p w14:paraId="671CD172"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0.83</w:t>
            </w:r>
          </w:p>
        </w:tc>
        <w:tc>
          <w:tcPr>
            <w:tcW w:w="567" w:type="dxa"/>
            <w:tcBorders>
              <w:top w:val="nil"/>
              <w:bottom w:val="nil"/>
            </w:tcBorders>
            <w:shd w:val="clear" w:color="000000" w:fill="FFFFFF"/>
            <w:vAlign w:val="center"/>
          </w:tcPr>
          <w:p w14:paraId="72568BD2" w14:textId="165CB958" w:rsidR="00150627" w:rsidRPr="00CB3ED7" w:rsidRDefault="00CB3ED7" w:rsidP="00804D8C">
            <w:pPr>
              <w:spacing w:after="0" w:line="240" w:lineRule="auto"/>
              <w:jc w:val="center"/>
              <w:rPr>
                <w:rFonts w:ascii="Times New Roman" w:hAnsi="Times New Roman" w:cs="Times New Roman"/>
                <w:color w:val="0070C0"/>
                <w:sz w:val="24"/>
                <w:szCs w:val="24"/>
              </w:rPr>
            </w:pPr>
            <w:r w:rsidRPr="00CB3ED7">
              <w:rPr>
                <w:rFonts w:ascii="Times New Roman" w:hAnsi="Times New Roman" w:cs="Times New Roman"/>
                <w:color w:val="0070C0"/>
                <w:sz w:val="24"/>
                <w:szCs w:val="24"/>
              </w:rPr>
              <w:t>.08</w:t>
            </w:r>
          </w:p>
        </w:tc>
      </w:tr>
      <w:tr w:rsidR="00150627" w:rsidRPr="00E75205" w14:paraId="1F7C9932" w14:textId="7D3EF098" w:rsidTr="001D2390">
        <w:trPr>
          <w:trHeight w:val="378"/>
        </w:trPr>
        <w:tc>
          <w:tcPr>
            <w:tcW w:w="3402" w:type="dxa"/>
            <w:tcBorders>
              <w:top w:val="nil"/>
              <w:bottom w:val="single" w:sz="4" w:space="0" w:color="auto"/>
            </w:tcBorders>
            <w:shd w:val="clear" w:color="000000" w:fill="FFFFFF"/>
            <w:vAlign w:val="center"/>
          </w:tcPr>
          <w:p w14:paraId="11F5D46F" w14:textId="77777777" w:rsidR="00150627" w:rsidRPr="00E75205" w:rsidRDefault="00150627" w:rsidP="00804D8C">
            <w:pPr>
              <w:spacing w:after="0" w:line="240" w:lineRule="auto"/>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Working memory</w:t>
            </w:r>
          </w:p>
        </w:tc>
        <w:tc>
          <w:tcPr>
            <w:tcW w:w="993" w:type="dxa"/>
            <w:tcBorders>
              <w:top w:val="nil"/>
              <w:bottom w:val="single" w:sz="4" w:space="0" w:color="auto"/>
            </w:tcBorders>
            <w:shd w:val="clear" w:color="000000" w:fill="FFFFFF"/>
            <w:vAlign w:val="center"/>
          </w:tcPr>
          <w:p w14:paraId="1EE3651E"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3</w:t>
            </w:r>
          </w:p>
        </w:tc>
        <w:tc>
          <w:tcPr>
            <w:tcW w:w="1559" w:type="dxa"/>
            <w:tcBorders>
              <w:top w:val="nil"/>
              <w:bottom w:val="single" w:sz="4" w:space="0" w:color="auto"/>
            </w:tcBorders>
            <w:shd w:val="clear" w:color="000000" w:fill="FFFFFF"/>
            <w:vAlign w:val="center"/>
          </w:tcPr>
          <w:p w14:paraId="14AAEB9F"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4</w:t>
            </w:r>
          </w:p>
        </w:tc>
        <w:tc>
          <w:tcPr>
            <w:tcW w:w="1276" w:type="dxa"/>
            <w:tcBorders>
              <w:top w:val="nil"/>
              <w:bottom w:val="single" w:sz="4" w:space="0" w:color="auto"/>
            </w:tcBorders>
            <w:shd w:val="clear" w:color="000000" w:fill="FFFFFF"/>
            <w:vAlign w:val="center"/>
          </w:tcPr>
          <w:p w14:paraId="7C1DDD51"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12</w:t>
            </w:r>
          </w:p>
        </w:tc>
        <w:tc>
          <w:tcPr>
            <w:tcW w:w="2126" w:type="dxa"/>
            <w:tcBorders>
              <w:top w:val="nil"/>
              <w:bottom w:val="single" w:sz="4" w:space="0" w:color="auto"/>
            </w:tcBorders>
            <w:shd w:val="clear" w:color="000000" w:fill="FFFFFF"/>
            <w:vAlign w:val="center"/>
          </w:tcPr>
          <w:p w14:paraId="20C07339" w14:textId="2BAA121B" w:rsidR="00150627" w:rsidRPr="001D2390" w:rsidRDefault="00150627" w:rsidP="00153277">
            <w:pPr>
              <w:spacing w:after="0" w:line="240" w:lineRule="auto"/>
              <w:jc w:val="center"/>
              <w:rPr>
                <w:rFonts w:ascii="Times New Roman" w:hAnsi="Times New Roman" w:cs="Times New Roman"/>
                <w:color w:val="000000" w:themeColor="text1"/>
              </w:rPr>
            </w:pPr>
            <w:r w:rsidRPr="001D2390">
              <w:rPr>
                <w:rFonts w:ascii="Times New Roman" w:hAnsi="Times New Roman" w:cs="Times New Roman"/>
                <w:i/>
                <w:iCs/>
                <w:color w:val="000000" w:themeColor="text1"/>
              </w:rPr>
              <w:t>M</w:t>
            </w:r>
            <w:r w:rsidRPr="001D2390">
              <w:rPr>
                <w:rFonts w:ascii="Times New Roman" w:hAnsi="Times New Roman" w:cs="Times New Roman"/>
                <w:color w:val="000000" w:themeColor="text1"/>
              </w:rPr>
              <w:t xml:space="preserve">=0.30, </w:t>
            </w:r>
            <w:r w:rsidRPr="001D2390">
              <w:rPr>
                <w:rFonts w:ascii="Times New Roman" w:hAnsi="Times New Roman" w:cs="Times New Roman"/>
                <w:i/>
                <w:iCs/>
                <w:color w:val="000000" w:themeColor="text1"/>
              </w:rPr>
              <w:t>SD</w:t>
            </w:r>
            <w:r w:rsidRPr="001D2390">
              <w:rPr>
                <w:rFonts w:ascii="Times New Roman" w:hAnsi="Times New Roman" w:cs="Times New Roman"/>
                <w:color w:val="000000" w:themeColor="text1"/>
              </w:rPr>
              <w:t>=0.50</w:t>
            </w:r>
            <w:r w:rsidRPr="001D2390">
              <w:rPr>
                <w:rFonts w:ascii="Times New Roman" w:hAnsi="Times New Roman" w:cs="Times New Roman"/>
                <w:color w:val="000000" w:themeColor="text1"/>
                <w:vertAlign w:val="superscript"/>
              </w:rPr>
              <w:t>*</w:t>
            </w:r>
          </w:p>
        </w:tc>
        <w:tc>
          <w:tcPr>
            <w:tcW w:w="1276" w:type="dxa"/>
            <w:tcBorders>
              <w:top w:val="nil"/>
              <w:bottom w:val="single" w:sz="4" w:space="0" w:color="auto"/>
            </w:tcBorders>
            <w:shd w:val="clear" w:color="000000" w:fill="FFFFFF"/>
            <w:vAlign w:val="center"/>
          </w:tcPr>
          <w:p w14:paraId="121122DC"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0.36</w:t>
            </w:r>
          </w:p>
        </w:tc>
        <w:tc>
          <w:tcPr>
            <w:tcW w:w="708" w:type="dxa"/>
            <w:tcBorders>
              <w:top w:val="nil"/>
              <w:bottom w:val="single" w:sz="4" w:space="0" w:color="auto"/>
            </w:tcBorders>
            <w:shd w:val="clear" w:color="000000" w:fill="FFFFFF"/>
            <w:vAlign w:val="center"/>
          </w:tcPr>
          <w:p w14:paraId="3672FA89"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0.13</w:t>
            </w:r>
          </w:p>
        </w:tc>
        <w:tc>
          <w:tcPr>
            <w:tcW w:w="709" w:type="dxa"/>
            <w:tcBorders>
              <w:top w:val="nil"/>
              <w:bottom w:val="single" w:sz="4" w:space="0" w:color="auto"/>
            </w:tcBorders>
            <w:shd w:val="clear" w:color="000000" w:fill="FFFFFF"/>
            <w:vAlign w:val="center"/>
          </w:tcPr>
          <w:p w14:paraId="74021E7A"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0.10</w:t>
            </w:r>
          </w:p>
        </w:tc>
        <w:tc>
          <w:tcPr>
            <w:tcW w:w="709" w:type="dxa"/>
            <w:tcBorders>
              <w:top w:val="nil"/>
              <w:bottom w:val="single" w:sz="4" w:space="0" w:color="auto"/>
            </w:tcBorders>
            <w:shd w:val="clear" w:color="000000" w:fill="FFFFFF"/>
            <w:vAlign w:val="center"/>
          </w:tcPr>
          <w:p w14:paraId="10581DD1" w14:textId="77777777" w:rsidR="00150627" w:rsidRPr="00E75205" w:rsidRDefault="00150627" w:rsidP="00804D8C">
            <w:pPr>
              <w:spacing w:after="0" w:line="240" w:lineRule="auto"/>
              <w:jc w:val="center"/>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rPr>
              <w:t>0.61</w:t>
            </w:r>
          </w:p>
        </w:tc>
        <w:tc>
          <w:tcPr>
            <w:tcW w:w="567" w:type="dxa"/>
            <w:tcBorders>
              <w:top w:val="nil"/>
              <w:bottom w:val="single" w:sz="4" w:space="0" w:color="auto"/>
            </w:tcBorders>
            <w:shd w:val="clear" w:color="000000" w:fill="FFFFFF"/>
            <w:vAlign w:val="center"/>
          </w:tcPr>
          <w:p w14:paraId="72A0FA6A" w14:textId="5812D5E8" w:rsidR="00150627" w:rsidRPr="00CB3ED7" w:rsidRDefault="00CB3ED7" w:rsidP="00804D8C">
            <w:pPr>
              <w:spacing w:after="0" w:line="240" w:lineRule="auto"/>
              <w:jc w:val="center"/>
              <w:rPr>
                <w:rFonts w:ascii="Times New Roman" w:hAnsi="Times New Roman" w:cs="Times New Roman"/>
                <w:color w:val="0070C0"/>
                <w:sz w:val="24"/>
                <w:szCs w:val="24"/>
              </w:rPr>
            </w:pPr>
            <w:r w:rsidRPr="00CB3ED7">
              <w:rPr>
                <w:rFonts w:ascii="Times New Roman" w:hAnsi="Times New Roman" w:cs="Times New Roman"/>
                <w:color w:val="0070C0"/>
                <w:sz w:val="24"/>
                <w:szCs w:val="24"/>
              </w:rPr>
              <w:t>.09</w:t>
            </w:r>
          </w:p>
        </w:tc>
      </w:tr>
    </w:tbl>
    <w:p w14:paraId="0A0DC478" w14:textId="77777777" w:rsidR="00E75205" w:rsidRPr="00E75205" w:rsidRDefault="00E75205" w:rsidP="00804D8C">
      <w:pPr>
        <w:spacing w:after="0" w:line="480" w:lineRule="auto"/>
        <w:ind w:left="709" w:hanging="709"/>
        <w:rPr>
          <w:rFonts w:ascii="Times New Roman" w:hAnsi="Times New Roman" w:cs="Times New Roman"/>
          <w:color w:val="000000" w:themeColor="text1"/>
          <w:sz w:val="24"/>
          <w:szCs w:val="24"/>
        </w:rPr>
      </w:pPr>
      <w:r w:rsidRPr="00E75205">
        <w:rPr>
          <w:rFonts w:ascii="Times New Roman" w:hAnsi="Times New Roman" w:cs="Times New Roman"/>
          <w:i/>
          <w:iCs/>
          <w:color w:val="000000" w:themeColor="text1"/>
          <w:sz w:val="24"/>
          <w:szCs w:val="24"/>
        </w:rPr>
        <w:t>Note</w:t>
      </w:r>
      <w:r w:rsidRPr="00E75205">
        <w:rPr>
          <w:rFonts w:ascii="Times New Roman" w:hAnsi="Times New Roman" w:cs="Times New Roman"/>
          <w:color w:val="000000" w:themeColor="text1"/>
          <w:sz w:val="24"/>
          <w:szCs w:val="24"/>
        </w:rPr>
        <w:t>. The analysis was limited to treatment approaches for which there were at least 3 studies.</w:t>
      </w:r>
    </w:p>
    <w:p w14:paraId="4D36F700" w14:textId="7AD68C86" w:rsidR="00E75205" w:rsidRPr="00FA7E2E" w:rsidRDefault="00E75205" w:rsidP="00804D8C">
      <w:pPr>
        <w:spacing w:after="0" w:line="480" w:lineRule="auto"/>
        <w:ind w:left="709" w:hanging="709"/>
        <w:rPr>
          <w:rFonts w:ascii="Times New Roman" w:hAnsi="Times New Roman" w:cs="Times New Roman"/>
          <w:color w:val="000000" w:themeColor="text1"/>
          <w:sz w:val="24"/>
          <w:szCs w:val="24"/>
        </w:rPr>
      </w:pPr>
      <w:r w:rsidRPr="00E75205">
        <w:rPr>
          <w:rFonts w:ascii="Times New Roman" w:hAnsi="Times New Roman" w:cs="Times New Roman"/>
          <w:color w:val="000000" w:themeColor="text1"/>
          <w:sz w:val="24"/>
          <w:szCs w:val="24"/>
          <w:vertAlign w:val="superscript"/>
        </w:rPr>
        <w:t xml:space="preserve">* </w:t>
      </w:r>
      <w:r w:rsidRPr="00E75205">
        <w:rPr>
          <w:rFonts w:ascii="Times New Roman" w:hAnsi="Times New Roman" w:cs="Times New Roman"/>
          <w:color w:val="000000" w:themeColor="text1"/>
          <w:sz w:val="24"/>
          <w:szCs w:val="24"/>
        </w:rPr>
        <w:t>Weakly informed prior centered on the overall mean effect size for plausibility.</w:t>
      </w:r>
    </w:p>
    <w:p w14:paraId="13D9DEE7" w14:textId="61FFB2F7" w:rsidR="00FA7E2E" w:rsidRPr="00F0392E" w:rsidRDefault="00FA7E2E" w:rsidP="00804D8C">
      <w:pPr>
        <w:spacing w:after="0" w:line="480" w:lineRule="auto"/>
        <w:ind w:left="709" w:hanging="709"/>
        <w:rPr>
          <w:rFonts w:ascii="Times New Roman" w:hAnsi="Times New Roman" w:cs="Times New Roman"/>
          <w:color w:val="0070C0"/>
          <w:sz w:val="24"/>
          <w:szCs w:val="24"/>
        </w:rPr>
      </w:pPr>
      <w:r w:rsidRPr="00F0392E">
        <w:rPr>
          <w:rFonts w:ascii="Times New Roman" w:hAnsi="Times New Roman" w:cs="Times New Roman"/>
          <w:color w:val="0070C0"/>
          <w:sz w:val="24"/>
          <w:szCs w:val="24"/>
          <w:vertAlign w:val="superscript"/>
        </w:rPr>
        <w:t>†</w:t>
      </w:r>
      <w:r w:rsidRPr="00F0392E">
        <w:rPr>
          <w:rFonts w:ascii="Times New Roman" w:hAnsi="Times New Roman" w:cs="Times New Roman"/>
          <w:color w:val="0070C0"/>
          <w:sz w:val="24"/>
          <w:szCs w:val="24"/>
        </w:rPr>
        <w:t>τ estimates the heterogeneity and it represents the estimated SD of the true effects across studies.</w:t>
      </w:r>
    </w:p>
    <w:p w14:paraId="096AF28C" w14:textId="5CAC051D" w:rsidR="000C5DA7" w:rsidRDefault="000C5DA7" w:rsidP="000C5DA7">
      <w:pPr>
        <w:spacing w:after="0" w:line="480" w:lineRule="auto"/>
        <w:ind w:firstLine="567"/>
        <w:rPr>
          <w:rFonts w:ascii="Times New Roman" w:hAnsi="Times New Roman" w:cs="Times New Roman"/>
          <w:color w:val="0070C0"/>
          <w:sz w:val="24"/>
          <w:szCs w:val="24"/>
        </w:rPr>
      </w:pPr>
      <w:r>
        <w:rPr>
          <w:rFonts w:ascii="Times New Roman" w:hAnsi="Times New Roman" w:cs="Times New Roman"/>
          <w:color w:val="0070C0"/>
          <w:sz w:val="24"/>
          <w:szCs w:val="24"/>
        </w:rPr>
        <w:lastRenderedPageBreak/>
        <w:t xml:space="preserve">As </w:t>
      </w:r>
      <w:r w:rsidR="004F5330">
        <w:rPr>
          <w:rFonts w:ascii="Times New Roman" w:hAnsi="Times New Roman" w:cs="Times New Roman"/>
          <w:color w:val="0070C0"/>
          <w:sz w:val="24"/>
          <w:szCs w:val="24"/>
        </w:rPr>
        <w:t xml:space="preserve">for </w:t>
      </w:r>
      <w:r>
        <w:rPr>
          <w:rFonts w:ascii="Times New Roman" w:hAnsi="Times New Roman" w:cs="Times New Roman"/>
          <w:color w:val="0070C0"/>
          <w:sz w:val="24"/>
          <w:szCs w:val="24"/>
        </w:rPr>
        <w:t xml:space="preserve">none of the treatment approaches </w:t>
      </w:r>
      <w:r w:rsidR="004F5330">
        <w:rPr>
          <w:rFonts w:ascii="Times New Roman" w:hAnsi="Times New Roman" w:cs="Times New Roman"/>
          <w:color w:val="0070C0"/>
          <w:sz w:val="24"/>
          <w:szCs w:val="24"/>
        </w:rPr>
        <w:t xml:space="preserve">there </w:t>
      </w:r>
      <w:r w:rsidR="0052587A">
        <w:rPr>
          <w:rFonts w:ascii="Times New Roman" w:hAnsi="Times New Roman" w:cs="Times New Roman"/>
          <w:color w:val="0070C0"/>
          <w:sz w:val="24"/>
          <w:szCs w:val="24"/>
        </w:rPr>
        <w:t>was a substantial number of</w:t>
      </w:r>
      <w:r>
        <w:rPr>
          <w:rFonts w:ascii="Times New Roman" w:hAnsi="Times New Roman" w:cs="Times New Roman"/>
          <w:color w:val="0070C0"/>
          <w:sz w:val="24"/>
          <w:szCs w:val="24"/>
        </w:rPr>
        <w:t xml:space="preserve"> studies (the maximum is k = 8), these results must be taken with much caution, </w:t>
      </w:r>
      <w:r w:rsidR="0052587A">
        <w:rPr>
          <w:rFonts w:ascii="Times New Roman" w:hAnsi="Times New Roman" w:cs="Times New Roman"/>
          <w:color w:val="0070C0"/>
          <w:sz w:val="24"/>
          <w:szCs w:val="24"/>
        </w:rPr>
        <w:t>particularly</w:t>
      </w:r>
      <w:r>
        <w:rPr>
          <w:rFonts w:ascii="Times New Roman" w:hAnsi="Times New Roman" w:cs="Times New Roman"/>
          <w:color w:val="0070C0"/>
          <w:sz w:val="24"/>
          <w:szCs w:val="24"/>
        </w:rPr>
        <w:t xml:space="preserve"> </w:t>
      </w:r>
      <w:r w:rsidR="0052587A">
        <w:rPr>
          <w:rFonts w:ascii="Times New Roman" w:hAnsi="Times New Roman" w:cs="Times New Roman"/>
          <w:color w:val="0070C0"/>
          <w:sz w:val="24"/>
          <w:szCs w:val="24"/>
        </w:rPr>
        <w:t xml:space="preserve">when </w:t>
      </w:r>
      <w:r w:rsidR="002E73CE">
        <w:rPr>
          <w:rFonts w:ascii="Times New Roman" w:hAnsi="Times New Roman" w:cs="Times New Roman"/>
          <w:color w:val="0070C0"/>
          <w:sz w:val="24"/>
          <w:szCs w:val="24"/>
        </w:rPr>
        <w:t>considering</w:t>
      </w:r>
      <w:r>
        <w:rPr>
          <w:rFonts w:ascii="Times New Roman" w:hAnsi="Times New Roman" w:cs="Times New Roman"/>
          <w:color w:val="0070C0"/>
          <w:sz w:val="24"/>
          <w:szCs w:val="24"/>
        </w:rPr>
        <w:t xml:space="preserve"> the large heterogeneity (</w:t>
      </w:r>
      <w:r w:rsidRPr="00C31CCD">
        <w:rPr>
          <w:rFonts w:ascii="Times New Roman" w:hAnsi="Times New Roman" w:cs="Times New Roman"/>
          <w:color w:val="0070C0"/>
          <w:sz w:val="24"/>
          <w:szCs w:val="24"/>
        </w:rPr>
        <w:t>τ</w:t>
      </w:r>
      <w:r>
        <w:rPr>
          <w:rFonts w:ascii="Times New Roman" w:hAnsi="Times New Roman" w:cs="Times New Roman"/>
          <w:color w:val="0070C0"/>
          <w:sz w:val="24"/>
          <w:szCs w:val="24"/>
        </w:rPr>
        <w:t xml:space="preserve"> estimates), and the general risk of publication bias highlighted in the manuscript. The publication bias </w:t>
      </w:r>
      <w:r w:rsidR="002E73CE">
        <w:rPr>
          <w:rFonts w:ascii="Times New Roman" w:hAnsi="Times New Roman" w:cs="Times New Roman"/>
          <w:color w:val="0070C0"/>
          <w:sz w:val="24"/>
          <w:szCs w:val="24"/>
        </w:rPr>
        <w:t>was</w:t>
      </w:r>
      <w:r>
        <w:rPr>
          <w:rFonts w:ascii="Times New Roman" w:hAnsi="Times New Roman" w:cs="Times New Roman"/>
          <w:color w:val="0070C0"/>
          <w:sz w:val="24"/>
          <w:szCs w:val="24"/>
        </w:rPr>
        <w:t xml:space="preserve"> not examined separately by treatment approach </w:t>
      </w:r>
      <w:r w:rsidR="002E73CE">
        <w:rPr>
          <w:rFonts w:ascii="Times New Roman" w:hAnsi="Times New Roman" w:cs="Times New Roman"/>
          <w:color w:val="0070C0"/>
          <w:sz w:val="24"/>
          <w:szCs w:val="24"/>
        </w:rPr>
        <w:t>because t</w:t>
      </w:r>
      <w:r>
        <w:rPr>
          <w:rFonts w:ascii="Times New Roman" w:hAnsi="Times New Roman" w:cs="Times New Roman"/>
          <w:color w:val="0070C0"/>
          <w:sz w:val="24"/>
          <w:szCs w:val="24"/>
        </w:rPr>
        <w:t xml:space="preserve">he number of studies </w:t>
      </w:r>
      <w:r w:rsidR="002E73CE">
        <w:rPr>
          <w:rFonts w:ascii="Times New Roman" w:hAnsi="Times New Roman" w:cs="Times New Roman"/>
          <w:color w:val="0070C0"/>
          <w:sz w:val="24"/>
          <w:szCs w:val="24"/>
        </w:rPr>
        <w:t>for</w:t>
      </w:r>
      <w:r>
        <w:rPr>
          <w:rFonts w:ascii="Times New Roman" w:hAnsi="Times New Roman" w:cs="Times New Roman"/>
          <w:color w:val="0070C0"/>
          <w:sz w:val="24"/>
          <w:szCs w:val="24"/>
        </w:rPr>
        <w:t xml:space="preserve"> </w:t>
      </w:r>
      <w:r w:rsidR="00467961">
        <w:rPr>
          <w:rFonts w:ascii="Times New Roman" w:hAnsi="Times New Roman" w:cs="Times New Roman"/>
          <w:color w:val="0070C0"/>
          <w:sz w:val="24"/>
          <w:szCs w:val="24"/>
        </w:rPr>
        <w:t>any single</w:t>
      </w:r>
      <w:r>
        <w:rPr>
          <w:rFonts w:ascii="Times New Roman" w:hAnsi="Times New Roman" w:cs="Times New Roman"/>
          <w:color w:val="0070C0"/>
          <w:sz w:val="24"/>
          <w:szCs w:val="24"/>
        </w:rPr>
        <w:t xml:space="preserve"> approach</w:t>
      </w:r>
      <w:r w:rsidR="002E73CE">
        <w:rPr>
          <w:rFonts w:ascii="Times New Roman" w:hAnsi="Times New Roman" w:cs="Times New Roman"/>
          <w:color w:val="0070C0"/>
          <w:sz w:val="24"/>
          <w:szCs w:val="24"/>
        </w:rPr>
        <w:t xml:space="preserve"> was limited</w:t>
      </w:r>
      <w:r w:rsidR="0052587A">
        <w:rPr>
          <w:rFonts w:ascii="Times New Roman" w:hAnsi="Times New Roman" w:cs="Times New Roman"/>
          <w:color w:val="0070C0"/>
          <w:sz w:val="24"/>
          <w:szCs w:val="24"/>
        </w:rPr>
        <w:t>, making it difficult to evaluate this effect</w:t>
      </w:r>
      <w:r>
        <w:rPr>
          <w:rFonts w:ascii="Times New Roman" w:hAnsi="Times New Roman" w:cs="Times New Roman"/>
          <w:color w:val="0070C0"/>
          <w:sz w:val="24"/>
          <w:szCs w:val="24"/>
        </w:rPr>
        <w:t>.</w:t>
      </w:r>
    </w:p>
    <w:p w14:paraId="7D184F60" w14:textId="49EBF1C7" w:rsidR="00895844" w:rsidRPr="009B2524" w:rsidRDefault="0052587A" w:rsidP="000C5DA7">
      <w:pPr>
        <w:spacing w:after="0" w:line="480" w:lineRule="auto"/>
        <w:ind w:firstLine="567"/>
        <w:rPr>
          <w:rFonts w:ascii="Times New Roman" w:hAnsi="Times New Roman" w:cs="Times New Roman"/>
          <w:color w:val="0070C0"/>
          <w:sz w:val="24"/>
          <w:szCs w:val="24"/>
        </w:rPr>
      </w:pPr>
      <w:r>
        <w:rPr>
          <w:rFonts w:ascii="Times New Roman" w:hAnsi="Times New Roman" w:cs="Times New Roman"/>
          <w:color w:val="0070C0"/>
          <w:sz w:val="24"/>
          <w:szCs w:val="24"/>
        </w:rPr>
        <w:t xml:space="preserve">It is also worth to note </w:t>
      </w:r>
      <w:r w:rsidR="00895844">
        <w:rPr>
          <w:rFonts w:ascii="Times New Roman" w:hAnsi="Times New Roman" w:cs="Times New Roman"/>
          <w:color w:val="0070C0"/>
          <w:sz w:val="24"/>
          <w:szCs w:val="24"/>
        </w:rPr>
        <w:t>that</w:t>
      </w:r>
      <w:r>
        <w:rPr>
          <w:rFonts w:ascii="Times New Roman" w:hAnsi="Times New Roman" w:cs="Times New Roman"/>
          <w:color w:val="0070C0"/>
          <w:sz w:val="24"/>
          <w:szCs w:val="24"/>
        </w:rPr>
        <w:t xml:space="preserve">, in order to aggregate as many studies as possible, some </w:t>
      </w:r>
      <w:r w:rsidR="00895844">
        <w:rPr>
          <w:rFonts w:ascii="Times New Roman" w:hAnsi="Times New Roman" w:cs="Times New Roman"/>
          <w:color w:val="0070C0"/>
          <w:sz w:val="24"/>
          <w:szCs w:val="24"/>
        </w:rPr>
        <w:t xml:space="preserve">specific categories of treatment approach presented in Table S1 were </w:t>
      </w:r>
      <w:r>
        <w:rPr>
          <w:rFonts w:ascii="Times New Roman" w:hAnsi="Times New Roman" w:cs="Times New Roman"/>
          <w:color w:val="0070C0"/>
          <w:sz w:val="24"/>
          <w:szCs w:val="24"/>
        </w:rPr>
        <w:t xml:space="preserve">introduced </w:t>
      </w:r>
      <w:r w:rsidR="00ED4E97">
        <w:rPr>
          <w:rFonts w:ascii="Times New Roman" w:hAnsi="Times New Roman" w:cs="Times New Roman"/>
          <w:color w:val="0070C0"/>
          <w:sz w:val="24"/>
          <w:szCs w:val="24"/>
        </w:rPr>
        <w:t xml:space="preserve">by the authors of the </w:t>
      </w:r>
      <w:r>
        <w:rPr>
          <w:rFonts w:ascii="Times New Roman" w:hAnsi="Times New Roman" w:cs="Times New Roman"/>
          <w:color w:val="0070C0"/>
          <w:sz w:val="24"/>
          <w:szCs w:val="24"/>
        </w:rPr>
        <w:t xml:space="preserve">current report </w:t>
      </w:r>
      <w:r w:rsidR="00ED4E97">
        <w:rPr>
          <w:rFonts w:ascii="Times New Roman" w:hAnsi="Times New Roman" w:cs="Times New Roman"/>
          <w:color w:val="0070C0"/>
          <w:sz w:val="24"/>
          <w:szCs w:val="24"/>
        </w:rPr>
        <w:t xml:space="preserve">and do not necessarily reflect </w:t>
      </w:r>
      <w:r w:rsidR="00B50749">
        <w:rPr>
          <w:rFonts w:ascii="Times New Roman" w:hAnsi="Times New Roman" w:cs="Times New Roman"/>
          <w:color w:val="0070C0"/>
          <w:sz w:val="24"/>
          <w:szCs w:val="24"/>
        </w:rPr>
        <w:t>the terminology used in</w:t>
      </w:r>
      <w:r w:rsidR="00AD104A">
        <w:rPr>
          <w:rFonts w:ascii="Times New Roman" w:hAnsi="Times New Roman" w:cs="Times New Roman"/>
          <w:color w:val="0070C0"/>
          <w:sz w:val="24"/>
          <w:szCs w:val="24"/>
        </w:rPr>
        <w:t xml:space="preserve"> the original studies</w:t>
      </w:r>
      <w:r w:rsidR="00ED4E97">
        <w:rPr>
          <w:rFonts w:ascii="Times New Roman" w:hAnsi="Times New Roman" w:cs="Times New Roman"/>
          <w:color w:val="0070C0"/>
          <w:sz w:val="24"/>
          <w:szCs w:val="24"/>
        </w:rPr>
        <w:t>.</w:t>
      </w:r>
    </w:p>
    <w:p w14:paraId="64E7D4F2" w14:textId="77777777" w:rsidR="00E75205" w:rsidRPr="00E75205" w:rsidRDefault="00E75205" w:rsidP="00804D8C">
      <w:pPr>
        <w:spacing w:after="0" w:line="480" w:lineRule="auto"/>
        <w:jc w:val="center"/>
        <w:rPr>
          <w:rFonts w:ascii="Times New Roman" w:eastAsia="Times New Roman" w:hAnsi="Times New Roman" w:cs="Times New Roman"/>
          <w:b/>
          <w:bCs/>
          <w:sz w:val="24"/>
          <w:szCs w:val="24"/>
          <w:lang w:eastAsia="it-IT"/>
        </w:rPr>
      </w:pPr>
    </w:p>
    <w:sectPr w:rsidR="00E75205" w:rsidRPr="00E75205" w:rsidSect="00E75205">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C518E3" w14:textId="77777777" w:rsidR="00806C73" w:rsidRDefault="00806C73" w:rsidP="00226971">
      <w:pPr>
        <w:spacing w:after="0" w:line="240" w:lineRule="auto"/>
      </w:pPr>
      <w:r>
        <w:separator/>
      </w:r>
    </w:p>
  </w:endnote>
  <w:endnote w:type="continuationSeparator" w:id="0">
    <w:p w14:paraId="7E6F9D61" w14:textId="77777777" w:rsidR="00806C73" w:rsidRDefault="00806C73" w:rsidP="00226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12022664"/>
      <w:docPartObj>
        <w:docPartGallery w:val="Page Numbers (Bottom of Page)"/>
        <w:docPartUnique/>
      </w:docPartObj>
    </w:sdtPr>
    <w:sdtEndPr>
      <w:rPr>
        <w:rStyle w:val="PageNumber"/>
      </w:rPr>
    </w:sdtEndPr>
    <w:sdtContent>
      <w:p w14:paraId="4F97AC0A" w14:textId="5B94E087" w:rsidR="00FF1939" w:rsidRDefault="00FF1939" w:rsidP="001263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994FCF" w14:textId="77777777" w:rsidR="00FF1939" w:rsidRDefault="00FF1939" w:rsidP="002269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C85F" w14:textId="77777777" w:rsidR="00FF1939" w:rsidRDefault="00FF1939" w:rsidP="006304CA">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8FE888" w14:textId="77777777" w:rsidR="00806C73" w:rsidRDefault="00806C73" w:rsidP="00226971">
      <w:pPr>
        <w:spacing w:after="0" w:line="240" w:lineRule="auto"/>
      </w:pPr>
      <w:r>
        <w:separator/>
      </w:r>
    </w:p>
  </w:footnote>
  <w:footnote w:type="continuationSeparator" w:id="0">
    <w:p w14:paraId="5694A08B" w14:textId="77777777" w:rsidR="00806C73" w:rsidRDefault="00806C73" w:rsidP="00226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4112123"/>
      <w:docPartObj>
        <w:docPartGallery w:val="Page Numbers (Top of Page)"/>
        <w:docPartUnique/>
      </w:docPartObj>
    </w:sdtPr>
    <w:sdtEndPr>
      <w:rPr>
        <w:noProof/>
      </w:rPr>
    </w:sdtEndPr>
    <w:sdtContent>
      <w:p w14:paraId="61A59434" w14:textId="4141E703" w:rsidR="006304CA" w:rsidRDefault="006304CA" w:rsidP="006304CA">
        <w:pPr>
          <w:pStyle w:val="Header"/>
        </w:pPr>
        <w:r>
          <w:t>SUPPLEMENTAL MATERIALS</w:t>
        </w:r>
      </w:p>
    </w:sdtContent>
  </w:sdt>
  <w:p w14:paraId="13E5EB9B" w14:textId="77777777" w:rsidR="006304CA" w:rsidRDefault="006304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07415"/>
    <w:multiLevelType w:val="multilevel"/>
    <w:tmpl w:val="128CC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5C1D56"/>
    <w:multiLevelType w:val="hybridMultilevel"/>
    <w:tmpl w:val="7932C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7435EE"/>
    <w:multiLevelType w:val="multilevel"/>
    <w:tmpl w:val="5DC6FB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696860"/>
    <w:multiLevelType w:val="multilevel"/>
    <w:tmpl w:val="08F4DD8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8C1417"/>
    <w:multiLevelType w:val="multilevel"/>
    <w:tmpl w:val="F5DEFFA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0516F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674F200E"/>
    <w:multiLevelType w:val="multilevel"/>
    <w:tmpl w:val="EF505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65523A"/>
    <w:multiLevelType w:val="hybridMultilevel"/>
    <w:tmpl w:val="3132B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E23D60"/>
    <w:multiLevelType w:val="multilevel"/>
    <w:tmpl w:val="78A4CD1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2"/>
  </w:num>
  <w:num w:numId="5">
    <w:abstractNumId w:val="8"/>
  </w:num>
  <w:num w:numId="6">
    <w:abstractNumId w:val="6"/>
  </w:num>
  <w:num w:numId="7">
    <w:abstractNumId w:val="7"/>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53F"/>
    <w:rsid w:val="00004D86"/>
    <w:rsid w:val="00007642"/>
    <w:rsid w:val="0001131E"/>
    <w:rsid w:val="000117AC"/>
    <w:rsid w:val="00013B39"/>
    <w:rsid w:val="00014E0C"/>
    <w:rsid w:val="0002267A"/>
    <w:rsid w:val="00026339"/>
    <w:rsid w:val="000305C7"/>
    <w:rsid w:val="00035148"/>
    <w:rsid w:val="00037CA5"/>
    <w:rsid w:val="000400BD"/>
    <w:rsid w:val="00050B94"/>
    <w:rsid w:val="0005258E"/>
    <w:rsid w:val="000553F3"/>
    <w:rsid w:val="00057606"/>
    <w:rsid w:val="00061D09"/>
    <w:rsid w:val="00066076"/>
    <w:rsid w:val="00067A7E"/>
    <w:rsid w:val="00073E2C"/>
    <w:rsid w:val="00077AB9"/>
    <w:rsid w:val="00077CF4"/>
    <w:rsid w:val="0008116C"/>
    <w:rsid w:val="00083B6A"/>
    <w:rsid w:val="000916FB"/>
    <w:rsid w:val="00093341"/>
    <w:rsid w:val="00093627"/>
    <w:rsid w:val="00094258"/>
    <w:rsid w:val="000B0EAA"/>
    <w:rsid w:val="000B446D"/>
    <w:rsid w:val="000B5854"/>
    <w:rsid w:val="000B760B"/>
    <w:rsid w:val="000C32CF"/>
    <w:rsid w:val="000C374D"/>
    <w:rsid w:val="000C3BD3"/>
    <w:rsid w:val="000C5DA7"/>
    <w:rsid w:val="000C7C1B"/>
    <w:rsid w:val="000D245C"/>
    <w:rsid w:val="000D39D9"/>
    <w:rsid w:val="000D4D51"/>
    <w:rsid w:val="000D612B"/>
    <w:rsid w:val="000E6EA5"/>
    <w:rsid w:val="000F107A"/>
    <w:rsid w:val="000F46CB"/>
    <w:rsid w:val="00115C91"/>
    <w:rsid w:val="0012632B"/>
    <w:rsid w:val="001350ED"/>
    <w:rsid w:val="001366BE"/>
    <w:rsid w:val="0014071F"/>
    <w:rsid w:val="00150627"/>
    <w:rsid w:val="00152FC2"/>
    <w:rsid w:val="00153277"/>
    <w:rsid w:val="00155B20"/>
    <w:rsid w:val="00160303"/>
    <w:rsid w:val="001608E2"/>
    <w:rsid w:val="00161527"/>
    <w:rsid w:val="00162011"/>
    <w:rsid w:val="00165D20"/>
    <w:rsid w:val="0018114D"/>
    <w:rsid w:val="001877F7"/>
    <w:rsid w:val="00192219"/>
    <w:rsid w:val="00194FE7"/>
    <w:rsid w:val="0019775D"/>
    <w:rsid w:val="001A0500"/>
    <w:rsid w:val="001A3789"/>
    <w:rsid w:val="001A6CAC"/>
    <w:rsid w:val="001B0611"/>
    <w:rsid w:val="001B1A61"/>
    <w:rsid w:val="001B31C7"/>
    <w:rsid w:val="001B4AC9"/>
    <w:rsid w:val="001B7D88"/>
    <w:rsid w:val="001C2671"/>
    <w:rsid w:val="001C6240"/>
    <w:rsid w:val="001C6FD4"/>
    <w:rsid w:val="001C7C98"/>
    <w:rsid w:val="001D2390"/>
    <w:rsid w:val="001D35D1"/>
    <w:rsid w:val="001D45F3"/>
    <w:rsid w:val="001D4DE2"/>
    <w:rsid w:val="001E019B"/>
    <w:rsid w:val="001E31FD"/>
    <w:rsid w:val="001E682F"/>
    <w:rsid w:val="001F65B1"/>
    <w:rsid w:val="001F69F8"/>
    <w:rsid w:val="00203D9A"/>
    <w:rsid w:val="00205DC6"/>
    <w:rsid w:val="00206E5A"/>
    <w:rsid w:val="002242BD"/>
    <w:rsid w:val="00226971"/>
    <w:rsid w:val="00227EB8"/>
    <w:rsid w:val="00227F21"/>
    <w:rsid w:val="002315E7"/>
    <w:rsid w:val="002371BF"/>
    <w:rsid w:val="00241A15"/>
    <w:rsid w:val="00253BEC"/>
    <w:rsid w:val="00253EE6"/>
    <w:rsid w:val="00255571"/>
    <w:rsid w:val="002609FD"/>
    <w:rsid w:val="00261360"/>
    <w:rsid w:val="002626E1"/>
    <w:rsid w:val="002668FD"/>
    <w:rsid w:val="00272884"/>
    <w:rsid w:val="00275E2F"/>
    <w:rsid w:val="00277652"/>
    <w:rsid w:val="00283A92"/>
    <w:rsid w:val="00284DA9"/>
    <w:rsid w:val="00285A27"/>
    <w:rsid w:val="002947AC"/>
    <w:rsid w:val="002A34F4"/>
    <w:rsid w:val="002A5B15"/>
    <w:rsid w:val="002A6194"/>
    <w:rsid w:val="002B369B"/>
    <w:rsid w:val="002C0585"/>
    <w:rsid w:val="002C14E3"/>
    <w:rsid w:val="002C2F23"/>
    <w:rsid w:val="002C4082"/>
    <w:rsid w:val="002D0062"/>
    <w:rsid w:val="002D2D2E"/>
    <w:rsid w:val="002D6660"/>
    <w:rsid w:val="002E1609"/>
    <w:rsid w:val="002E1949"/>
    <w:rsid w:val="002E23C7"/>
    <w:rsid w:val="002E28B6"/>
    <w:rsid w:val="002E5811"/>
    <w:rsid w:val="002E62C3"/>
    <w:rsid w:val="002E716E"/>
    <w:rsid w:val="002E73CE"/>
    <w:rsid w:val="002E789E"/>
    <w:rsid w:val="002E7DE2"/>
    <w:rsid w:val="002F10A5"/>
    <w:rsid w:val="002F522D"/>
    <w:rsid w:val="00320546"/>
    <w:rsid w:val="0032320D"/>
    <w:rsid w:val="00330CFC"/>
    <w:rsid w:val="00334A72"/>
    <w:rsid w:val="0034128A"/>
    <w:rsid w:val="00341892"/>
    <w:rsid w:val="003434EA"/>
    <w:rsid w:val="00345484"/>
    <w:rsid w:val="00347672"/>
    <w:rsid w:val="003531D6"/>
    <w:rsid w:val="00364D6E"/>
    <w:rsid w:val="003659DE"/>
    <w:rsid w:val="00367BC8"/>
    <w:rsid w:val="00367F77"/>
    <w:rsid w:val="00371BA9"/>
    <w:rsid w:val="003827EF"/>
    <w:rsid w:val="00382F8B"/>
    <w:rsid w:val="003837AF"/>
    <w:rsid w:val="00386224"/>
    <w:rsid w:val="00387215"/>
    <w:rsid w:val="00391CC1"/>
    <w:rsid w:val="00393298"/>
    <w:rsid w:val="003A2282"/>
    <w:rsid w:val="003A5129"/>
    <w:rsid w:val="003A58CD"/>
    <w:rsid w:val="003A640E"/>
    <w:rsid w:val="003B4372"/>
    <w:rsid w:val="003D2350"/>
    <w:rsid w:val="003D31CA"/>
    <w:rsid w:val="003D4603"/>
    <w:rsid w:val="003E13D3"/>
    <w:rsid w:val="003E3A1F"/>
    <w:rsid w:val="003E5746"/>
    <w:rsid w:val="003E72F4"/>
    <w:rsid w:val="003F19DC"/>
    <w:rsid w:val="003F7694"/>
    <w:rsid w:val="00401224"/>
    <w:rsid w:val="00404467"/>
    <w:rsid w:val="004121D4"/>
    <w:rsid w:val="0041703C"/>
    <w:rsid w:val="0042101F"/>
    <w:rsid w:val="004222CF"/>
    <w:rsid w:val="00423403"/>
    <w:rsid w:val="00424184"/>
    <w:rsid w:val="00437B95"/>
    <w:rsid w:val="004524C9"/>
    <w:rsid w:val="0045595C"/>
    <w:rsid w:val="00460114"/>
    <w:rsid w:val="004601AE"/>
    <w:rsid w:val="004612A2"/>
    <w:rsid w:val="00462622"/>
    <w:rsid w:val="00464A7D"/>
    <w:rsid w:val="00465761"/>
    <w:rsid w:val="0046633B"/>
    <w:rsid w:val="00467961"/>
    <w:rsid w:val="0047114B"/>
    <w:rsid w:val="00472FDF"/>
    <w:rsid w:val="0047403D"/>
    <w:rsid w:val="00482EAE"/>
    <w:rsid w:val="004852E7"/>
    <w:rsid w:val="00487B1F"/>
    <w:rsid w:val="00493A27"/>
    <w:rsid w:val="00496832"/>
    <w:rsid w:val="004A2509"/>
    <w:rsid w:val="004A6ADB"/>
    <w:rsid w:val="004A6E52"/>
    <w:rsid w:val="004B0A4B"/>
    <w:rsid w:val="004B2E3B"/>
    <w:rsid w:val="004B4064"/>
    <w:rsid w:val="004C7672"/>
    <w:rsid w:val="004D00AA"/>
    <w:rsid w:val="004D1C22"/>
    <w:rsid w:val="004D6F2C"/>
    <w:rsid w:val="004E6329"/>
    <w:rsid w:val="004E786F"/>
    <w:rsid w:val="004F0B7E"/>
    <w:rsid w:val="004F5330"/>
    <w:rsid w:val="004F58A9"/>
    <w:rsid w:val="004F5A35"/>
    <w:rsid w:val="005007CD"/>
    <w:rsid w:val="00503170"/>
    <w:rsid w:val="00503AEF"/>
    <w:rsid w:val="00513F0D"/>
    <w:rsid w:val="00514C89"/>
    <w:rsid w:val="00516D38"/>
    <w:rsid w:val="00517424"/>
    <w:rsid w:val="00522F5D"/>
    <w:rsid w:val="0052535D"/>
    <w:rsid w:val="0052587A"/>
    <w:rsid w:val="00525ADD"/>
    <w:rsid w:val="00527948"/>
    <w:rsid w:val="00537245"/>
    <w:rsid w:val="00540C90"/>
    <w:rsid w:val="00541CCD"/>
    <w:rsid w:val="005439EB"/>
    <w:rsid w:val="00546934"/>
    <w:rsid w:val="005545D6"/>
    <w:rsid w:val="005630AF"/>
    <w:rsid w:val="00566F42"/>
    <w:rsid w:val="005725B3"/>
    <w:rsid w:val="00574A32"/>
    <w:rsid w:val="00580C4C"/>
    <w:rsid w:val="00582C28"/>
    <w:rsid w:val="0058446D"/>
    <w:rsid w:val="00596C80"/>
    <w:rsid w:val="005A6CA9"/>
    <w:rsid w:val="005A7A2D"/>
    <w:rsid w:val="005B400E"/>
    <w:rsid w:val="005B4930"/>
    <w:rsid w:val="005B5C64"/>
    <w:rsid w:val="005C0D6F"/>
    <w:rsid w:val="005C2B20"/>
    <w:rsid w:val="005C48F0"/>
    <w:rsid w:val="005D06A5"/>
    <w:rsid w:val="005D2120"/>
    <w:rsid w:val="005D25E9"/>
    <w:rsid w:val="005D27FD"/>
    <w:rsid w:val="005E0831"/>
    <w:rsid w:val="005F3AA0"/>
    <w:rsid w:val="005F5498"/>
    <w:rsid w:val="005F7C3F"/>
    <w:rsid w:val="006001B5"/>
    <w:rsid w:val="00606BFB"/>
    <w:rsid w:val="006127D3"/>
    <w:rsid w:val="00621A4B"/>
    <w:rsid w:val="00621F82"/>
    <w:rsid w:val="0062778D"/>
    <w:rsid w:val="006303A7"/>
    <w:rsid w:val="006304CA"/>
    <w:rsid w:val="006334C5"/>
    <w:rsid w:val="00633931"/>
    <w:rsid w:val="00647C01"/>
    <w:rsid w:val="00651DD6"/>
    <w:rsid w:val="00652A9B"/>
    <w:rsid w:val="00657545"/>
    <w:rsid w:val="00662899"/>
    <w:rsid w:val="0066379D"/>
    <w:rsid w:val="00665D67"/>
    <w:rsid w:val="00685020"/>
    <w:rsid w:val="006877FB"/>
    <w:rsid w:val="00690D74"/>
    <w:rsid w:val="00691696"/>
    <w:rsid w:val="006923FB"/>
    <w:rsid w:val="006942F0"/>
    <w:rsid w:val="0069634B"/>
    <w:rsid w:val="006A1444"/>
    <w:rsid w:val="006A4022"/>
    <w:rsid w:val="006B41ED"/>
    <w:rsid w:val="006B488D"/>
    <w:rsid w:val="006B5BE3"/>
    <w:rsid w:val="006C1EB1"/>
    <w:rsid w:val="006C26DA"/>
    <w:rsid w:val="006D0290"/>
    <w:rsid w:val="006D0E18"/>
    <w:rsid w:val="006E0B50"/>
    <w:rsid w:val="006E3EA4"/>
    <w:rsid w:val="006E5357"/>
    <w:rsid w:val="006E6BE2"/>
    <w:rsid w:val="006F6339"/>
    <w:rsid w:val="00711184"/>
    <w:rsid w:val="00713B2C"/>
    <w:rsid w:val="00715655"/>
    <w:rsid w:val="007221D5"/>
    <w:rsid w:val="007228E0"/>
    <w:rsid w:val="00723BE7"/>
    <w:rsid w:val="00724E82"/>
    <w:rsid w:val="007371E0"/>
    <w:rsid w:val="00742069"/>
    <w:rsid w:val="00743DA6"/>
    <w:rsid w:val="0075699B"/>
    <w:rsid w:val="00757122"/>
    <w:rsid w:val="00757622"/>
    <w:rsid w:val="00757E96"/>
    <w:rsid w:val="0076082A"/>
    <w:rsid w:val="0076291D"/>
    <w:rsid w:val="00764B66"/>
    <w:rsid w:val="0077087A"/>
    <w:rsid w:val="007749D8"/>
    <w:rsid w:val="00776A24"/>
    <w:rsid w:val="007770BB"/>
    <w:rsid w:val="00784E15"/>
    <w:rsid w:val="00786D4F"/>
    <w:rsid w:val="00791B08"/>
    <w:rsid w:val="00791D06"/>
    <w:rsid w:val="00795B85"/>
    <w:rsid w:val="007A5595"/>
    <w:rsid w:val="007A5977"/>
    <w:rsid w:val="007B325E"/>
    <w:rsid w:val="007B343D"/>
    <w:rsid w:val="007C1149"/>
    <w:rsid w:val="007C1D63"/>
    <w:rsid w:val="007C2651"/>
    <w:rsid w:val="007C32C4"/>
    <w:rsid w:val="007C3837"/>
    <w:rsid w:val="007D1B9B"/>
    <w:rsid w:val="007D4D69"/>
    <w:rsid w:val="007D7E45"/>
    <w:rsid w:val="007E2428"/>
    <w:rsid w:val="007E33F9"/>
    <w:rsid w:val="007F68FA"/>
    <w:rsid w:val="007F7A47"/>
    <w:rsid w:val="00802969"/>
    <w:rsid w:val="00803551"/>
    <w:rsid w:val="00804D8C"/>
    <w:rsid w:val="00806362"/>
    <w:rsid w:val="008067C4"/>
    <w:rsid w:val="00806C73"/>
    <w:rsid w:val="008106F4"/>
    <w:rsid w:val="008121AC"/>
    <w:rsid w:val="0081388C"/>
    <w:rsid w:val="00813E5E"/>
    <w:rsid w:val="00817A7B"/>
    <w:rsid w:val="00830F13"/>
    <w:rsid w:val="00832F59"/>
    <w:rsid w:val="00833D3B"/>
    <w:rsid w:val="00836459"/>
    <w:rsid w:val="00842641"/>
    <w:rsid w:val="00844DC3"/>
    <w:rsid w:val="0084621F"/>
    <w:rsid w:val="00846B87"/>
    <w:rsid w:val="0085116C"/>
    <w:rsid w:val="008511E1"/>
    <w:rsid w:val="00851B5B"/>
    <w:rsid w:val="008523E7"/>
    <w:rsid w:val="0085763B"/>
    <w:rsid w:val="008626E5"/>
    <w:rsid w:val="00867421"/>
    <w:rsid w:val="0086780C"/>
    <w:rsid w:val="00867B65"/>
    <w:rsid w:val="00880221"/>
    <w:rsid w:val="00885847"/>
    <w:rsid w:val="00893BAD"/>
    <w:rsid w:val="00895844"/>
    <w:rsid w:val="008A59A1"/>
    <w:rsid w:val="008B1FCA"/>
    <w:rsid w:val="008B36D5"/>
    <w:rsid w:val="008C0E7A"/>
    <w:rsid w:val="008C369D"/>
    <w:rsid w:val="008D0EEC"/>
    <w:rsid w:val="008D1227"/>
    <w:rsid w:val="008D17D1"/>
    <w:rsid w:val="008D4958"/>
    <w:rsid w:val="008D6B2A"/>
    <w:rsid w:val="008D7C10"/>
    <w:rsid w:val="008E1E09"/>
    <w:rsid w:val="008E7258"/>
    <w:rsid w:val="008F4B4A"/>
    <w:rsid w:val="008F5887"/>
    <w:rsid w:val="009015E1"/>
    <w:rsid w:val="00901C5F"/>
    <w:rsid w:val="009049BA"/>
    <w:rsid w:val="0090796B"/>
    <w:rsid w:val="00907AC9"/>
    <w:rsid w:val="0091302D"/>
    <w:rsid w:val="0091371D"/>
    <w:rsid w:val="009162B2"/>
    <w:rsid w:val="00921350"/>
    <w:rsid w:val="00922917"/>
    <w:rsid w:val="0092477D"/>
    <w:rsid w:val="0092477F"/>
    <w:rsid w:val="00924D1C"/>
    <w:rsid w:val="00925E38"/>
    <w:rsid w:val="00926D6B"/>
    <w:rsid w:val="009305FA"/>
    <w:rsid w:val="00934466"/>
    <w:rsid w:val="00934C31"/>
    <w:rsid w:val="00942811"/>
    <w:rsid w:val="00942A02"/>
    <w:rsid w:val="00942C75"/>
    <w:rsid w:val="00943F71"/>
    <w:rsid w:val="0095122F"/>
    <w:rsid w:val="00951FEF"/>
    <w:rsid w:val="00952A44"/>
    <w:rsid w:val="009534A9"/>
    <w:rsid w:val="00971749"/>
    <w:rsid w:val="009737AE"/>
    <w:rsid w:val="00975D0E"/>
    <w:rsid w:val="0097657A"/>
    <w:rsid w:val="00984F2C"/>
    <w:rsid w:val="00987162"/>
    <w:rsid w:val="00991406"/>
    <w:rsid w:val="0099378A"/>
    <w:rsid w:val="009A7DEF"/>
    <w:rsid w:val="009B2524"/>
    <w:rsid w:val="009B3178"/>
    <w:rsid w:val="009B4EED"/>
    <w:rsid w:val="009C036D"/>
    <w:rsid w:val="009C54ED"/>
    <w:rsid w:val="009D4371"/>
    <w:rsid w:val="009D4787"/>
    <w:rsid w:val="009D6170"/>
    <w:rsid w:val="009E1067"/>
    <w:rsid w:val="009E38BA"/>
    <w:rsid w:val="009E4B09"/>
    <w:rsid w:val="009E65BF"/>
    <w:rsid w:val="009F1333"/>
    <w:rsid w:val="009F295E"/>
    <w:rsid w:val="009F2BA1"/>
    <w:rsid w:val="009F3DBF"/>
    <w:rsid w:val="009F6039"/>
    <w:rsid w:val="009F791A"/>
    <w:rsid w:val="00A01318"/>
    <w:rsid w:val="00A02798"/>
    <w:rsid w:val="00A222BC"/>
    <w:rsid w:val="00A2528B"/>
    <w:rsid w:val="00A25B43"/>
    <w:rsid w:val="00A3413A"/>
    <w:rsid w:val="00A35B1C"/>
    <w:rsid w:val="00A367DB"/>
    <w:rsid w:val="00A426F0"/>
    <w:rsid w:val="00A46C19"/>
    <w:rsid w:val="00A50CC4"/>
    <w:rsid w:val="00A517C8"/>
    <w:rsid w:val="00A53BB0"/>
    <w:rsid w:val="00A53D2B"/>
    <w:rsid w:val="00A54C43"/>
    <w:rsid w:val="00A5714F"/>
    <w:rsid w:val="00A6386F"/>
    <w:rsid w:val="00A67FE5"/>
    <w:rsid w:val="00A73813"/>
    <w:rsid w:val="00A739C5"/>
    <w:rsid w:val="00A7476C"/>
    <w:rsid w:val="00A7691A"/>
    <w:rsid w:val="00A84C08"/>
    <w:rsid w:val="00A873C8"/>
    <w:rsid w:val="00AA6A00"/>
    <w:rsid w:val="00AB0A91"/>
    <w:rsid w:val="00AB1B47"/>
    <w:rsid w:val="00AC45FD"/>
    <w:rsid w:val="00AC6B8A"/>
    <w:rsid w:val="00AD104A"/>
    <w:rsid w:val="00AD1FE0"/>
    <w:rsid w:val="00AD6097"/>
    <w:rsid w:val="00AE0054"/>
    <w:rsid w:val="00AE1C71"/>
    <w:rsid w:val="00AE4B59"/>
    <w:rsid w:val="00AE5A09"/>
    <w:rsid w:val="00AF230B"/>
    <w:rsid w:val="00AF26E2"/>
    <w:rsid w:val="00AF49C7"/>
    <w:rsid w:val="00B001F8"/>
    <w:rsid w:val="00B0039C"/>
    <w:rsid w:val="00B04248"/>
    <w:rsid w:val="00B05F12"/>
    <w:rsid w:val="00B077F0"/>
    <w:rsid w:val="00B16BF4"/>
    <w:rsid w:val="00B1722F"/>
    <w:rsid w:val="00B233BA"/>
    <w:rsid w:val="00B25BA1"/>
    <w:rsid w:val="00B26EF1"/>
    <w:rsid w:val="00B27511"/>
    <w:rsid w:val="00B347F8"/>
    <w:rsid w:val="00B350EF"/>
    <w:rsid w:val="00B41287"/>
    <w:rsid w:val="00B45604"/>
    <w:rsid w:val="00B50749"/>
    <w:rsid w:val="00B52F42"/>
    <w:rsid w:val="00B5454B"/>
    <w:rsid w:val="00B57C66"/>
    <w:rsid w:val="00B616AE"/>
    <w:rsid w:val="00B7053F"/>
    <w:rsid w:val="00B71907"/>
    <w:rsid w:val="00B7540C"/>
    <w:rsid w:val="00B76679"/>
    <w:rsid w:val="00B93612"/>
    <w:rsid w:val="00B95E64"/>
    <w:rsid w:val="00BA0193"/>
    <w:rsid w:val="00BA0639"/>
    <w:rsid w:val="00BA58DD"/>
    <w:rsid w:val="00BA5AB5"/>
    <w:rsid w:val="00BB25E3"/>
    <w:rsid w:val="00BB322B"/>
    <w:rsid w:val="00BB3472"/>
    <w:rsid w:val="00BC41D8"/>
    <w:rsid w:val="00BC531F"/>
    <w:rsid w:val="00BC63C3"/>
    <w:rsid w:val="00BD0966"/>
    <w:rsid w:val="00BD5F45"/>
    <w:rsid w:val="00BD5F58"/>
    <w:rsid w:val="00BD7591"/>
    <w:rsid w:val="00BE2E12"/>
    <w:rsid w:val="00BE4C11"/>
    <w:rsid w:val="00BF524A"/>
    <w:rsid w:val="00BF5D5D"/>
    <w:rsid w:val="00C000BB"/>
    <w:rsid w:val="00C05844"/>
    <w:rsid w:val="00C064F7"/>
    <w:rsid w:val="00C133FA"/>
    <w:rsid w:val="00C146D1"/>
    <w:rsid w:val="00C172A3"/>
    <w:rsid w:val="00C224F4"/>
    <w:rsid w:val="00C24DF9"/>
    <w:rsid w:val="00C27E2C"/>
    <w:rsid w:val="00C27E2D"/>
    <w:rsid w:val="00C31CCD"/>
    <w:rsid w:val="00C36476"/>
    <w:rsid w:val="00C408B7"/>
    <w:rsid w:val="00C44ADA"/>
    <w:rsid w:val="00C502BE"/>
    <w:rsid w:val="00C53F49"/>
    <w:rsid w:val="00C56DC2"/>
    <w:rsid w:val="00C65913"/>
    <w:rsid w:val="00C728D8"/>
    <w:rsid w:val="00C74039"/>
    <w:rsid w:val="00C765F1"/>
    <w:rsid w:val="00C81A92"/>
    <w:rsid w:val="00C85BBA"/>
    <w:rsid w:val="00C94E0D"/>
    <w:rsid w:val="00C95F45"/>
    <w:rsid w:val="00C968A6"/>
    <w:rsid w:val="00C97263"/>
    <w:rsid w:val="00CA77A7"/>
    <w:rsid w:val="00CB3ED7"/>
    <w:rsid w:val="00CC30B4"/>
    <w:rsid w:val="00CC3A4B"/>
    <w:rsid w:val="00CC67F5"/>
    <w:rsid w:val="00CD47CE"/>
    <w:rsid w:val="00CE27A8"/>
    <w:rsid w:val="00CE34D6"/>
    <w:rsid w:val="00CE66FB"/>
    <w:rsid w:val="00CE7DA0"/>
    <w:rsid w:val="00CF09D3"/>
    <w:rsid w:val="00CF0A00"/>
    <w:rsid w:val="00CF2CCB"/>
    <w:rsid w:val="00CF56FC"/>
    <w:rsid w:val="00CF5ABD"/>
    <w:rsid w:val="00D03663"/>
    <w:rsid w:val="00D0419A"/>
    <w:rsid w:val="00D05412"/>
    <w:rsid w:val="00D1082B"/>
    <w:rsid w:val="00D1127E"/>
    <w:rsid w:val="00D126E4"/>
    <w:rsid w:val="00D12B6D"/>
    <w:rsid w:val="00D13A2D"/>
    <w:rsid w:val="00D21186"/>
    <w:rsid w:val="00D2680C"/>
    <w:rsid w:val="00D32041"/>
    <w:rsid w:val="00D33993"/>
    <w:rsid w:val="00D3535A"/>
    <w:rsid w:val="00D42B02"/>
    <w:rsid w:val="00D46254"/>
    <w:rsid w:val="00D529CE"/>
    <w:rsid w:val="00D63C4B"/>
    <w:rsid w:val="00D74B54"/>
    <w:rsid w:val="00D7509C"/>
    <w:rsid w:val="00D76F77"/>
    <w:rsid w:val="00D82140"/>
    <w:rsid w:val="00D8796C"/>
    <w:rsid w:val="00D9017F"/>
    <w:rsid w:val="00D933AB"/>
    <w:rsid w:val="00D95742"/>
    <w:rsid w:val="00DA0EE9"/>
    <w:rsid w:val="00DA71AB"/>
    <w:rsid w:val="00DA7601"/>
    <w:rsid w:val="00DA7D32"/>
    <w:rsid w:val="00DB2D8D"/>
    <w:rsid w:val="00DC12D8"/>
    <w:rsid w:val="00DC1AF1"/>
    <w:rsid w:val="00DC53D9"/>
    <w:rsid w:val="00DE125A"/>
    <w:rsid w:val="00DF288A"/>
    <w:rsid w:val="00E01E35"/>
    <w:rsid w:val="00E1061A"/>
    <w:rsid w:val="00E13A31"/>
    <w:rsid w:val="00E1469C"/>
    <w:rsid w:val="00E171B3"/>
    <w:rsid w:val="00E20159"/>
    <w:rsid w:val="00E21DCB"/>
    <w:rsid w:val="00E22DFB"/>
    <w:rsid w:val="00E27A39"/>
    <w:rsid w:val="00E34607"/>
    <w:rsid w:val="00E42663"/>
    <w:rsid w:val="00E521C5"/>
    <w:rsid w:val="00E532BA"/>
    <w:rsid w:val="00E538FC"/>
    <w:rsid w:val="00E618DE"/>
    <w:rsid w:val="00E65DC1"/>
    <w:rsid w:val="00E72260"/>
    <w:rsid w:val="00E73156"/>
    <w:rsid w:val="00E74604"/>
    <w:rsid w:val="00E75205"/>
    <w:rsid w:val="00E7630F"/>
    <w:rsid w:val="00E8176B"/>
    <w:rsid w:val="00E8238A"/>
    <w:rsid w:val="00E93E78"/>
    <w:rsid w:val="00E94C79"/>
    <w:rsid w:val="00EA1CA9"/>
    <w:rsid w:val="00EA239E"/>
    <w:rsid w:val="00EA4127"/>
    <w:rsid w:val="00EB1064"/>
    <w:rsid w:val="00EB4272"/>
    <w:rsid w:val="00EB4515"/>
    <w:rsid w:val="00EB7036"/>
    <w:rsid w:val="00EC095A"/>
    <w:rsid w:val="00EC1CDD"/>
    <w:rsid w:val="00EC2D66"/>
    <w:rsid w:val="00EC7C8A"/>
    <w:rsid w:val="00ED26E0"/>
    <w:rsid w:val="00ED456F"/>
    <w:rsid w:val="00ED4E97"/>
    <w:rsid w:val="00EF096E"/>
    <w:rsid w:val="00EF6FC5"/>
    <w:rsid w:val="00EF7F1F"/>
    <w:rsid w:val="00F02DCA"/>
    <w:rsid w:val="00F0392E"/>
    <w:rsid w:val="00F04471"/>
    <w:rsid w:val="00F05C36"/>
    <w:rsid w:val="00F10BB5"/>
    <w:rsid w:val="00F23B0E"/>
    <w:rsid w:val="00F31329"/>
    <w:rsid w:val="00F32D2E"/>
    <w:rsid w:val="00F33B41"/>
    <w:rsid w:val="00F348FB"/>
    <w:rsid w:val="00F36699"/>
    <w:rsid w:val="00F36D69"/>
    <w:rsid w:val="00F40E2C"/>
    <w:rsid w:val="00F462C0"/>
    <w:rsid w:val="00F47669"/>
    <w:rsid w:val="00F51719"/>
    <w:rsid w:val="00F518BF"/>
    <w:rsid w:val="00F56D83"/>
    <w:rsid w:val="00F62F7B"/>
    <w:rsid w:val="00F6477F"/>
    <w:rsid w:val="00F666DE"/>
    <w:rsid w:val="00F66E1B"/>
    <w:rsid w:val="00F67876"/>
    <w:rsid w:val="00F715B7"/>
    <w:rsid w:val="00F721CB"/>
    <w:rsid w:val="00F7636B"/>
    <w:rsid w:val="00F84596"/>
    <w:rsid w:val="00F855EE"/>
    <w:rsid w:val="00F86462"/>
    <w:rsid w:val="00F8688E"/>
    <w:rsid w:val="00F97A7F"/>
    <w:rsid w:val="00F97C0D"/>
    <w:rsid w:val="00FA76D3"/>
    <w:rsid w:val="00FA7E2E"/>
    <w:rsid w:val="00FC44BA"/>
    <w:rsid w:val="00FC4BFC"/>
    <w:rsid w:val="00FD15C9"/>
    <w:rsid w:val="00FD2F56"/>
    <w:rsid w:val="00FD401E"/>
    <w:rsid w:val="00FD45DF"/>
    <w:rsid w:val="00FE6504"/>
    <w:rsid w:val="00FF1939"/>
    <w:rsid w:val="00FF5F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6DB135"/>
  <w15:docId w15:val="{B6A7AF6C-9EED-4266-B121-18223B93D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131E"/>
    <w:pPr>
      <w:keepNext/>
      <w:keepLines/>
      <w:numPr>
        <w:numId w:val="8"/>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1131E"/>
    <w:pPr>
      <w:keepNext/>
      <w:keepLines/>
      <w:numPr>
        <w:ilvl w:val="1"/>
        <w:numId w:val="8"/>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B4515"/>
    <w:pPr>
      <w:keepNext/>
      <w:keepLines/>
      <w:numPr>
        <w:ilvl w:val="2"/>
        <w:numId w:val="8"/>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B4515"/>
    <w:pPr>
      <w:keepNext/>
      <w:keepLines/>
      <w:numPr>
        <w:ilvl w:val="3"/>
        <w:numId w:val="8"/>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B4515"/>
    <w:pPr>
      <w:keepNext/>
      <w:keepLines/>
      <w:numPr>
        <w:ilvl w:val="4"/>
        <w:numId w:val="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B4515"/>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B4515"/>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B4515"/>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4515"/>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4A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A32"/>
    <w:rPr>
      <w:rFonts w:ascii="Segoe UI" w:hAnsi="Segoe UI" w:cs="Segoe UI"/>
      <w:sz w:val="18"/>
      <w:szCs w:val="18"/>
    </w:rPr>
  </w:style>
  <w:style w:type="character" w:styleId="CommentReference">
    <w:name w:val="annotation reference"/>
    <w:basedOn w:val="DefaultParagraphFont"/>
    <w:uiPriority w:val="99"/>
    <w:semiHidden/>
    <w:unhideWhenUsed/>
    <w:rsid w:val="00574A32"/>
    <w:rPr>
      <w:sz w:val="18"/>
      <w:szCs w:val="18"/>
    </w:rPr>
  </w:style>
  <w:style w:type="paragraph" w:styleId="CommentText">
    <w:name w:val="annotation text"/>
    <w:basedOn w:val="Normal"/>
    <w:link w:val="CommentTextChar"/>
    <w:uiPriority w:val="99"/>
    <w:unhideWhenUsed/>
    <w:rsid w:val="00574A32"/>
    <w:pPr>
      <w:spacing w:after="0" w:line="240" w:lineRule="auto"/>
    </w:pPr>
    <w:rPr>
      <w:sz w:val="20"/>
      <w:szCs w:val="20"/>
      <w:lang w:val="it-IT"/>
    </w:rPr>
  </w:style>
  <w:style w:type="character" w:customStyle="1" w:styleId="CommentTextChar">
    <w:name w:val="Comment Text Char"/>
    <w:basedOn w:val="DefaultParagraphFont"/>
    <w:link w:val="CommentText"/>
    <w:uiPriority w:val="99"/>
    <w:rsid w:val="00574A32"/>
    <w:rPr>
      <w:sz w:val="20"/>
      <w:szCs w:val="20"/>
      <w:lang w:val="it-IT"/>
    </w:rPr>
  </w:style>
  <w:style w:type="table" w:styleId="TableGrid">
    <w:name w:val="Table Grid"/>
    <w:basedOn w:val="TableNormal"/>
    <w:uiPriority w:val="39"/>
    <w:rsid w:val="008C0E7A"/>
    <w:pPr>
      <w:spacing w:after="0" w:line="240" w:lineRule="auto"/>
    </w:pPr>
    <w:rPr>
      <w:sz w:val="24"/>
      <w:szCs w:val="24"/>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7FE5"/>
    <w:rPr>
      <w:color w:val="0000FF"/>
      <w:u w:val="single"/>
    </w:rPr>
  </w:style>
  <w:style w:type="paragraph" w:styleId="NormalWeb">
    <w:name w:val="Normal (Web)"/>
    <w:basedOn w:val="Normal"/>
    <w:uiPriority w:val="99"/>
    <w:unhideWhenUsed/>
    <w:rsid w:val="00A5714F"/>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CommentSubject">
    <w:name w:val="annotation subject"/>
    <w:basedOn w:val="CommentText"/>
    <w:next w:val="CommentText"/>
    <w:link w:val="CommentSubjectChar"/>
    <w:uiPriority w:val="99"/>
    <w:semiHidden/>
    <w:unhideWhenUsed/>
    <w:rsid w:val="00093341"/>
    <w:pPr>
      <w:spacing w:after="160"/>
    </w:pPr>
    <w:rPr>
      <w:b/>
      <w:bCs/>
      <w:lang w:val="en-US"/>
    </w:rPr>
  </w:style>
  <w:style w:type="character" w:customStyle="1" w:styleId="CommentSubjectChar">
    <w:name w:val="Comment Subject Char"/>
    <w:basedOn w:val="CommentTextChar"/>
    <w:link w:val="CommentSubject"/>
    <w:uiPriority w:val="99"/>
    <w:semiHidden/>
    <w:rsid w:val="00093341"/>
    <w:rPr>
      <w:b/>
      <w:bCs/>
      <w:sz w:val="20"/>
      <w:szCs w:val="20"/>
      <w:lang w:val="it-IT"/>
    </w:rPr>
  </w:style>
  <w:style w:type="paragraph" w:styleId="Revision">
    <w:name w:val="Revision"/>
    <w:hidden/>
    <w:uiPriority w:val="99"/>
    <w:semiHidden/>
    <w:rsid w:val="008D1227"/>
    <w:pPr>
      <w:spacing w:after="0" w:line="240" w:lineRule="auto"/>
    </w:pPr>
  </w:style>
  <w:style w:type="paragraph" w:styleId="Footer">
    <w:name w:val="footer"/>
    <w:basedOn w:val="Normal"/>
    <w:link w:val="FooterChar"/>
    <w:uiPriority w:val="99"/>
    <w:unhideWhenUsed/>
    <w:rsid w:val="00226971"/>
    <w:pPr>
      <w:tabs>
        <w:tab w:val="center" w:pos="4819"/>
        <w:tab w:val="right" w:pos="9638"/>
      </w:tabs>
      <w:spacing w:after="0" w:line="240" w:lineRule="auto"/>
    </w:pPr>
  </w:style>
  <w:style w:type="character" w:customStyle="1" w:styleId="FooterChar">
    <w:name w:val="Footer Char"/>
    <w:basedOn w:val="DefaultParagraphFont"/>
    <w:link w:val="Footer"/>
    <w:uiPriority w:val="99"/>
    <w:rsid w:val="00226971"/>
  </w:style>
  <w:style w:type="character" w:styleId="PageNumber">
    <w:name w:val="page number"/>
    <w:basedOn w:val="DefaultParagraphFont"/>
    <w:uiPriority w:val="99"/>
    <w:semiHidden/>
    <w:unhideWhenUsed/>
    <w:rsid w:val="00226971"/>
  </w:style>
  <w:style w:type="paragraph" w:customStyle="1" w:styleId="participants">
    <w:name w:val="participants"/>
    <w:basedOn w:val="Normal"/>
    <w:link w:val="participantsCarattere"/>
    <w:qFormat/>
    <w:rsid w:val="00651DD6"/>
    <w:pPr>
      <w:keepNext/>
      <w:spacing w:before="240" w:after="0" w:line="480" w:lineRule="auto"/>
    </w:pPr>
    <w:rPr>
      <w:rFonts w:ascii="Times New Roman" w:hAnsi="Times New Roman"/>
      <w:b/>
      <w:sz w:val="24"/>
      <w:lang w:val="en-GB"/>
    </w:rPr>
  </w:style>
  <w:style w:type="character" w:customStyle="1" w:styleId="participantsCarattere">
    <w:name w:val="participants Carattere"/>
    <w:basedOn w:val="DefaultParagraphFont"/>
    <w:link w:val="participants"/>
    <w:rsid w:val="00651DD6"/>
    <w:rPr>
      <w:rFonts w:ascii="Times New Roman" w:hAnsi="Times New Roman"/>
      <w:b/>
      <w:sz w:val="24"/>
      <w:lang w:val="en-GB"/>
    </w:rPr>
  </w:style>
  <w:style w:type="table" w:customStyle="1" w:styleId="1">
    <w:name w:val="1"/>
    <w:basedOn w:val="TableNormal"/>
    <w:rsid w:val="007749D8"/>
    <w:pPr>
      <w:spacing w:after="0" w:line="240" w:lineRule="auto"/>
    </w:pPr>
    <w:rPr>
      <w:rFonts w:ascii="Times New Roman" w:eastAsia="Times New Roman" w:hAnsi="Times New Roman" w:cs="Times New Roman"/>
      <w:sz w:val="24"/>
      <w:szCs w:val="24"/>
      <w:lang w:val="it-IT" w:eastAsia="it-IT"/>
    </w:rPr>
    <w:tblPr>
      <w:tblStyleRowBandSize w:val="1"/>
      <w:tblStyleColBandSize w:val="1"/>
      <w:tblCellMar>
        <w:left w:w="115" w:type="dxa"/>
        <w:right w:w="115" w:type="dxa"/>
      </w:tblCellMar>
    </w:tblPr>
  </w:style>
  <w:style w:type="character" w:customStyle="1" w:styleId="Heading1Char">
    <w:name w:val="Heading 1 Char"/>
    <w:basedOn w:val="DefaultParagraphFont"/>
    <w:link w:val="Heading1"/>
    <w:uiPriority w:val="9"/>
    <w:rsid w:val="0001131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1131E"/>
    <w:pPr>
      <w:spacing w:before="480" w:line="276" w:lineRule="auto"/>
      <w:outlineLvl w:val="9"/>
    </w:pPr>
    <w:rPr>
      <w:b/>
      <w:bCs/>
      <w:sz w:val="28"/>
      <w:szCs w:val="28"/>
    </w:rPr>
  </w:style>
  <w:style w:type="paragraph" w:styleId="TOC2">
    <w:name w:val="toc 2"/>
    <w:basedOn w:val="Normal"/>
    <w:next w:val="Normal"/>
    <w:autoRedefine/>
    <w:uiPriority w:val="39"/>
    <w:unhideWhenUsed/>
    <w:rsid w:val="006127D3"/>
    <w:pPr>
      <w:tabs>
        <w:tab w:val="left" w:pos="880"/>
        <w:tab w:val="right" w:leader="dot" w:pos="9350"/>
      </w:tabs>
      <w:spacing w:before="120" w:after="0" w:line="360" w:lineRule="auto"/>
    </w:pPr>
    <w:rPr>
      <w:rFonts w:cstheme="minorHAnsi"/>
      <w:i/>
      <w:iCs/>
      <w:sz w:val="20"/>
      <w:szCs w:val="20"/>
    </w:rPr>
  </w:style>
  <w:style w:type="paragraph" w:styleId="TOC1">
    <w:name w:val="toc 1"/>
    <w:basedOn w:val="Normal"/>
    <w:next w:val="Normal"/>
    <w:autoRedefine/>
    <w:uiPriority w:val="39"/>
    <w:unhideWhenUsed/>
    <w:rsid w:val="0001131E"/>
    <w:pPr>
      <w:spacing w:before="240" w:after="120"/>
    </w:pPr>
    <w:rPr>
      <w:rFonts w:cstheme="minorHAnsi"/>
      <w:b/>
      <w:bCs/>
      <w:sz w:val="20"/>
      <w:szCs w:val="20"/>
    </w:rPr>
  </w:style>
  <w:style w:type="paragraph" w:styleId="TOC3">
    <w:name w:val="toc 3"/>
    <w:basedOn w:val="Normal"/>
    <w:next w:val="Normal"/>
    <w:autoRedefine/>
    <w:uiPriority w:val="39"/>
    <w:semiHidden/>
    <w:unhideWhenUsed/>
    <w:rsid w:val="0001131E"/>
    <w:pPr>
      <w:spacing w:after="0"/>
      <w:ind w:left="440"/>
    </w:pPr>
    <w:rPr>
      <w:rFonts w:cstheme="minorHAnsi"/>
      <w:sz w:val="20"/>
      <w:szCs w:val="20"/>
    </w:rPr>
  </w:style>
  <w:style w:type="paragraph" w:styleId="TOC4">
    <w:name w:val="toc 4"/>
    <w:basedOn w:val="Normal"/>
    <w:next w:val="Normal"/>
    <w:autoRedefine/>
    <w:uiPriority w:val="39"/>
    <w:semiHidden/>
    <w:unhideWhenUsed/>
    <w:rsid w:val="0001131E"/>
    <w:pPr>
      <w:spacing w:after="0"/>
      <w:ind w:left="660"/>
    </w:pPr>
    <w:rPr>
      <w:rFonts w:cstheme="minorHAnsi"/>
      <w:sz w:val="20"/>
      <w:szCs w:val="20"/>
    </w:rPr>
  </w:style>
  <w:style w:type="paragraph" w:styleId="TOC5">
    <w:name w:val="toc 5"/>
    <w:basedOn w:val="Normal"/>
    <w:next w:val="Normal"/>
    <w:autoRedefine/>
    <w:uiPriority w:val="39"/>
    <w:semiHidden/>
    <w:unhideWhenUsed/>
    <w:rsid w:val="0001131E"/>
    <w:pPr>
      <w:spacing w:after="0"/>
      <w:ind w:left="880"/>
    </w:pPr>
    <w:rPr>
      <w:rFonts w:cstheme="minorHAnsi"/>
      <w:sz w:val="20"/>
      <w:szCs w:val="20"/>
    </w:rPr>
  </w:style>
  <w:style w:type="paragraph" w:styleId="TOC6">
    <w:name w:val="toc 6"/>
    <w:basedOn w:val="Normal"/>
    <w:next w:val="Normal"/>
    <w:autoRedefine/>
    <w:uiPriority w:val="39"/>
    <w:semiHidden/>
    <w:unhideWhenUsed/>
    <w:rsid w:val="0001131E"/>
    <w:pPr>
      <w:spacing w:after="0"/>
      <w:ind w:left="1100"/>
    </w:pPr>
    <w:rPr>
      <w:rFonts w:cstheme="minorHAnsi"/>
      <w:sz w:val="20"/>
      <w:szCs w:val="20"/>
    </w:rPr>
  </w:style>
  <w:style w:type="paragraph" w:styleId="TOC7">
    <w:name w:val="toc 7"/>
    <w:basedOn w:val="Normal"/>
    <w:next w:val="Normal"/>
    <w:autoRedefine/>
    <w:uiPriority w:val="39"/>
    <w:semiHidden/>
    <w:unhideWhenUsed/>
    <w:rsid w:val="0001131E"/>
    <w:pPr>
      <w:spacing w:after="0"/>
      <w:ind w:left="1320"/>
    </w:pPr>
    <w:rPr>
      <w:rFonts w:cstheme="minorHAnsi"/>
      <w:sz w:val="20"/>
      <w:szCs w:val="20"/>
    </w:rPr>
  </w:style>
  <w:style w:type="paragraph" w:styleId="TOC8">
    <w:name w:val="toc 8"/>
    <w:basedOn w:val="Normal"/>
    <w:next w:val="Normal"/>
    <w:autoRedefine/>
    <w:uiPriority w:val="39"/>
    <w:semiHidden/>
    <w:unhideWhenUsed/>
    <w:rsid w:val="0001131E"/>
    <w:pPr>
      <w:spacing w:after="0"/>
      <w:ind w:left="1540"/>
    </w:pPr>
    <w:rPr>
      <w:rFonts w:cstheme="minorHAnsi"/>
      <w:sz w:val="20"/>
      <w:szCs w:val="20"/>
    </w:rPr>
  </w:style>
  <w:style w:type="paragraph" w:styleId="TOC9">
    <w:name w:val="toc 9"/>
    <w:basedOn w:val="Normal"/>
    <w:next w:val="Normal"/>
    <w:autoRedefine/>
    <w:uiPriority w:val="39"/>
    <w:semiHidden/>
    <w:unhideWhenUsed/>
    <w:rsid w:val="0001131E"/>
    <w:pPr>
      <w:spacing w:after="0"/>
      <w:ind w:left="1760"/>
    </w:pPr>
    <w:rPr>
      <w:rFonts w:cstheme="minorHAnsi"/>
      <w:sz w:val="20"/>
      <w:szCs w:val="20"/>
    </w:rPr>
  </w:style>
  <w:style w:type="character" w:customStyle="1" w:styleId="Heading2Char">
    <w:name w:val="Heading 2 Char"/>
    <w:basedOn w:val="DefaultParagraphFont"/>
    <w:link w:val="Heading2"/>
    <w:uiPriority w:val="9"/>
    <w:rsid w:val="0001131E"/>
    <w:rPr>
      <w:rFonts w:asciiTheme="majorHAnsi" w:eastAsiaTheme="majorEastAsia" w:hAnsiTheme="majorHAnsi" w:cstheme="majorBidi"/>
      <w:color w:val="2F5496" w:themeColor="accent1" w:themeShade="BF"/>
      <w:sz w:val="26"/>
      <w:szCs w:val="26"/>
    </w:rPr>
  </w:style>
  <w:style w:type="character" w:customStyle="1" w:styleId="UnresolvedMention1">
    <w:name w:val="Unresolved Mention1"/>
    <w:basedOn w:val="DefaultParagraphFont"/>
    <w:uiPriority w:val="99"/>
    <w:semiHidden/>
    <w:unhideWhenUsed/>
    <w:rsid w:val="009F295E"/>
    <w:rPr>
      <w:color w:val="605E5C"/>
      <w:shd w:val="clear" w:color="auto" w:fill="E1DFDD"/>
    </w:rPr>
  </w:style>
  <w:style w:type="character" w:customStyle="1" w:styleId="Heading3Char">
    <w:name w:val="Heading 3 Char"/>
    <w:basedOn w:val="DefaultParagraphFont"/>
    <w:link w:val="Heading3"/>
    <w:uiPriority w:val="9"/>
    <w:semiHidden/>
    <w:rsid w:val="00EB451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B451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B451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B451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B451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B451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4515"/>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757E96"/>
    <w:rPr>
      <w:color w:val="954F72" w:themeColor="followedHyperlink"/>
      <w:u w:val="single"/>
    </w:rPr>
  </w:style>
  <w:style w:type="paragraph" w:styleId="ListParagraph">
    <w:name w:val="List Paragraph"/>
    <w:basedOn w:val="Normal"/>
    <w:uiPriority w:val="34"/>
    <w:qFormat/>
    <w:rsid w:val="00EA239E"/>
    <w:pPr>
      <w:ind w:left="720"/>
      <w:contextualSpacing/>
    </w:pPr>
  </w:style>
  <w:style w:type="paragraph" w:styleId="Header">
    <w:name w:val="header"/>
    <w:basedOn w:val="Normal"/>
    <w:link w:val="HeaderChar"/>
    <w:uiPriority w:val="99"/>
    <w:unhideWhenUsed/>
    <w:rsid w:val="00BA019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BA0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592365">
      <w:bodyDiv w:val="1"/>
      <w:marLeft w:val="0"/>
      <w:marRight w:val="0"/>
      <w:marTop w:val="0"/>
      <w:marBottom w:val="0"/>
      <w:divBdr>
        <w:top w:val="none" w:sz="0" w:space="0" w:color="auto"/>
        <w:left w:val="none" w:sz="0" w:space="0" w:color="auto"/>
        <w:bottom w:val="none" w:sz="0" w:space="0" w:color="auto"/>
        <w:right w:val="none" w:sz="0" w:space="0" w:color="auto"/>
      </w:divBdr>
      <w:divsChild>
        <w:div w:id="178204686">
          <w:marLeft w:val="0"/>
          <w:marRight w:val="0"/>
          <w:marTop w:val="0"/>
          <w:marBottom w:val="0"/>
          <w:divBdr>
            <w:top w:val="none" w:sz="0" w:space="0" w:color="auto"/>
            <w:left w:val="none" w:sz="0" w:space="0" w:color="auto"/>
            <w:bottom w:val="none" w:sz="0" w:space="0" w:color="auto"/>
            <w:right w:val="none" w:sz="0" w:space="0" w:color="auto"/>
          </w:divBdr>
          <w:divsChild>
            <w:div w:id="1994409405">
              <w:marLeft w:val="0"/>
              <w:marRight w:val="0"/>
              <w:marTop w:val="0"/>
              <w:marBottom w:val="0"/>
              <w:divBdr>
                <w:top w:val="none" w:sz="0" w:space="0" w:color="auto"/>
                <w:left w:val="none" w:sz="0" w:space="0" w:color="auto"/>
                <w:bottom w:val="none" w:sz="0" w:space="0" w:color="auto"/>
                <w:right w:val="none" w:sz="0" w:space="0" w:color="auto"/>
              </w:divBdr>
              <w:divsChild>
                <w:div w:id="2729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113129">
      <w:bodyDiv w:val="1"/>
      <w:marLeft w:val="0"/>
      <w:marRight w:val="0"/>
      <w:marTop w:val="0"/>
      <w:marBottom w:val="0"/>
      <w:divBdr>
        <w:top w:val="none" w:sz="0" w:space="0" w:color="auto"/>
        <w:left w:val="none" w:sz="0" w:space="0" w:color="auto"/>
        <w:bottom w:val="none" w:sz="0" w:space="0" w:color="auto"/>
        <w:right w:val="none" w:sz="0" w:space="0" w:color="auto"/>
      </w:divBdr>
      <w:divsChild>
        <w:div w:id="506021678">
          <w:marLeft w:val="0"/>
          <w:marRight w:val="0"/>
          <w:marTop w:val="0"/>
          <w:marBottom w:val="0"/>
          <w:divBdr>
            <w:top w:val="none" w:sz="0" w:space="0" w:color="auto"/>
            <w:left w:val="none" w:sz="0" w:space="0" w:color="auto"/>
            <w:bottom w:val="none" w:sz="0" w:space="0" w:color="auto"/>
            <w:right w:val="none" w:sz="0" w:space="0" w:color="auto"/>
          </w:divBdr>
          <w:divsChild>
            <w:div w:id="1571774438">
              <w:marLeft w:val="0"/>
              <w:marRight w:val="0"/>
              <w:marTop w:val="0"/>
              <w:marBottom w:val="0"/>
              <w:divBdr>
                <w:top w:val="none" w:sz="0" w:space="0" w:color="auto"/>
                <w:left w:val="none" w:sz="0" w:space="0" w:color="auto"/>
                <w:bottom w:val="none" w:sz="0" w:space="0" w:color="auto"/>
                <w:right w:val="none" w:sz="0" w:space="0" w:color="auto"/>
              </w:divBdr>
              <w:divsChild>
                <w:div w:id="16324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2202">
          <w:marLeft w:val="0"/>
          <w:marRight w:val="0"/>
          <w:marTop w:val="0"/>
          <w:marBottom w:val="0"/>
          <w:divBdr>
            <w:top w:val="none" w:sz="0" w:space="0" w:color="auto"/>
            <w:left w:val="none" w:sz="0" w:space="0" w:color="auto"/>
            <w:bottom w:val="none" w:sz="0" w:space="0" w:color="auto"/>
            <w:right w:val="none" w:sz="0" w:space="0" w:color="auto"/>
          </w:divBdr>
          <w:divsChild>
            <w:div w:id="1416055280">
              <w:marLeft w:val="0"/>
              <w:marRight w:val="0"/>
              <w:marTop w:val="0"/>
              <w:marBottom w:val="0"/>
              <w:divBdr>
                <w:top w:val="none" w:sz="0" w:space="0" w:color="auto"/>
                <w:left w:val="none" w:sz="0" w:space="0" w:color="auto"/>
                <w:bottom w:val="none" w:sz="0" w:space="0" w:color="auto"/>
                <w:right w:val="none" w:sz="0" w:space="0" w:color="auto"/>
              </w:divBdr>
              <w:divsChild>
                <w:div w:id="1375156154">
                  <w:marLeft w:val="0"/>
                  <w:marRight w:val="0"/>
                  <w:marTop w:val="0"/>
                  <w:marBottom w:val="0"/>
                  <w:divBdr>
                    <w:top w:val="none" w:sz="0" w:space="0" w:color="auto"/>
                    <w:left w:val="none" w:sz="0" w:space="0" w:color="auto"/>
                    <w:bottom w:val="none" w:sz="0" w:space="0" w:color="auto"/>
                    <w:right w:val="none" w:sz="0" w:space="0" w:color="auto"/>
                  </w:divBdr>
                </w:div>
                <w:div w:id="1748303921">
                  <w:marLeft w:val="0"/>
                  <w:marRight w:val="0"/>
                  <w:marTop w:val="0"/>
                  <w:marBottom w:val="0"/>
                  <w:divBdr>
                    <w:top w:val="none" w:sz="0" w:space="0" w:color="auto"/>
                    <w:left w:val="none" w:sz="0" w:space="0" w:color="auto"/>
                    <w:bottom w:val="none" w:sz="0" w:space="0" w:color="auto"/>
                    <w:right w:val="none" w:sz="0" w:space="0" w:color="auto"/>
                  </w:divBdr>
                </w:div>
              </w:divsChild>
            </w:div>
            <w:div w:id="513082483">
              <w:marLeft w:val="0"/>
              <w:marRight w:val="0"/>
              <w:marTop w:val="0"/>
              <w:marBottom w:val="0"/>
              <w:divBdr>
                <w:top w:val="none" w:sz="0" w:space="0" w:color="auto"/>
                <w:left w:val="none" w:sz="0" w:space="0" w:color="auto"/>
                <w:bottom w:val="none" w:sz="0" w:space="0" w:color="auto"/>
                <w:right w:val="none" w:sz="0" w:space="0" w:color="auto"/>
              </w:divBdr>
              <w:divsChild>
                <w:div w:id="596326231">
                  <w:marLeft w:val="0"/>
                  <w:marRight w:val="0"/>
                  <w:marTop w:val="0"/>
                  <w:marBottom w:val="0"/>
                  <w:divBdr>
                    <w:top w:val="none" w:sz="0" w:space="0" w:color="auto"/>
                    <w:left w:val="none" w:sz="0" w:space="0" w:color="auto"/>
                    <w:bottom w:val="none" w:sz="0" w:space="0" w:color="auto"/>
                    <w:right w:val="none" w:sz="0" w:space="0" w:color="auto"/>
                  </w:divBdr>
                </w:div>
              </w:divsChild>
            </w:div>
            <w:div w:id="1155990754">
              <w:marLeft w:val="0"/>
              <w:marRight w:val="0"/>
              <w:marTop w:val="0"/>
              <w:marBottom w:val="0"/>
              <w:divBdr>
                <w:top w:val="none" w:sz="0" w:space="0" w:color="auto"/>
                <w:left w:val="none" w:sz="0" w:space="0" w:color="auto"/>
                <w:bottom w:val="none" w:sz="0" w:space="0" w:color="auto"/>
                <w:right w:val="none" w:sz="0" w:space="0" w:color="auto"/>
              </w:divBdr>
              <w:divsChild>
                <w:div w:id="1527600286">
                  <w:marLeft w:val="0"/>
                  <w:marRight w:val="0"/>
                  <w:marTop w:val="0"/>
                  <w:marBottom w:val="0"/>
                  <w:divBdr>
                    <w:top w:val="none" w:sz="0" w:space="0" w:color="auto"/>
                    <w:left w:val="none" w:sz="0" w:space="0" w:color="auto"/>
                    <w:bottom w:val="none" w:sz="0" w:space="0" w:color="auto"/>
                    <w:right w:val="none" w:sz="0" w:space="0" w:color="auto"/>
                  </w:divBdr>
                </w:div>
              </w:divsChild>
            </w:div>
            <w:div w:id="1290359584">
              <w:marLeft w:val="0"/>
              <w:marRight w:val="0"/>
              <w:marTop w:val="0"/>
              <w:marBottom w:val="0"/>
              <w:divBdr>
                <w:top w:val="none" w:sz="0" w:space="0" w:color="auto"/>
                <w:left w:val="none" w:sz="0" w:space="0" w:color="auto"/>
                <w:bottom w:val="none" w:sz="0" w:space="0" w:color="auto"/>
                <w:right w:val="none" w:sz="0" w:space="0" w:color="auto"/>
              </w:divBdr>
              <w:divsChild>
                <w:div w:id="13710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89347">
          <w:marLeft w:val="0"/>
          <w:marRight w:val="0"/>
          <w:marTop w:val="0"/>
          <w:marBottom w:val="0"/>
          <w:divBdr>
            <w:top w:val="none" w:sz="0" w:space="0" w:color="auto"/>
            <w:left w:val="none" w:sz="0" w:space="0" w:color="auto"/>
            <w:bottom w:val="none" w:sz="0" w:space="0" w:color="auto"/>
            <w:right w:val="none" w:sz="0" w:space="0" w:color="auto"/>
          </w:divBdr>
          <w:divsChild>
            <w:div w:id="486870172">
              <w:marLeft w:val="0"/>
              <w:marRight w:val="0"/>
              <w:marTop w:val="0"/>
              <w:marBottom w:val="0"/>
              <w:divBdr>
                <w:top w:val="none" w:sz="0" w:space="0" w:color="auto"/>
                <w:left w:val="none" w:sz="0" w:space="0" w:color="auto"/>
                <w:bottom w:val="none" w:sz="0" w:space="0" w:color="auto"/>
                <w:right w:val="none" w:sz="0" w:space="0" w:color="auto"/>
              </w:divBdr>
              <w:divsChild>
                <w:div w:id="1532453252">
                  <w:marLeft w:val="0"/>
                  <w:marRight w:val="0"/>
                  <w:marTop w:val="0"/>
                  <w:marBottom w:val="0"/>
                  <w:divBdr>
                    <w:top w:val="none" w:sz="0" w:space="0" w:color="auto"/>
                    <w:left w:val="none" w:sz="0" w:space="0" w:color="auto"/>
                    <w:bottom w:val="none" w:sz="0" w:space="0" w:color="auto"/>
                    <w:right w:val="none" w:sz="0" w:space="0" w:color="auto"/>
                  </w:divBdr>
                </w:div>
              </w:divsChild>
            </w:div>
            <w:div w:id="338702427">
              <w:marLeft w:val="0"/>
              <w:marRight w:val="0"/>
              <w:marTop w:val="0"/>
              <w:marBottom w:val="0"/>
              <w:divBdr>
                <w:top w:val="none" w:sz="0" w:space="0" w:color="auto"/>
                <w:left w:val="none" w:sz="0" w:space="0" w:color="auto"/>
                <w:bottom w:val="none" w:sz="0" w:space="0" w:color="auto"/>
                <w:right w:val="none" w:sz="0" w:space="0" w:color="auto"/>
              </w:divBdr>
              <w:divsChild>
                <w:div w:id="1191920870">
                  <w:marLeft w:val="0"/>
                  <w:marRight w:val="0"/>
                  <w:marTop w:val="0"/>
                  <w:marBottom w:val="0"/>
                  <w:divBdr>
                    <w:top w:val="none" w:sz="0" w:space="0" w:color="auto"/>
                    <w:left w:val="none" w:sz="0" w:space="0" w:color="auto"/>
                    <w:bottom w:val="none" w:sz="0" w:space="0" w:color="auto"/>
                    <w:right w:val="none" w:sz="0" w:space="0" w:color="auto"/>
                  </w:divBdr>
                </w:div>
                <w:div w:id="1139566263">
                  <w:marLeft w:val="0"/>
                  <w:marRight w:val="0"/>
                  <w:marTop w:val="0"/>
                  <w:marBottom w:val="0"/>
                  <w:divBdr>
                    <w:top w:val="none" w:sz="0" w:space="0" w:color="auto"/>
                    <w:left w:val="none" w:sz="0" w:space="0" w:color="auto"/>
                    <w:bottom w:val="none" w:sz="0" w:space="0" w:color="auto"/>
                    <w:right w:val="none" w:sz="0" w:space="0" w:color="auto"/>
                  </w:divBdr>
                </w:div>
              </w:divsChild>
            </w:div>
            <w:div w:id="16738498">
              <w:marLeft w:val="0"/>
              <w:marRight w:val="0"/>
              <w:marTop w:val="0"/>
              <w:marBottom w:val="0"/>
              <w:divBdr>
                <w:top w:val="none" w:sz="0" w:space="0" w:color="auto"/>
                <w:left w:val="none" w:sz="0" w:space="0" w:color="auto"/>
                <w:bottom w:val="none" w:sz="0" w:space="0" w:color="auto"/>
                <w:right w:val="none" w:sz="0" w:space="0" w:color="auto"/>
              </w:divBdr>
              <w:divsChild>
                <w:div w:id="96438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35031">
          <w:marLeft w:val="0"/>
          <w:marRight w:val="0"/>
          <w:marTop w:val="0"/>
          <w:marBottom w:val="0"/>
          <w:divBdr>
            <w:top w:val="none" w:sz="0" w:space="0" w:color="auto"/>
            <w:left w:val="none" w:sz="0" w:space="0" w:color="auto"/>
            <w:bottom w:val="none" w:sz="0" w:space="0" w:color="auto"/>
            <w:right w:val="none" w:sz="0" w:space="0" w:color="auto"/>
          </w:divBdr>
          <w:divsChild>
            <w:div w:id="1697467290">
              <w:marLeft w:val="0"/>
              <w:marRight w:val="0"/>
              <w:marTop w:val="0"/>
              <w:marBottom w:val="0"/>
              <w:divBdr>
                <w:top w:val="none" w:sz="0" w:space="0" w:color="auto"/>
                <w:left w:val="none" w:sz="0" w:space="0" w:color="auto"/>
                <w:bottom w:val="none" w:sz="0" w:space="0" w:color="auto"/>
                <w:right w:val="none" w:sz="0" w:space="0" w:color="auto"/>
              </w:divBdr>
              <w:divsChild>
                <w:div w:id="1767847148">
                  <w:marLeft w:val="0"/>
                  <w:marRight w:val="0"/>
                  <w:marTop w:val="0"/>
                  <w:marBottom w:val="0"/>
                  <w:divBdr>
                    <w:top w:val="none" w:sz="0" w:space="0" w:color="auto"/>
                    <w:left w:val="none" w:sz="0" w:space="0" w:color="auto"/>
                    <w:bottom w:val="none" w:sz="0" w:space="0" w:color="auto"/>
                    <w:right w:val="none" w:sz="0" w:space="0" w:color="auto"/>
                  </w:divBdr>
                </w:div>
              </w:divsChild>
            </w:div>
            <w:div w:id="1514956275">
              <w:marLeft w:val="0"/>
              <w:marRight w:val="0"/>
              <w:marTop w:val="0"/>
              <w:marBottom w:val="0"/>
              <w:divBdr>
                <w:top w:val="none" w:sz="0" w:space="0" w:color="auto"/>
                <w:left w:val="none" w:sz="0" w:space="0" w:color="auto"/>
                <w:bottom w:val="none" w:sz="0" w:space="0" w:color="auto"/>
                <w:right w:val="none" w:sz="0" w:space="0" w:color="auto"/>
              </w:divBdr>
              <w:divsChild>
                <w:div w:id="1415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901790">
          <w:marLeft w:val="0"/>
          <w:marRight w:val="0"/>
          <w:marTop w:val="0"/>
          <w:marBottom w:val="0"/>
          <w:divBdr>
            <w:top w:val="none" w:sz="0" w:space="0" w:color="auto"/>
            <w:left w:val="none" w:sz="0" w:space="0" w:color="auto"/>
            <w:bottom w:val="none" w:sz="0" w:space="0" w:color="auto"/>
            <w:right w:val="none" w:sz="0" w:space="0" w:color="auto"/>
          </w:divBdr>
          <w:divsChild>
            <w:div w:id="1935478364">
              <w:marLeft w:val="0"/>
              <w:marRight w:val="0"/>
              <w:marTop w:val="0"/>
              <w:marBottom w:val="0"/>
              <w:divBdr>
                <w:top w:val="none" w:sz="0" w:space="0" w:color="auto"/>
                <w:left w:val="none" w:sz="0" w:space="0" w:color="auto"/>
                <w:bottom w:val="none" w:sz="0" w:space="0" w:color="auto"/>
                <w:right w:val="none" w:sz="0" w:space="0" w:color="auto"/>
              </w:divBdr>
              <w:divsChild>
                <w:div w:id="1555391024">
                  <w:marLeft w:val="0"/>
                  <w:marRight w:val="0"/>
                  <w:marTop w:val="0"/>
                  <w:marBottom w:val="0"/>
                  <w:divBdr>
                    <w:top w:val="none" w:sz="0" w:space="0" w:color="auto"/>
                    <w:left w:val="none" w:sz="0" w:space="0" w:color="auto"/>
                    <w:bottom w:val="none" w:sz="0" w:space="0" w:color="auto"/>
                    <w:right w:val="none" w:sz="0" w:space="0" w:color="auto"/>
                  </w:divBdr>
                </w:div>
              </w:divsChild>
            </w:div>
            <w:div w:id="2021270929">
              <w:marLeft w:val="0"/>
              <w:marRight w:val="0"/>
              <w:marTop w:val="0"/>
              <w:marBottom w:val="0"/>
              <w:divBdr>
                <w:top w:val="none" w:sz="0" w:space="0" w:color="auto"/>
                <w:left w:val="none" w:sz="0" w:space="0" w:color="auto"/>
                <w:bottom w:val="none" w:sz="0" w:space="0" w:color="auto"/>
                <w:right w:val="none" w:sz="0" w:space="0" w:color="auto"/>
              </w:divBdr>
              <w:divsChild>
                <w:div w:id="157805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06960">
      <w:bodyDiv w:val="1"/>
      <w:marLeft w:val="0"/>
      <w:marRight w:val="0"/>
      <w:marTop w:val="0"/>
      <w:marBottom w:val="0"/>
      <w:divBdr>
        <w:top w:val="none" w:sz="0" w:space="0" w:color="auto"/>
        <w:left w:val="none" w:sz="0" w:space="0" w:color="auto"/>
        <w:bottom w:val="none" w:sz="0" w:space="0" w:color="auto"/>
        <w:right w:val="none" w:sz="0" w:space="0" w:color="auto"/>
      </w:divBdr>
    </w:div>
    <w:div w:id="1297485725">
      <w:bodyDiv w:val="1"/>
      <w:marLeft w:val="0"/>
      <w:marRight w:val="0"/>
      <w:marTop w:val="0"/>
      <w:marBottom w:val="0"/>
      <w:divBdr>
        <w:top w:val="none" w:sz="0" w:space="0" w:color="auto"/>
        <w:left w:val="none" w:sz="0" w:space="0" w:color="auto"/>
        <w:bottom w:val="none" w:sz="0" w:space="0" w:color="auto"/>
        <w:right w:val="none" w:sz="0" w:space="0" w:color="auto"/>
      </w:divBdr>
    </w:div>
    <w:div w:id="1589581559">
      <w:bodyDiv w:val="1"/>
      <w:marLeft w:val="0"/>
      <w:marRight w:val="0"/>
      <w:marTop w:val="0"/>
      <w:marBottom w:val="0"/>
      <w:divBdr>
        <w:top w:val="none" w:sz="0" w:space="0" w:color="auto"/>
        <w:left w:val="none" w:sz="0" w:space="0" w:color="auto"/>
        <w:bottom w:val="none" w:sz="0" w:space="0" w:color="auto"/>
        <w:right w:val="none" w:sz="0" w:space="0" w:color="auto"/>
      </w:divBdr>
      <w:divsChild>
        <w:div w:id="1346830976">
          <w:marLeft w:val="0"/>
          <w:marRight w:val="0"/>
          <w:marTop w:val="0"/>
          <w:marBottom w:val="0"/>
          <w:divBdr>
            <w:top w:val="none" w:sz="0" w:space="0" w:color="auto"/>
            <w:left w:val="none" w:sz="0" w:space="0" w:color="auto"/>
            <w:bottom w:val="none" w:sz="0" w:space="0" w:color="auto"/>
            <w:right w:val="none" w:sz="0" w:space="0" w:color="auto"/>
          </w:divBdr>
          <w:divsChild>
            <w:div w:id="2105999876">
              <w:marLeft w:val="0"/>
              <w:marRight w:val="0"/>
              <w:marTop w:val="0"/>
              <w:marBottom w:val="0"/>
              <w:divBdr>
                <w:top w:val="none" w:sz="0" w:space="0" w:color="auto"/>
                <w:left w:val="none" w:sz="0" w:space="0" w:color="auto"/>
                <w:bottom w:val="none" w:sz="0" w:space="0" w:color="auto"/>
                <w:right w:val="none" w:sz="0" w:space="0" w:color="auto"/>
              </w:divBdr>
              <w:divsChild>
                <w:div w:id="176661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EAE5E-2920-41F7-9C64-5E7BA52C4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944</Words>
  <Characters>5387</Characters>
  <Application>Microsoft Office Word</Application>
  <DocSecurity>0</DocSecurity>
  <Lines>44</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Toffalini</dc:creator>
  <cp:keywords/>
  <dc:description/>
  <cp:lastModifiedBy>Toffalini Enrico</cp:lastModifiedBy>
  <cp:revision>222</cp:revision>
  <dcterms:created xsi:type="dcterms:W3CDTF">2020-05-12T17:50:00Z</dcterms:created>
  <dcterms:modified xsi:type="dcterms:W3CDTF">2020-12-15T14:47:00Z</dcterms:modified>
</cp:coreProperties>
</file>