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F7E" w:rsidRPr="00707E58" w:rsidRDefault="00231F7E" w:rsidP="00231F7E">
      <w:pPr>
        <w:ind w:left="720" w:hanging="720"/>
        <w:jc w:val="center"/>
        <w:rPr>
          <w:b/>
          <w:bCs/>
          <w:sz w:val="44"/>
          <w:szCs w:val="44"/>
        </w:rPr>
      </w:pPr>
      <w:r w:rsidRPr="00707E58">
        <w:rPr>
          <w:b/>
          <w:bCs/>
          <w:sz w:val="44"/>
          <w:szCs w:val="44"/>
        </w:rPr>
        <w:t>SUPPLEMENTAL MATERIALS</w:t>
      </w:r>
    </w:p>
    <w:p w:rsidR="00231F7E" w:rsidRDefault="00231F7E" w:rsidP="00231F7E">
      <w:pPr>
        <w:rPr>
          <w:rFonts w:ascii="Garamond" w:hAnsi="Garamond"/>
          <w:szCs w:val="24"/>
        </w:rPr>
      </w:pPr>
    </w:p>
    <w:p w:rsidR="00231F7E" w:rsidRPr="00907EAC" w:rsidRDefault="00231F7E" w:rsidP="00231F7E">
      <w:pPr>
        <w:spacing w:line="240" w:lineRule="auto"/>
        <w:rPr>
          <w:b/>
          <w:i/>
        </w:rPr>
      </w:pPr>
      <w:r>
        <w:t xml:space="preserve">Supplemental Table </w:t>
      </w:r>
      <w:r>
        <w:rPr>
          <w:noProof/>
        </w:rPr>
        <w:t>1</w:t>
      </w:r>
      <w:r>
        <w:t xml:space="preserve">A. </w:t>
      </w:r>
      <w:r w:rsidRPr="00907EAC">
        <w:t>Correlation matrix</w:t>
      </w:r>
      <w:r>
        <w:t xml:space="preserve"> for task-unrelated thought (TUT) rate and questionnaire measures in the total sample.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0"/>
      </w:tblGrid>
      <w:tr w:rsidR="00231F7E" w:rsidTr="005D3E59">
        <w:tc>
          <w:tcPr>
            <w:tcW w:w="12950" w:type="dxa"/>
          </w:tcPr>
          <w:bookmarkStart w:id="0" w:name="_MON_1620108537"/>
          <w:bookmarkEnd w:id="0"/>
          <w:p w:rsidR="00231F7E" w:rsidRDefault="00231F7E" w:rsidP="005D3E59">
            <w:pPr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object w:dxaOrig="17070" w:dyaOrig="74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1.2pt;height:374.25pt" o:ole="">
                  <v:imagedata r:id="rId4" o:title=""/>
                </v:shape>
                <o:OLEObject Type="Embed" ProgID="Excel.Sheet.12" ShapeID="_x0000_i1025" DrawAspect="Content" ObjectID="_1677119842" r:id="rId5"/>
              </w:object>
            </w:r>
          </w:p>
        </w:tc>
      </w:tr>
    </w:tbl>
    <w:p w:rsidR="00231F7E" w:rsidRPr="007127D2" w:rsidRDefault="00231F7E" w:rsidP="00231F7E">
      <w:pPr>
        <w:rPr>
          <w:sz w:val="26"/>
          <w:szCs w:val="26"/>
        </w:rPr>
      </w:pPr>
      <w:r w:rsidRPr="007127D2">
        <w:rPr>
          <w:b/>
          <w:sz w:val="26"/>
          <w:szCs w:val="26"/>
        </w:rPr>
        <w:lastRenderedPageBreak/>
        <w:t>Note</w:t>
      </w:r>
      <w:r w:rsidRPr="007127D2">
        <w:rPr>
          <w:sz w:val="26"/>
          <w:szCs w:val="26"/>
        </w:rPr>
        <w:t xml:space="preserve">. Bolded italicized correlations: </w:t>
      </w:r>
      <w:r w:rsidRPr="007127D2">
        <w:rPr>
          <w:rFonts w:ascii="Times New Roman" w:hAnsi="Times New Roman" w:cs="Times New Roman"/>
          <w:sz w:val="26"/>
          <w:szCs w:val="26"/>
        </w:rPr>
        <w:t>≥</w:t>
      </w:r>
      <w:r w:rsidRPr="007127D2">
        <w:rPr>
          <w:sz w:val="26"/>
          <w:szCs w:val="26"/>
        </w:rPr>
        <w:t>.30 across all 5 correlation matrices.</w:t>
      </w:r>
      <w:r w:rsidRPr="007127D2">
        <w:rPr>
          <w:sz w:val="26"/>
          <w:szCs w:val="2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0"/>
      </w:tblGrid>
      <w:tr w:rsidR="00231F7E" w:rsidTr="005D3E59">
        <w:tc>
          <w:tcPr>
            <w:tcW w:w="12950" w:type="dxa"/>
          </w:tcPr>
          <w:p w:rsidR="00231F7E" w:rsidRDefault="00231F7E" w:rsidP="005D3E59">
            <w:pPr>
              <w:pStyle w:val="Caption"/>
              <w:keepNext/>
              <w:spacing w:before="240" w:after="240"/>
            </w:pPr>
            <w:r>
              <w:lastRenderedPageBreak/>
              <w:t xml:space="preserve">Supplemental Table 1B. </w:t>
            </w:r>
            <w:r>
              <w:rPr>
                <w:b w:val="0"/>
                <w:i w:val="0"/>
              </w:rPr>
              <w:t>Correlation matrix for task-unrelated thought (TUT) rate and questionnaire measures in the content-probe condition.</w:t>
            </w:r>
          </w:p>
          <w:bookmarkStart w:id="1" w:name="_MON_1620134321"/>
          <w:bookmarkEnd w:id="1"/>
          <w:p w:rsidR="00231F7E" w:rsidRDefault="00231F7E" w:rsidP="005D3E59">
            <w:pPr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object w:dxaOrig="17070" w:dyaOrig="7133">
                <v:shape id="_x0000_i1026" type="#_x0000_t75" style="width:641.2pt;height:5in" o:ole="">
                  <v:imagedata r:id="rId6" o:title=""/>
                </v:shape>
                <o:OLEObject Type="Embed" ProgID="Excel.Sheet.12" ShapeID="_x0000_i1026" DrawAspect="Content" ObjectID="_1677119843" r:id="rId7"/>
              </w:object>
            </w:r>
          </w:p>
        </w:tc>
      </w:tr>
    </w:tbl>
    <w:p w:rsidR="00231F7E" w:rsidRDefault="00231F7E" w:rsidP="00231F7E">
      <w:pPr>
        <w:ind w:firstLine="720"/>
        <w:rPr>
          <w:rFonts w:ascii="Garamond" w:hAnsi="Garamond"/>
          <w:szCs w:val="24"/>
        </w:rPr>
      </w:pPr>
    </w:p>
    <w:p w:rsidR="00231F7E" w:rsidRPr="00DB5B3E" w:rsidRDefault="00231F7E" w:rsidP="00231F7E">
      <w:pPr>
        <w:pStyle w:val="Caption"/>
        <w:keepNext/>
        <w:spacing w:after="240"/>
        <w:rPr>
          <w:b w:val="0"/>
          <w:i w:val="0"/>
        </w:rPr>
      </w:pPr>
      <w:r>
        <w:lastRenderedPageBreak/>
        <w:t xml:space="preserve">Supplemental Table 1C. </w:t>
      </w:r>
      <w:r w:rsidRPr="00DB5B3E">
        <w:rPr>
          <w:b w:val="0"/>
          <w:i w:val="0"/>
        </w:rPr>
        <w:t>Correlation</w:t>
      </w:r>
      <w:r>
        <w:rPr>
          <w:b w:val="0"/>
          <w:i w:val="0"/>
        </w:rPr>
        <w:t xml:space="preserve"> matrix for task-unrelated thought (TUT) rate and questionnaire measures in the intentionality-probe condition.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0"/>
      </w:tblGrid>
      <w:tr w:rsidR="00231F7E" w:rsidTr="005D3E59">
        <w:tc>
          <w:tcPr>
            <w:tcW w:w="12960" w:type="dxa"/>
          </w:tcPr>
          <w:bookmarkStart w:id="2" w:name="_MON_1620134392"/>
          <w:bookmarkEnd w:id="2"/>
          <w:p w:rsidR="00231F7E" w:rsidRDefault="00231F7E" w:rsidP="005D3E59">
            <w:pPr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object w:dxaOrig="17070" w:dyaOrig="7133">
                <v:shape id="_x0000_i1027" type="#_x0000_t75" style="width:641.2pt;height:5in" o:ole="">
                  <v:imagedata r:id="rId8" o:title=""/>
                </v:shape>
                <o:OLEObject Type="Embed" ProgID="Excel.Sheet.12" ShapeID="_x0000_i1027" DrawAspect="Content" ObjectID="_1677119844" r:id="rId9"/>
              </w:object>
            </w:r>
          </w:p>
        </w:tc>
      </w:tr>
    </w:tbl>
    <w:p w:rsidR="00231F7E" w:rsidRDefault="00231F7E" w:rsidP="00231F7E">
      <w:pPr>
        <w:spacing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0"/>
      </w:tblGrid>
      <w:tr w:rsidR="00231F7E" w:rsidTr="005D3E59">
        <w:tc>
          <w:tcPr>
            <w:tcW w:w="12950" w:type="dxa"/>
          </w:tcPr>
          <w:p w:rsidR="00231F7E" w:rsidRPr="00F602A9" w:rsidRDefault="00231F7E" w:rsidP="005D3E59">
            <w:pPr>
              <w:pStyle w:val="Caption"/>
              <w:keepNext/>
              <w:spacing w:after="240"/>
              <w:rPr>
                <w:b w:val="0"/>
                <w:i w:val="0"/>
              </w:rPr>
            </w:pPr>
            <w:r>
              <w:lastRenderedPageBreak/>
              <w:t xml:space="preserve">Supplemental Table 1D. </w:t>
            </w:r>
            <w:r w:rsidRPr="00F602A9">
              <w:rPr>
                <w:b w:val="0"/>
                <w:i w:val="0"/>
              </w:rPr>
              <w:t>Correlation matrix</w:t>
            </w:r>
            <w:r>
              <w:rPr>
                <w:b w:val="0"/>
                <w:i w:val="0"/>
              </w:rPr>
              <w:t xml:space="preserve"> for task-unrelated thought (TUT) rate and questionnaire measures in the depth-probe condition.</w:t>
            </w:r>
          </w:p>
          <w:bookmarkStart w:id="3" w:name="_MON_1620134471"/>
          <w:bookmarkEnd w:id="3"/>
          <w:p w:rsidR="00231F7E" w:rsidRDefault="00231F7E" w:rsidP="005D3E59">
            <w:pPr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object w:dxaOrig="17113" w:dyaOrig="7269">
                <v:shape id="_x0000_i1028" type="#_x0000_t75" style="width:641.2pt;height:366.8pt" o:ole="">
                  <v:imagedata r:id="rId10" o:title=""/>
                </v:shape>
                <o:OLEObject Type="Embed" ProgID="Excel.Sheet.12" ShapeID="_x0000_i1028" DrawAspect="Content" ObjectID="_1677119845" r:id="rId11"/>
              </w:object>
            </w:r>
          </w:p>
        </w:tc>
      </w:tr>
    </w:tbl>
    <w:p w:rsidR="00231F7E" w:rsidRDefault="00231F7E" w:rsidP="00231F7E">
      <w:pPr>
        <w:spacing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br w:type="page"/>
      </w:r>
    </w:p>
    <w:p w:rsidR="00231F7E" w:rsidRPr="008D1DFC" w:rsidRDefault="00231F7E" w:rsidP="00231F7E">
      <w:pPr>
        <w:pStyle w:val="Caption"/>
        <w:keepNext/>
        <w:spacing w:after="240"/>
        <w:rPr>
          <w:b w:val="0"/>
          <w:i w:val="0"/>
        </w:rPr>
      </w:pPr>
      <w:r>
        <w:lastRenderedPageBreak/>
        <w:t xml:space="preserve">Supplemental Table 1E. </w:t>
      </w:r>
      <w:r w:rsidRPr="008D1DFC">
        <w:rPr>
          <w:b w:val="0"/>
          <w:i w:val="0"/>
        </w:rPr>
        <w:t>Correlation matrix</w:t>
      </w:r>
      <w:r>
        <w:rPr>
          <w:b w:val="0"/>
          <w:i w:val="0"/>
        </w:rPr>
        <w:t xml:space="preserve"> for task-unrelated thought (TUT) rate and questionnaire measures in the content-probe condition without a task-related interference (TRI) response option.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0"/>
      </w:tblGrid>
      <w:tr w:rsidR="00231F7E" w:rsidTr="005D3E59">
        <w:tc>
          <w:tcPr>
            <w:tcW w:w="12960" w:type="dxa"/>
          </w:tcPr>
          <w:bookmarkStart w:id="4" w:name="_MON_1620134517"/>
          <w:bookmarkEnd w:id="4"/>
          <w:p w:rsidR="00231F7E" w:rsidRDefault="00231F7E" w:rsidP="005D3E59">
            <w:pPr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  <w:object w:dxaOrig="17070" w:dyaOrig="7133">
                <v:shape id="_x0000_i1029" type="#_x0000_t75" style="width:641.2pt;height:5in" o:ole="">
                  <v:imagedata r:id="rId12" o:title=""/>
                </v:shape>
                <o:OLEObject Type="Embed" ProgID="Excel.Sheet.12" ShapeID="_x0000_i1029" DrawAspect="Content" ObjectID="_1677119846" r:id="rId13"/>
              </w:object>
            </w:r>
          </w:p>
        </w:tc>
      </w:tr>
    </w:tbl>
    <w:p w:rsidR="00231F7E" w:rsidRDefault="00231F7E" w:rsidP="00231F7E">
      <w:pPr>
        <w:spacing w:line="240" w:lineRule="auto"/>
        <w:rPr>
          <w:rFonts w:ascii="Garamond" w:hAnsi="Garamond"/>
          <w:szCs w:val="24"/>
        </w:rPr>
      </w:pPr>
    </w:p>
    <w:p w:rsidR="00231F7E" w:rsidRDefault="00231F7E" w:rsidP="00231F7E">
      <w:pPr>
        <w:spacing w:line="240" w:lineRule="auto"/>
        <w:rPr>
          <w:rFonts w:ascii="Garamond" w:hAnsi="Garamond"/>
          <w:szCs w:val="24"/>
        </w:rPr>
      </w:pPr>
    </w:p>
    <w:p w:rsidR="00231F7E" w:rsidRDefault="00231F7E" w:rsidP="00231F7E">
      <w:pPr>
        <w:spacing w:line="240" w:lineRule="auto"/>
        <w:rPr>
          <w:rFonts w:ascii="Garamond" w:hAnsi="Garamond"/>
          <w:szCs w:val="24"/>
        </w:rPr>
      </w:pPr>
    </w:p>
    <w:p w:rsidR="00231F7E" w:rsidRDefault="00231F7E" w:rsidP="00231F7E">
      <w:pPr>
        <w:spacing w:line="240" w:lineRule="auto"/>
        <w:rPr>
          <w:rFonts w:ascii="Garamond" w:hAnsi="Garamond"/>
          <w:szCs w:val="24"/>
        </w:rPr>
      </w:pPr>
    </w:p>
    <w:p w:rsidR="00231F7E" w:rsidRDefault="00231F7E" w:rsidP="00231F7E">
      <w:pPr>
        <w:spacing w:line="240" w:lineRule="auto"/>
        <w:rPr>
          <w:rFonts w:ascii="Garamond" w:hAnsi="Garamond"/>
          <w:szCs w:val="24"/>
        </w:rPr>
        <w:sectPr w:rsidR="00231F7E" w:rsidSect="0090352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231F7E" w:rsidRDefault="00231F7E" w:rsidP="00231F7E">
      <w:pPr>
        <w:spacing w:line="240" w:lineRule="auto"/>
        <w:rPr>
          <w:rFonts w:ascii="Garamond" w:hAnsi="Garamond"/>
          <w:szCs w:val="24"/>
        </w:rPr>
      </w:pPr>
    </w:p>
    <w:p w:rsidR="00231F7E" w:rsidRPr="00436F22" w:rsidRDefault="00231F7E" w:rsidP="00231F7E">
      <w:pPr>
        <w:rPr>
          <w:color w:val="000000" w:themeColor="text1"/>
          <w:sz w:val="26"/>
          <w:szCs w:val="26"/>
        </w:rPr>
      </w:pPr>
      <w:r>
        <w:rPr>
          <w:b/>
          <w:i/>
          <w:color w:val="000000" w:themeColor="text1"/>
          <w:sz w:val="26"/>
          <w:szCs w:val="26"/>
        </w:rPr>
        <w:t>Supplemental Table 2</w:t>
      </w:r>
      <w:r w:rsidRPr="00436F22">
        <w:rPr>
          <w:b/>
          <w:i/>
          <w:color w:val="000000" w:themeColor="text1"/>
          <w:sz w:val="26"/>
          <w:szCs w:val="26"/>
        </w:rPr>
        <w:t>.</w:t>
      </w:r>
      <w:r>
        <w:rPr>
          <w:b/>
          <w:color w:val="000000" w:themeColor="text1"/>
          <w:sz w:val="26"/>
          <w:szCs w:val="26"/>
        </w:rPr>
        <w:t xml:space="preserve"> </w:t>
      </w:r>
      <w:r w:rsidRPr="00436F22">
        <w:rPr>
          <w:color w:val="000000" w:themeColor="text1"/>
          <w:sz w:val="26"/>
          <w:szCs w:val="26"/>
        </w:rPr>
        <w:t>Details about the questionnaire factor analyses.</w:t>
      </w:r>
    </w:p>
    <w:p w:rsidR="00231F7E" w:rsidRDefault="00231F7E" w:rsidP="00231F7E">
      <w:pPr>
        <w:ind w:firstLine="72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Exploratory factor analyses (with promax rotation) for each probe condition separately yielded two factors with Eigenvalues &gt;1 and two factors above the scree (see Supplemental Table 3); re-running each analysis to force a two-factor solution yielded results presented in Supplemental Table 4.</w:t>
      </w:r>
      <w:r w:rsidRPr="00250668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As in the correlations, there is </w:t>
      </w:r>
      <w:r w:rsidRPr="00AF5097">
        <w:rPr>
          <w:i/>
          <w:color w:val="000000" w:themeColor="text1"/>
          <w:sz w:val="26"/>
          <w:szCs w:val="26"/>
        </w:rPr>
        <w:t>some</w:t>
      </w:r>
      <w:r>
        <w:rPr>
          <w:color w:val="000000" w:themeColor="text1"/>
          <w:sz w:val="26"/>
          <w:szCs w:val="26"/>
        </w:rPr>
        <w:t xml:space="preserve"> consistency among probe-type conditions: One factor (“</w:t>
      </w:r>
      <w:r w:rsidRPr="00255B7D">
        <w:rPr>
          <w:i/>
          <w:color w:val="000000" w:themeColor="text1"/>
          <w:sz w:val="26"/>
          <w:szCs w:val="26"/>
        </w:rPr>
        <w:t>Apathetic Inattention</w:t>
      </w:r>
      <w:r>
        <w:rPr>
          <w:color w:val="000000" w:themeColor="text1"/>
          <w:sz w:val="26"/>
          <w:szCs w:val="26"/>
        </w:rPr>
        <w:t>”) was primarily loaded by measures of conscientiousness (negatively), boredom proneness, inattentiveness, and mind wandering; another factor (“</w:t>
      </w:r>
      <w:r>
        <w:rPr>
          <w:i/>
          <w:color w:val="000000" w:themeColor="text1"/>
          <w:sz w:val="26"/>
          <w:szCs w:val="26"/>
        </w:rPr>
        <w:t>Positive Daydreaming But Pressured Thought</w:t>
      </w:r>
      <w:r>
        <w:rPr>
          <w:color w:val="000000" w:themeColor="text1"/>
          <w:sz w:val="26"/>
          <w:szCs w:val="26"/>
        </w:rPr>
        <w:t xml:space="preserve">”) was primarily loaded by daydreaming frequency, problem-solving and purposeful daydreaming, openness, and racing and unwanted thoughts. However, these thematically central measures varied in their relative loadings (and some cross-loadings) across probe conditions, and additional measures varied in whether they loaded moderately or not on these factors. </w:t>
      </w:r>
    </w:p>
    <w:p w:rsidR="00231F7E" w:rsidRDefault="00231F7E" w:rsidP="00231F7E">
      <w:pPr>
        <w:ind w:firstLine="72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Because our goal was to simplify our questionnaire measures into a few interpretable constructs (rather than to discover some “true” latent structure for the entire battery), we attempted to maximize the chance of finding factor invariance across probe-type conditions by conducting a multigroup CFA on only a subset of measures with relatively consistent loadings across groups: The “</w:t>
      </w:r>
      <w:r w:rsidRPr="00255B7D">
        <w:rPr>
          <w:i/>
          <w:color w:val="000000" w:themeColor="text1"/>
          <w:sz w:val="26"/>
          <w:szCs w:val="26"/>
        </w:rPr>
        <w:t>Apathetic Inattention</w:t>
      </w:r>
      <w:r>
        <w:rPr>
          <w:color w:val="000000" w:themeColor="text1"/>
          <w:sz w:val="26"/>
          <w:szCs w:val="26"/>
        </w:rPr>
        <w:t>” factor was indicated by 8 measures (ADHD–Hyperactivity, ADHD–Inattentiveness, CFQ–MAL, Conscientiousness, Fidgeting–SAQ, IPI–Boredom Proneness, IPI–Mind Wandering, and Mind Wandering–Spontaneous) and the “</w:t>
      </w:r>
      <w:r>
        <w:rPr>
          <w:i/>
          <w:color w:val="000000" w:themeColor="text1"/>
          <w:sz w:val="26"/>
          <w:szCs w:val="26"/>
        </w:rPr>
        <w:t xml:space="preserve">Positive Daydreaming But Pressured </w:t>
      </w:r>
      <w:r w:rsidRPr="00255B7D">
        <w:rPr>
          <w:i/>
          <w:color w:val="000000" w:themeColor="text1"/>
          <w:sz w:val="26"/>
          <w:szCs w:val="26"/>
        </w:rPr>
        <w:t>Thought</w:t>
      </w:r>
      <w:r>
        <w:rPr>
          <w:color w:val="000000" w:themeColor="text1"/>
          <w:sz w:val="26"/>
          <w:szCs w:val="26"/>
        </w:rPr>
        <w:t xml:space="preserve">” factor was indicated by 9 measures (IPI–Daydream Frequency, IPI–Mentation Rate, IPI–Problem-Solving Daydreams, Mind Wandering–Deliberate, Mind Wandering–Spontaneous, Openness, </w:t>
      </w:r>
      <w:r w:rsidRPr="00A64AA6">
        <w:rPr>
          <w:sz w:val="26"/>
          <w:szCs w:val="26"/>
        </w:rPr>
        <w:t>Metacognitive Prospective Memory</w:t>
      </w:r>
      <w:r>
        <w:rPr>
          <w:sz w:val="26"/>
          <w:szCs w:val="26"/>
        </w:rPr>
        <w:t>, S</w:t>
      </w:r>
      <w:r w:rsidRPr="00A64AA6">
        <w:rPr>
          <w:sz w:val="26"/>
          <w:szCs w:val="26"/>
        </w:rPr>
        <w:t>chizotypy–Magical Ideation; White Bear Suppression Inventory</w:t>
      </w:r>
      <w:r>
        <w:rPr>
          <w:sz w:val="26"/>
          <w:szCs w:val="26"/>
        </w:rPr>
        <w:t>)</w:t>
      </w:r>
      <w:r>
        <w:rPr>
          <w:color w:val="000000" w:themeColor="text1"/>
          <w:sz w:val="26"/>
          <w:szCs w:val="26"/>
        </w:rPr>
        <w:t xml:space="preserve">. Perhaps unsurprisingly, given the exploratory factor analysis </w:t>
      </w:r>
      <w:r w:rsidRPr="00D102C8">
        <w:rPr>
          <w:color w:val="000000" w:themeColor="text1"/>
          <w:sz w:val="26"/>
          <w:szCs w:val="26"/>
        </w:rPr>
        <w:t xml:space="preserve">results, the multigroup CFA </w:t>
      </w:r>
      <w:r>
        <w:rPr>
          <w:color w:val="000000" w:themeColor="text1"/>
          <w:sz w:val="26"/>
          <w:szCs w:val="26"/>
        </w:rPr>
        <w:t>failed to</w:t>
      </w:r>
      <w:r w:rsidRPr="00D102C8">
        <w:rPr>
          <w:color w:val="000000" w:themeColor="text1"/>
          <w:sz w:val="26"/>
          <w:szCs w:val="26"/>
        </w:rPr>
        <w:t xml:space="preserve"> indicate factor invariance (see </w:t>
      </w:r>
      <w:r>
        <w:rPr>
          <w:color w:val="000000" w:themeColor="text1"/>
          <w:sz w:val="26"/>
          <w:szCs w:val="26"/>
        </w:rPr>
        <w:t>Supplemental Table 5</w:t>
      </w:r>
      <w:r w:rsidRPr="00D102C8">
        <w:rPr>
          <w:color w:val="000000" w:themeColor="text1"/>
          <w:sz w:val="26"/>
          <w:szCs w:val="26"/>
        </w:rPr>
        <w:t xml:space="preserve">): The baseline, configural model did not adequately fit the data for all groups, indicated by a significant chi-square test, </w:t>
      </w:r>
      <w:r w:rsidRPr="00D102C8">
        <w:rPr>
          <w:rFonts w:ascii="Garamond" w:hAnsi="Garamond"/>
          <w:color w:val="000000" w:themeColor="text1"/>
          <w:sz w:val="26"/>
          <w:szCs w:val="26"/>
        </w:rPr>
        <w:t>χ</w:t>
      </w:r>
      <w:r w:rsidRPr="00D102C8">
        <w:rPr>
          <w:color w:val="000000" w:themeColor="text1"/>
          <w:sz w:val="26"/>
          <w:szCs w:val="26"/>
          <w:vertAlign w:val="superscript"/>
        </w:rPr>
        <w:t>2</w:t>
      </w:r>
      <w:r w:rsidRPr="00D102C8">
        <w:rPr>
          <w:color w:val="000000" w:themeColor="text1"/>
          <w:sz w:val="26"/>
          <w:szCs w:val="26"/>
        </w:rPr>
        <w:t xml:space="preserve">(408) = 1843.81, </w:t>
      </w:r>
      <w:r w:rsidRPr="00D102C8">
        <w:rPr>
          <w:i/>
          <w:color w:val="000000" w:themeColor="text1"/>
          <w:sz w:val="26"/>
          <w:szCs w:val="26"/>
        </w:rPr>
        <w:t>p</w:t>
      </w:r>
      <w:r w:rsidRPr="00D102C8">
        <w:rPr>
          <w:color w:val="000000" w:themeColor="text1"/>
          <w:sz w:val="26"/>
          <w:szCs w:val="26"/>
        </w:rPr>
        <w:t xml:space="preserve"> &lt; .001, and constraining factor loadings to be equal across groups (“weak invariance”) significantly hurt model fit versus the configural model.</w:t>
      </w:r>
    </w:p>
    <w:p w:rsidR="00231F7E" w:rsidRPr="00D102C8" w:rsidRDefault="00231F7E" w:rsidP="00231F7E">
      <w:pPr>
        <w:ind w:firstLine="720"/>
        <w:rPr>
          <w:color w:val="000000" w:themeColor="text1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31F7E" w:rsidTr="005D3E59">
        <w:tc>
          <w:tcPr>
            <w:tcW w:w="9350" w:type="dxa"/>
          </w:tcPr>
          <w:p w:rsidR="00231F7E" w:rsidRDefault="00231F7E" w:rsidP="005D3E59">
            <w:pPr>
              <w:pStyle w:val="Caption"/>
              <w:keepNext/>
              <w:spacing w:before="240" w:after="240"/>
            </w:pPr>
            <w:r>
              <w:lastRenderedPageBreak/>
              <w:t xml:space="preserve">Supplemental Table 3. </w:t>
            </w:r>
            <w:r w:rsidRPr="00FC3137">
              <w:rPr>
                <w:b w:val="0"/>
                <w:i w:val="0"/>
              </w:rPr>
              <w:t>Scree plots from exploratory factor analys</w:t>
            </w:r>
            <w:r>
              <w:rPr>
                <w:b w:val="0"/>
                <w:i w:val="0"/>
              </w:rPr>
              <w:t>e</w:t>
            </w:r>
            <w:r w:rsidRPr="00FC3137">
              <w:rPr>
                <w:b w:val="0"/>
                <w:i w:val="0"/>
              </w:rPr>
              <w:t xml:space="preserve">s </w:t>
            </w:r>
            <w:r>
              <w:rPr>
                <w:b w:val="0"/>
                <w:i w:val="0"/>
              </w:rPr>
              <w:t xml:space="preserve">(promax rotation) </w:t>
            </w:r>
            <w:r w:rsidRPr="00FC3137">
              <w:rPr>
                <w:b w:val="0"/>
                <w:i w:val="0"/>
              </w:rPr>
              <w:t xml:space="preserve">of </w:t>
            </w:r>
            <w:r>
              <w:rPr>
                <w:b w:val="0"/>
                <w:i w:val="0"/>
              </w:rPr>
              <w:t xml:space="preserve">the </w:t>
            </w:r>
            <w:r w:rsidRPr="00FC3137">
              <w:rPr>
                <w:b w:val="0"/>
                <w:i w:val="0"/>
              </w:rPr>
              <w:t>questionnaire battery</w:t>
            </w:r>
            <w:r>
              <w:rPr>
                <w:b w:val="0"/>
                <w:i w:val="0"/>
              </w:rPr>
              <w:t>, by probe-type condition</w:t>
            </w:r>
            <w:r w:rsidRPr="00FC3137">
              <w:rPr>
                <w:b w:val="0"/>
                <w:i w:val="0"/>
              </w:rPr>
              <w:t>.</w:t>
            </w:r>
          </w:p>
          <w:p w:rsidR="00231F7E" w:rsidRDefault="00231F7E" w:rsidP="005D3E59">
            <w:pPr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noProof/>
                <w:szCs w:val="24"/>
              </w:rPr>
              <w:drawing>
                <wp:inline distT="0" distB="0" distL="0" distR="0" wp14:anchorId="09DC956F" wp14:editId="6E5D7A05">
                  <wp:extent cx="5799152" cy="4349364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Questionnaire battery scree plots.bmp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9593" cy="434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1F7E" w:rsidRDefault="00231F7E" w:rsidP="00231F7E">
      <w:pPr>
        <w:spacing w:line="240" w:lineRule="auto"/>
        <w:rPr>
          <w:rFonts w:ascii="Garamond" w:hAnsi="Garamond"/>
          <w:szCs w:val="24"/>
        </w:rPr>
      </w:pPr>
    </w:p>
    <w:p w:rsidR="00231F7E" w:rsidRDefault="00231F7E" w:rsidP="00231F7E">
      <w:pPr>
        <w:spacing w:line="240" w:lineRule="auto"/>
        <w:rPr>
          <w:rFonts w:ascii="Garamond" w:hAnsi="Garamond"/>
          <w:szCs w:val="24"/>
        </w:rPr>
      </w:pPr>
    </w:p>
    <w:p w:rsidR="00231F7E" w:rsidRDefault="00231F7E" w:rsidP="00231F7E">
      <w:pPr>
        <w:spacing w:line="240" w:lineRule="auto"/>
        <w:rPr>
          <w:rFonts w:ascii="Garamond" w:hAnsi="Garamond"/>
          <w:szCs w:val="24"/>
        </w:rPr>
      </w:pPr>
    </w:p>
    <w:p w:rsidR="00231F7E" w:rsidRDefault="00231F7E" w:rsidP="00231F7E">
      <w:pPr>
        <w:spacing w:line="240" w:lineRule="auto"/>
        <w:rPr>
          <w:rFonts w:ascii="Garamond" w:hAnsi="Garamond"/>
          <w:szCs w:val="24"/>
        </w:rPr>
      </w:pPr>
    </w:p>
    <w:p w:rsidR="00231F7E" w:rsidRDefault="00231F7E" w:rsidP="00231F7E">
      <w:pPr>
        <w:spacing w:line="240" w:lineRule="auto"/>
        <w:rPr>
          <w:rFonts w:ascii="Garamond" w:hAnsi="Garamond"/>
          <w:szCs w:val="24"/>
        </w:rPr>
      </w:pPr>
    </w:p>
    <w:p w:rsidR="00231F7E" w:rsidRPr="00FC3137" w:rsidRDefault="00231F7E" w:rsidP="00231F7E">
      <w:pPr>
        <w:pStyle w:val="Caption"/>
        <w:keepNext/>
        <w:spacing w:after="240"/>
        <w:rPr>
          <w:b w:val="0"/>
          <w:i w:val="0"/>
        </w:rPr>
      </w:pPr>
      <w:r>
        <w:t xml:space="preserve">Supplemental Table 4. </w:t>
      </w:r>
      <w:r w:rsidRPr="00FC3137">
        <w:rPr>
          <w:b w:val="0"/>
          <w:i w:val="0"/>
        </w:rPr>
        <w:t>Factor loadings from exploratory factor analys</w:t>
      </w:r>
      <w:r>
        <w:rPr>
          <w:b w:val="0"/>
          <w:i w:val="0"/>
        </w:rPr>
        <w:t>es</w:t>
      </w:r>
      <w:r w:rsidRPr="00FC3137">
        <w:rPr>
          <w:b w:val="0"/>
          <w:i w:val="0"/>
        </w:rPr>
        <w:t xml:space="preserve"> </w:t>
      </w:r>
      <w:r>
        <w:rPr>
          <w:b w:val="0"/>
          <w:i w:val="0"/>
        </w:rPr>
        <w:t xml:space="preserve">(promax rotation) </w:t>
      </w:r>
      <w:r w:rsidRPr="00FC3137">
        <w:rPr>
          <w:b w:val="0"/>
          <w:i w:val="0"/>
        </w:rPr>
        <w:t xml:space="preserve">of </w:t>
      </w:r>
      <w:r>
        <w:rPr>
          <w:b w:val="0"/>
          <w:i w:val="0"/>
        </w:rPr>
        <w:t>the questionnaire battery, by probe-type condition.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900"/>
        <w:gridCol w:w="900"/>
        <w:gridCol w:w="900"/>
        <w:gridCol w:w="900"/>
        <w:gridCol w:w="900"/>
        <w:gridCol w:w="900"/>
        <w:gridCol w:w="900"/>
        <w:gridCol w:w="895"/>
      </w:tblGrid>
      <w:tr w:rsidR="00231F7E" w:rsidRPr="00511816" w:rsidTr="005D3E59">
        <w:tc>
          <w:tcPr>
            <w:tcW w:w="2155" w:type="dxa"/>
            <w:tcBorders>
              <w:bottom w:val="single" w:sz="4" w:space="0" w:color="auto"/>
            </w:tcBorders>
          </w:tcPr>
          <w:p w:rsidR="00231F7E" w:rsidRDefault="00231F7E" w:rsidP="005D3E59">
            <w:pPr>
              <w:jc w:val="center"/>
            </w:pPr>
          </w:p>
          <w:p w:rsidR="00231F7E" w:rsidRDefault="00231F7E" w:rsidP="005D3E59">
            <w:pPr>
              <w:jc w:val="center"/>
            </w:pPr>
          </w:p>
          <w:p w:rsidR="00231F7E" w:rsidRPr="00D31843" w:rsidRDefault="00231F7E" w:rsidP="005D3E59">
            <w:pPr>
              <w:jc w:val="center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 w:rsidRPr="00D31843">
              <w:t>“What” Probes</w:t>
            </w: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 w:rsidRPr="00D31843">
              <w:t>“What” Probes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 w:rsidRPr="00D31843">
              <w:t>“Why” Probes</w:t>
            </w: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 w:rsidRPr="00D31843">
              <w:t>“Why” Probes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 w:rsidRPr="00D31843">
              <w:t>“How Much” Probes</w:t>
            </w: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 w:rsidRPr="00D31843">
              <w:t>“How Much” Probes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 w:rsidRPr="00D31843">
              <w:t>“What” Probes (no TRI)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 w:rsidRPr="00D31843">
              <w:t>“What Probes (no TRI)</w:t>
            </w:r>
          </w:p>
        </w:tc>
      </w:tr>
      <w:tr w:rsidR="00231F7E" w:rsidRPr="00511816" w:rsidTr="005D3E59"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 w:rsidRPr="00D31843">
              <w:t>Measure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 w:rsidRPr="00D31843">
              <w:t>Factor 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 w:rsidRPr="00D31843">
              <w:t>Factor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 w:rsidRPr="00D31843">
              <w:t>Factor 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 w:rsidRPr="00D31843">
              <w:t>Factor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 w:rsidRPr="00D31843">
              <w:t>Factor 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 w:rsidRPr="00D31843">
              <w:t>Factor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 w:rsidRPr="00D31843">
              <w:t>Factor 1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 w:rsidRPr="00D31843">
              <w:t>Factor 2</w:t>
            </w:r>
          </w:p>
        </w:tc>
      </w:tr>
      <w:tr w:rsidR="00231F7E" w:rsidRPr="00511816" w:rsidTr="005D3E59">
        <w:tc>
          <w:tcPr>
            <w:tcW w:w="2155" w:type="dxa"/>
            <w:tcBorders>
              <w:top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>
              <w:t>ADHD-Hyperactive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231F7E" w:rsidRPr="00583BC9" w:rsidRDefault="00231F7E" w:rsidP="005D3E59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</w:pPr>
            <w:r w:rsidRPr="00583BC9">
              <w:t>.323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.530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.223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.316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.533</w:t>
            </w:r>
          </w:p>
        </w:tc>
        <w:tc>
          <w:tcPr>
            <w:tcW w:w="895" w:type="dxa"/>
            <w:tcBorders>
              <w:top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</w:tr>
      <w:tr w:rsidR="00231F7E" w:rsidRPr="00511816" w:rsidTr="005D3E59">
        <w:tc>
          <w:tcPr>
            <w:tcW w:w="2155" w:type="dxa"/>
          </w:tcPr>
          <w:p w:rsidR="00231F7E" w:rsidRPr="00D31843" w:rsidRDefault="00231F7E" w:rsidP="005D3E59">
            <w:pPr>
              <w:jc w:val="center"/>
            </w:pPr>
            <w:r>
              <w:lastRenderedPageBreak/>
              <w:t>ADHD-Inattentive</w:t>
            </w:r>
          </w:p>
        </w:tc>
        <w:tc>
          <w:tcPr>
            <w:tcW w:w="900" w:type="dxa"/>
          </w:tcPr>
          <w:p w:rsidR="00231F7E" w:rsidRPr="00583BC9" w:rsidRDefault="00231F7E" w:rsidP="005D3E59">
            <w:pPr>
              <w:jc w:val="right"/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.603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.766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.566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.761</w:t>
            </w:r>
          </w:p>
        </w:tc>
        <w:tc>
          <w:tcPr>
            <w:tcW w:w="895" w:type="dxa"/>
          </w:tcPr>
          <w:p w:rsidR="00231F7E" w:rsidRPr="00D31843" w:rsidRDefault="00231F7E" w:rsidP="005D3E59">
            <w:pPr>
              <w:jc w:val="right"/>
            </w:pPr>
          </w:p>
        </w:tc>
      </w:tr>
      <w:tr w:rsidR="00231F7E" w:rsidRPr="00511816" w:rsidTr="005D3E59">
        <w:tc>
          <w:tcPr>
            <w:tcW w:w="2155" w:type="dxa"/>
          </w:tcPr>
          <w:p w:rsidR="00231F7E" w:rsidRPr="00D31843" w:rsidRDefault="00231F7E" w:rsidP="005D3E59">
            <w:pPr>
              <w:jc w:val="center"/>
            </w:pPr>
            <w:r>
              <w:t>CreativeAchieve</w:t>
            </w:r>
          </w:p>
        </w:tc>
        <w:tc>
          <w:tcPr>
            <w:tcW w:w="900" w:type="dxa"/>
          </w:tcPr>
          <w:p w:rsidR="00231F7E" w:rsidRPr="00583BC9" w:rsidRDefault="00231F7E" w:rsidP="005D3E59">
            <w:pPr>
              <w:jc w:val="right"/>
            </w:pPr>
            <w:r w:rsidRPr="00583BC9">
              <w:t>.235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.221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.330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895" w:type="dxa"/>
          </w:tcPr>
          <w:p w:rsidR="00231F7E" w:rsidRPr="00D31843" w:rsidRDefault="00231F7E" w:rsidP="005D3E59">
            <w:pPr>
              <w:jc w:val="right"/>
            </w:pPr>
            <w:r>
              <w:t>.323</w:t>
            </w:r>
          </w:p>
        </w:tc>
      </w:tr>
      <w:tr w:rsidR="00231F7E" w:rsidRPr="00511816" w:rsidTr="005D3E59">
        <w:tc>
          <w:tcPr>
            <w:tcW w:w="2155" w:type="dxa"/>
          </w:tcPr>
          <w:p w:rsidR="00231F7E" w:rsidRPr="00D31843" w:rsidRDefault="00231F7E" w:rsidP="005D3E59">
            <w:pPr>
              <w:jc w:val="center"/>
            </w:pPr>
            <w:r>
              <w:t>CFQ-MAL</w:t>
            </w:r>
          </w:p>
        </w:tc>
        <w:tc>
          <w:tcPr>
            <w:tcW w:w="900" w:type="dxa"/>
          </w:tcPr>
          <w:p w:rsidR="00231F7E" w:rsidRPr="00583BC9" w:rsidRDefault="00231F7E" w:rsidP="005D3E59">
            <w:pPr>
              <w:jc w:val="right"/>
            </w:pPr>
            <w:r w:rsidRPr="00583BC9">
              <w:t>.301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.501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.269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.586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.377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.376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.658</w:t>
            </w:r>
          </w:p>
        </w:tc>
        <w:tc>
          <w:tcPr>
            <w:tcW w:w="895" w:type="dxa"/>
          </w:tcPr>
          <w:p w:rsidR="00231F7E" w:rsidRPr="00D31843" w:rsidRDefault="00231F7E" w:rsidP="005D3E59">
            <w:pPr>
              <w:jc w:val="right"/>
            </w:pPr>
          </w:p>
        </w:tc>
      </w:tr>
      <w:tr w:rsidR="00231F7E" w:rsidRPr="00511816" w:rsidTr="005D3E59">
        <w:tc>
          <w:tcPr>
            <w:tcW w:w="2155" w:type="dxa"/>
          </w:tcPr>
          <w:p w:rsidR="00231F7E" w:rsidRPr="00D31843" w:rsidRDefault="00231F7E" w:rsidP="005D3E59">
            <w:pPr>
              <w:jc w:val="center"/>
            </w:pPr>
            <w:r>
              <w:t>Conscientiousness</w:t>
            </w:r>
          </w:p>
        </w:tc>
        <w:tc>
          <w:tcPr>
            <w:tcW w:w="900" w:type="dxa"/>
          </w:tcPr>
          <w:p w:rsidR="00231F7E" w:rsidRPr="00583BC9" w:rsidRDefault="00231F7E" w:rsidP="005D3E59">
            <w:pPr>
              <w:jc w:val="right"/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−.780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−.699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−.781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−.630</w:t>
            </w:r>
          </w:p>
        </w:tc>
        <w:tc>
          <w:tcPr>
            <w:tcW w:w="895" w:type="dxa"/>
          </w:tcPr>
          <w:p w:rsidR="00231F7E" w:rsidRPr="00D31843" w:rsidRDefault="00231F7E" w:rsidP="005D3E59">
            <w:pPr>
              <w:jc w:val="right"/>
            </w:pPr>
          </w:p>
        </w:tc>
      </w:tr>
      <w:tr w:rsidR="00231F7E" w:rsidRPr="00511816" w:rsidTr="005D3E59">
        <w:tc>
          <w:tcPr>
            <w:tcW w:w="2155" w:type="dxa"/>
          </w:tcPr>
          <w:p w:rsidR="00231F7E" w:rsidRPr="00D31843" w:rsidRDefault="00231F7E" w:rsidP="005D3E59">
            <w:pPr>
              <w:jc w:val="center"/>
            </w:pPr>
            <w:r>
              <w:t>Fidget-SAQ</w:t>
            </w:r>
          </w:p>
        </w:tc>
        <w:tc>
          <w:tcPr>
            <w:tcW w:w="900" w:type="dxa"/>
          </w:tcPr>
          <w:p w:rsidR="00231F7E" w:rsidRPr="00583BC9" w:rsidRDefault="00231F7E" w:rsidP="005D3E59">
            <w:pPr>
              <w:jc w:val="right"/>
            </w:pPr>
            <w:r w:rsidRPr="00583BC9">
              <w:t>.289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</w:pPr>
            <w:r w:rsidRPr="00583BC9">
              <w:t>.297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.294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.459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.330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.261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.437</w:t>
            </w:r>
          </w:p>
        </w:tc>
        <w:tc>
          <w:tcPr>
            <w:tcW w:w="895" w:type="dxa"/>
          </w:tcPr>
          <w:p w:rsidR="00231F7E" w:rsidRPr="00D31843" w:rsidRDefault="00231F7E" w:rsidP="005D3E59">
            <w:pPr>
              <w:jc w:val="right"/>
            </w:pPr>
          </w:p>
        </w:tc>
      </w:tr>
      <w:tr w:rsidR="00231F7E" w:rsidRPr="00511816" w:rsidTr="005D3E59">
        <w:tc>
          <w:tcPr>
            <w:tcW w:w="2155" w:type="dxa"/>
          </w:tcPr>
          <w:p w:rsidR="00231F7E" w:rsidRPr="00D31843" w:rsidRDefault="00231F7E" w:rsidP="005D3E59">
            <w:pPr>
              <w:jc w:val="center"/>
            </w:pPr>
            <w:r>
              <w:t>IPI-Boredom</w:t>
            </w:r>
          </w:p>
        </w:tc>
        <w:tc>
          <w:tcPr>
            <w:tcW w:w="900" w:type="dxa"/>
          </w:tcPr>
          <w:p w:rsidR="00231F7E" w:rsidRPr="00583BC9" w:rsidRDefault="00231F7E" w:rsidP="005D3E59">
            <w:pPr>
              <w:jc w:val="right"/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.718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.716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.650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.730</w:t>
            </w:r>
          </w:p>
        </w:tc>
        <w:tc>
          <w:tcPr>
            <w:tcW w:w="895" w:type="dxa"/>
          </w:tcPr>
          <w:p w:rsidR="00231F7E" w:rsidRPr="00D31843" w:rsidRDefault="00231F7E" w:rsidP="005D3E59">
            <w:pPr>
              <w:jc w:val="right"/>
            </w:pPr>
            <w:r>
              <w:t>−.258</w:t>
            </w:r>
          </w:p>
        </w:tc>
      </w:tr>
      <w:tr w:rsidR="00231F7E" w:rsidRPr="00511816" w:rsidTr="005D3E59">
        <w:tc>
          <w:tcPr>
            <w:tcW w:w="2155" w:type="dxa"/>
          </w:tcPr>
          <w:p w:rsidR="00231F7E" w:rsidRPr="00D31843" w:rsidRDefault="00231F7E" w:rsidP="005D3E59">
            <w:pPr>
              <w:jc w:val="center"/>
            </w:pPr>
            <w:r>
              <w:t>IPI-Daydream</w:t>
            </w:r>
          </w:p>
        </w:tc>
        <w:tc>
          <w:tcPr>
            <w:tcW w:w="900" w:type="dxa"/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.745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</w:pPr>
            <w:r w:rsidRPr="00583BC9">
              <w:t>.212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.801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.812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.293</w:t>
            </w:r>
          </w:p>
        </w:tc>
        <w:tc>
          <w:tcPr>
            <w:tcW w:w="895" w:type="dxa"/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.689</w:t>
            </w:r>
          </w:p>
        </w:tc>
      </w:tr>
      <w:tr w:rsidR="00231F7E" w:rsidRPr="00511816" w:rsidTr="005D3E59">
        <w:tc>
          <w:tcPr>
            <w:tcW w:w="2155" w:type="dxa"/>
          </w:tcPr>
          <w:p w:rsidR="00231F7E" w:rsidRPr="00D31843" w:rsidRDefault="00231F7E" w:rsidP="005D3E59">
            <w:pPr>
              <w:jc w:val="center"/>
            </w:pPr>
            <w:r>
              <w:t>IPI-MentationRate</w:t>
            </w:r>
          </w:p>
        </w:tc>
        <w:tc>
          <w:tcPr>
            <w:tcW w:w="900" w:type="dxa"/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.550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</w:pPr>
            <w:r w:rsidRPr="00583BC9">
              <w:t>−.221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.607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.668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895" w:type="dxa"/>
          </w:tcPr>
          <w:p w:rsidR="00231F7E" w:rsidRPr="00D31843" w:rsidRDefault="00231F7E" w:rsidP="005D3E59">
            <w:pPr>
              <w:jc w:val="right"/>
            </w:pPr>
            <w:r>
              <w:t>.468</w:t>
            </w:r>
          </w:p>
        </w:tc>
      </w:tr>
      <w:tr w:rsidR="00231F7E" w:rsidRPr="00511816" w:rsidTr="005D3E59">
        <w:tc>
          <w:tcPr>
            <w:tcW w:w="2155" w:type="dxa"/>
          </w:tcPr>
          <w:p w:rsidR="00231F7E" w:rsidRPr="00D31843" w:rsidRDefault="00231F7E" w:rsidP="005D3E59">
            <w:pPr>
              <w:jc w:val="center"/>
            </w:pPr>
            <w:r>
              <w:t>IPI-MindWandering</w:t>
            </w:r>
          </w:p>
        </w:tc>
        <w:tc>
          <w:tcPr>
            <w:tcW w:w="900" w:type="dxa"/>
          </w:tcPr>
          <w:p w:rsidR="00231F7E" w:rsidRPr="00583BC9" w:rsidRDefault="00231F7E" w:rsidP="005D3E59">
            <w:pPr>
              <w:jc w:val="right"/>
            </w:pPr>
            <w:r w:rsidRPr="00583BC9">
              <w:t>.377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.530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.352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.514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.480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.459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.637</w:t>
            </w:r>
          </w:p>
        </w:tc>
        <w:tc>
          <w:tcPr>
            <w:tcW w:w="895" w:type="dxa"/>
          </w:tcPr>
          <w:p w:rsidR="00231F7E" w:rsidRPr="00D31843" w:rsidRDefault="00231F7E" w:rsidP="005D3E59">
            <w:pPr>
              <w:jc w:val="right"/>
            </w:pPr>
            <w:r>
              <w:t>.217</w:t>
            </w:r>
          </w:p>
        </w:tc>
      </w:tr>
      <w:tr w:rsidR="00231F7E" w:rsidRPr="00511816" w:rsidTr="005D3E59">
        <w:tc>
          <w:tcPr>
            <w:tcW w:w="2155" w:type="dxa"/>
          </w:tcPr>
          <w:p w:rsidR="00231F7E" w:rsidRPr="00D31843" w:rsidRDefault="00231F7E" w:rsidP="005D3E59">
            <w:pPr>
              <w:jc w:val="center"/>
            </w:pPr>
            <w:r>
              <w:t>IPI-ProblemSolving</w:t>
            </w:r>
          </w:p>
        </w:tc>
        <w:tc>
          <w:tcPr>
            <w:tcW w:w="900" w:type="dxa"/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.601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.791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.653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−.280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895" w:type="dxa"/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.635</w:t>
            </w:r>
          </w:p>
        </w:tc>
      </w:tr>
      <w:tr w:rsidR="00231F7E" w:rsidRPr="00511816" w:rsidTr="005D3E59">
        <w:tc>
          <w:tcPr>
            <w:tcW w:w="2155" w:type="dxa"/>
          </w:tcPr>
          <w:p w:rsidR="00231F7E" w:rsidRPr="00D31843" w:rsidRDefault="00231F7E" w:rsidP="005D3E59">
            <w:pPr>
              <w:jc w:val="center"/>
            </w:pPr>
            <w:r>
              <w:t>MW-Deliberate</w:t>
            </w:r>
          </w:p>
        </w:tc>
        <w:tc>
          <w:tcPr>
            <w:tcW w:w="900" w:type="dxa"/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.577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.723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.666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895" w:type="dxa"/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.609</w:t>
            </w:r>
          </w:p>
        </w:tc>
      </w:tr>
      <w:tr w:rsidR="00231F7E" w:rsidRPr="00511816" w:rsidTr="005D3E59">
        <w:tc>
          <w:tcPr>
            <w:tcW w:w="2155" w:type="dxa"/>
          </w:tcPr>
          <w:p w:rsidR="00231F7E" w:rsidRPr="00D31843" w:rsidRDefault="00231F7E" w:rsidP="005D3E59">
            <w:pPr>
              <w:jc w:val="center"/>
            </w:pPr>
            <w:r>
              <w:t>MW-Spontaneous</w:t>
            </w:r>
          </w:p>
        </w:tc>
        <w:tc>
          <w:tcPr>
            <w:tcW w:w="900" w:type="dxa"/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.658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</w:pPr>
            <w:r w:rsidRPr="00583BC9">
              <w:t>.329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.621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.369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.672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.248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.548</w:t>
            </w:r>
          </w:p>
        </w:tc>
        <w:tc>
          <w:tcPr>
            <w:tcW w:w="895" w:type="dxa"/>
          </w:tcPr>
          <w:p w:rsidR="00231F7E" w:rsidRPr="00D31843" w:rsidRDefault="00231F7E" w:rsidP="005D3E59">
            <w:pPr>
              <w:jc w:val="right"/>
            </w:pPr>
            <w:r>
              <w:t>.443</w:t>
            </w:r>
          </w:p>
        </w:tc>
      </w:tr>
      <w:tr w:rsidR="00231F7E" w:rsidRPr="00511816" w:rsidTr="005D3E59">
        <w:tc>
          <w:tcPr>
            <w:tcW w:w="2155" w:type="dxa"/>
          </w:tcPr>
          <w:p w:rsidR="00231F7E" w:rsidRPr="00D31843" w:rsidRDefault="00231F7E" w:rsidP="005D3E59">
            <w:pPr>
              <w:jc w:val="center"/>
            </w:pPr>
            <w:r>
              <w:t>Openness</w:t>
            </w:r>
          </w:p>
        </w:tc>
        <w:tc>
          <w:tcPr>
            <w:tcW w:w="900" w:type="dxa"/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.522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.585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.573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895" w:type="dxa"/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.645</w:t>
            </w:r>
          </w:p>
        </w:tc>
      </w:tr>
      <w:tr w:rsidR="00231F7E" w:rsidRPr="00511816" w:rsidTr="005D3E59">
        <w:tc>
          <w:tcPr>
            <w:tcW w:w="2155" w:type="dxa"/>
          </w:tcPr>
          <w:p w:rsidR="00231F7E" w:rsidRPr="00D31843" w:rsidRDefault="00231F7E" w:rsidP="005D3E59">
            <w:pPr>
              <w:jc w:val="center"/>
            </w:pPr>
            <w:r>
              <w:t>Metacog Prospective</w:t>
            </w:r>
          </w:p>
        </w:tc>
        <w:tc>
          <w:tcPr>
            <w:tcW w:w="900" w:type="dxa"/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.562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</w:pPr>
            <w:r w:rsidRPr="00583BC9">
              <w:t>−.447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.508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.518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−.456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−.234</w:t>
            </w:r>
          </w:p>
        </w:tc>
        <w:tc>
          <w:tcPr>
            <w:tcW w:w="895" w:type="dxa"/>
          </w:tcPr>
          <w:p w:rsidR="00231F7E" w:rsidRPr="00D31843" w:rsidRDefault="00231F7E" w:rsidP="005D3E59">
            <w:pPr>
              <w:jc w:val="right"/>
            </w:pPr>
            <w:r>
              <w:t>.385</w:t>
            </w:r>
          </w:p>
        </w:tc>
      </w:tr>
      <w:tr w:rsidR="00231F7E" w:rsidRPr="00511816" w:rsidTr="005D3E59">
        <w:tc>
          <w:tcPr>
            <w:tcW w:w="2155" w:type="dxa"/>
          </w:tcPr>
          <w:p w:rsidR="00231F7E" w:rsidRPr="00D31843" w:rsidRDefault="00231F7E" w:rsidP="005D3E59">
            <w:pPr>
              <w:jc w:val="center"/>
            </w:pPr>
            <w:r>
              <w:t>Schiz-MagicIdeation</w:t>
            </w:r>
          </w:p>
        </w:tc>
        <w:tc>
          <w:tcPr>
            <w:tcW w:w="900" w:type="dxa"/>
          </w:tcPr>
          <w:p w:rsidR="00231F7E" w:rsidRPr="00583BC9" w:rsidRDefault="00231F7E" w:rsidP="005D3E59">
            <w:pPr>
              <w:jc w:val="right"/>
            </w:pPr>
            <w:r w:rsidRPr="00583BC9">
              <w:t>.334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.354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.339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895" w:type="dxa"/>
          </w:tcPr>
          <w:p w:rsidR="00231F7E" w:rsidRPr="00D31843" w:rsidRDefault="00231F7E" w:rsidP="005D3E59">
            <w:pPr>
              <w:jc w:val="right"/>
            </w:pPr>
            <w:r>
              <w:t>.237</w:t>
            </w:r>
          </w:p>
        </w:tc>
      </w:tr>
      <w:tr w:rsidR="00231F7E" w:rsidRPr="00511816" w:rsidTr="005D3E59">
        <w:tc>
          <w:tcPr>
            <w:tcW w:w="2155" w:type="dxa"/>
            <w:tcBorders>
              <w:bottom w:val="single" w:sz="4" w:space="0" w:color="auto"/>
            </w:tcBorders>
          </w:tcPr>
          <w:p w:rsidR="00231F7E" w:rsidRPr="00D31843" w:rsidRDefault="00231F7E" w:rsidP="005D3E59">
            <w:pPr>
              <w:jc w:val="center"/>
            </w:pPr>
            <w:r>
              <w:t>WhiteBear Suppress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.621</w:t>
            </w: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</w:tcPr>
          <w:p w:rsidR="00231F7E" w:rsidRPr="00583BC9" w:rsidRDefault="00231F7E" w:rsidP="005D3E59">
            <w:pPr>
              <w:jc w:val="right"/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</w:tcBorders>
          </w:tcPr>
          <w:p w:rsidR="00231F7E" w:rsidRPr="00583BC9" w:rsidRDefault="00231F7E" w:rsidP="005D3E59">
            <w:pPr>
              <w:jc w:val="right"/>
              <w:rPr>
                <w:b/>
              </w:rPr>
            </w:pPr>
            <w:r w:rsidRPr="00583BC9">
              <w:rPr>
                <w:b/>
              </w:rPr>
              <w:t>.519</w:t>
            </w: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.324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</w:tcBorders>
          </w:tcPr>
          <w:p w:rsidR="00231F7E" w:rsidRPr="00B60A60" w:rsidRDefault="00231F7E" w:rsidP="005D3E59">
            <w:pPr>
              <w:jc w:val="right"/>
              <w:rPr>
                <w:b/>
              </w:rPr>
            </w:pPr>
            <w:r w:rsidRPr="00B60A60">
              <w:rPr>
                <w:b/>
              </w:rPr>
              <w:t>.544</w:t>
            </w: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.353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:rsidR="00231F7E" w:rsidRPr="00D31843" w:rsidRDefault="00231F7E" w:rsidP="005D3E59">
            <w:pPr>
              <w:jc w:val="right"/>
            </w:pPr>
            <w:r>
              <w:t>.267</w:t>
            </w:r>
          </w:p>
        </w:tc>
      </w:tr>
    </w:tbl>
    <w:p w:rsidR="00231F7E" w:rsidRDefault="00231F7E" w:rsidP="00231F7E">
      <w:pPr>
        <w:spacing w:line="240" w:lineRule="auto"/>
        <w:rPr>
          <w:rFonts w:ascii="Garamond" w:hAnsi="Garamond"/>
          <w:szCs w:val="24"/>
        </w:rPr>
      </w:pPr>
    </w:p>
    <w:p w:rsidR="00231F7E" w:rsidRDefault="00231F7E" w:rsidP="00231F7E">
      <w:pPr>
        <w:spacing w:after="240" w:line="240" w:lineRule="auto"/>
        <w:rPr>
          <w:sz w:val="26"/>
          <w:szCs w:val="26"/>
        </w:rPr>
      </w:pPr>
      <w:r w:rsidRPr="00A64AA6">
        <w:rPr>
          <w:b/>
          <w:sz w:val="26"/>
          <w:szCs w:val="26"/>
        </w:rPr>
        <w:t>Note</w:t>
      </w:r>
      <w:r w:rsidRPr="00A64AA6">
        <w:rPr>
          <w:sz w:val="26"/>
          <w:szCs w:val="26"/>
        </w:rPr>
        <w:t xml:space="preserve">. Factor loadings </w:t>
      </w:r>
      <w:r w:rsidRPr="00A64AA6">
        <w:rPr>
          <w:rFonts w:ascii="Times New Roman" w:hAnsi="Times New Roman" w:cs="Times New Roman"/>
          <w:sz w:val="26"/>
          <w:szCs w:val="26"/>
        </w:rPr>
        <w:t>≥</w:t>
      </w:r>
      <w:r w:rsidRPr="00A64AA6">
        <w:rPr>
          <w:sz w:val="26"/>
          <w:szCs w:val="26"/>
        </w:rPr>
        <w:t xml:space="preserve">.200 shown; factor loadings </w:t>
      </w:r>
      <w:r w:rsidRPr="00A64AA6">
        <w:rPr>
          <w:rFonts w:ascii="Times New Roman" w:hAnsi="Times New Roman" w:cs="Times New Roman"/>
          <w:sz w:val="26"/>
          <w:szCs w:val="26"/>
        </w:rPr>
        <w:t>≥</w:t>
      </w:r>
      <w:r w:rsidRPr="00A64AA6">
        <w:rPr>
          <w:sz w:val="26"/>
          <w:szCs w:val="26"/>
        </w:rPr>
        <w:t>.50</w:t>
      </w:r>
      <w:r>
        <w:rPr>
          <w:sz w:val="26"/>
          <w:szCs w:val="26"/>
        </w:rPr>
        <w:t>0</w:t>
      </w:r>
      <w:r w:rsidRPr="00A64AA6">
        <w:rPr>
          <w:sz w:val="26"/>
          <w:szCs w:val="26"/>
        </w:rPr>
        <w:t xml:space="preserve"> bolded. CreativeAchieve = Creative Achievement Questionnaire; CFQ</w:t>
      </w:r>
      <w:r>
        <w:rPr>
          <w:sz w:val="26"/>
          <w:szCs w:val="26"/>
        </w:rPr>
        <w:t>–</w:t>
      </w:r>
      <w:r w:rsidRPr="00A64AA6">
        <w:rPr>
          <w:sz w:val="26"/>
          <w:szCs w:val="26"/>
        </w:rPr>
        <w:t xml:space="preserve">MAL = Cognitive Failures Questionnaire–Memory and Attention Lapses; Fidget–SAQ = Spontaneous Activity Questionnaire; IPI = Imaginal Process Inventory; MW = Mind Wandering; Metacog Prospective = Metacognitive Prospective Memory Battery; Schiz–MagicIdeation = Schizotypy–Magical Ideation Scale; WhiteBear Suppress = White Bear Suppression Inventory. </w:t>
      </w:r>
    </w:p>
    <w:p w:rsidR="00231F7E" w:rsidRDefault="00231F7E" w:rsidP="00231F7E">
      <w:pPr>
        <w:spacing w:line="240" w:lineRule="auto"/>
        <w:rPr>
          <w:rFonts w:ascii="Garamond" w:hAnsi="Garamond"/>
          <w:szCs w:val="24"/>
        </w:rPr>
      </w:pPr>
    </w:p>
    <w:p w:rsidR="00231F7E" w:rsidRDefault="00231F7E" w:rsidP="00231F7E">
      <w:pPr>
        <w:pStyle w:val="Caption"/>
        <w:keepNext/>
        <w:spacing w:after="240"/>
      </w:pPr>
      <w:r>
        <w:t xml:space="preserve">Supplemental Table 5. </w:t>
      </w:r>
      <w:r w:rsidRPr="007D5A56">
        <w:rPr>
          <w:b w:val="0"/>
          <w:i w:val="0"/>
        </w:rPr>
        <w:t xml:space="preserve">Test for measurement invariance </w:t>
      </w:r>
      <w:r>
        <w:rPr>
          <w:b w:val="0"/>
          <w:i w:val="0"/>
        </w:rPr>
        <w:t xml:space="preserve">in questionnaire measures </w:t>
      </w:r>
      <w:r w:rsidRPr="007D5A56">
        <w:rPr>
          <w:b w:val="0"/>
          <w:i w:val="0"/>
        </w:rPr>
        <w:t>with multigroup confirmatory factor analysis.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30"/>
        <w:gridCol w:w="1170"/>
        <w:gridCol w:w="1170"/>
        <w:gridCol w:w="1170"/>
        <w:gridCol w:w="990"/>
        <w:gridCol w:w="1080"/>
        <w:gridCol w:w="980"/>
      </w:tblGrid>
      <w:tr w:rsidR="00231F7E" w:rsidTr="005D3E59">
        <w:tc>
          <w:tcPr>
            <w:tcW w:w="2160" w:type="dxa"/>
            <w:tcBorders>
              <w:bottom w:val="single" w:sz="4" w:space="0" w:color="auto"/>
            </w:tcBorders>
          </w:tcPr>
          <w:p w:rsidR="00231F7E" w:rsidRDefault="00231F7E" w:rsidP="005D3E59">
            <w:pPr>
              <w:spacing w:after="1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Models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231F7E" w:rsidRDefault="00231F7E" w:rsidP="005D3E59">
            <w:pPr>
              <w:spacing w:after="1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Df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231F7E" w:rsidRDefault="00231F7E" w:rsidP="005D3E59">
            <w:pPr>
              <w:spacing w:after="1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AIC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231F7E" w:rsidRDefault="00231F7E" w:rsidP="005D3E59">
            <w:pPr>
              <w:spacing w:after="1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BIC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231F7E" w:rsidRPr="00C076AF" w:rsidRDefault="00231F7E" w:rsidP="005D3E59">
            <w:pPr>
              <w:spacing w:after="120"/>
              <w:rPr>
                <w:rFonts w:ascii="Garamond" w:hAnsi="Garamond"/>
                <w:sz w:val="26"/>
                <w:szCs w:val="26"/>
              </w:rPr>
            </w:pPr>
            <w:r>
              <w:rPr>
                <w:rFonts w:ascii="Garamond" w:hAnsi="Garamond"/>
                <w:sz w:val="26"/>
                <w:szCs w:val="26"/>
              </w:rPr>
              <w:t>χ</w:t>
            </w:r>
            <w:r w:rsidRPr="00C076AF">
              <w:rPr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231F7E" w:rsidRPr="00C076AF" w:rsidRDefault="00231F7E" w:rsidP="005D3E59">
            <w:pPr>
              <w:spacing w:after="120"/>
              <w:rPr>
                <w:sz w:val="26"/>
                <w:szCs w:val="26"/>
              </w:rPr>
            </w:pPr>
            <w:r>
              <w:rPr>
                <w:rFonts w:ascii="Garamond" w:hAnsi="Garamond"/>
                <w:sz w:val="26"/>
                <w:szCs w:val="26"/>
              </w:rPr>
              <w:t>χ</w:t>
            </w:r>
            <w:r w:rsidRPr="00C076AF">
              <w:rPr>
                <w:sz w:val="26"/>
                <w:szCs w:val="26"/>
                <w:vertAlign w:val="superscript"/>
              </w:rPr>
              <w:t>2</w:t>
            </w:r>
            <w:r>
              <w:rPr>
                <w:sz w:val="26"/>
                <w:szCs w:val="26"/>
                <w:vertAlign w:val="superscript"/>
              </w:rPr>
              <w:t xml:space="preserve"> </w:t>
            </w:r>
            <w:r>
              <w:rPr>
                <w:sz w:val="26"/>
                <w:szCs w:val="26"/>
              </w:rPr>
              <w:t>diff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231F7E" w:rsidRDefault="00231F7E" w:rsidP="005D3E59">
            <w:pPr>
              <w:spacing w:after="1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Df diff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:rsidR="00231F7E" w:rsidRPr="00C076AF" w:rsidRDefault="00231F7E" w:rsidP="005D3E59">
            <w:pPr>
              <w:spacing w:after="120"/>
              <w:rPr>
                <w:i/>
                <w:sz w:val="26"/>
                <w:szCs w:val="26"/>
              </w:rPr>
            </w:pPr>
            <w:r w:rsidRPr="00C076AF">
              <w:rPr>
                <w:i/>
                <w:sz w:val="26"/>
                <w:szCs w:val="26"/>
              </w:rPr>
              <w:t>p</w:t>
            </w:r>
          </w:p>
        </w:tc>
      </w:tr>
      <w:tr w:rsidR="00231F7E" w:rsidRPr="0049720F" w:rsidTr="005D3E59">
        <w:tc>
          <w:tcPr>
            <w:tcW w:w="2160" w:type="dxa"/>
            <w:tcBorders>
              <w:top w:val="single" w:sz="4" w:space="0" w:color="auto"/>
            </w:tcBorders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Configural Model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408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21301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22243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1843.8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</w:tcBorders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</w:p>
        </w:tc>
      </w:tr>
      <w:tr w:rsidR="00231F7E" w:rsidRPr="0049720F" w:rsidTr="005D3E59">
        <w:tc>
          <w:tcPr>
            <w:tcW w:w="2160" w:type="dxa"/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Constrain Loadings</w:t>
            </w:r>
          </w:p>
        </w:tc>
        <w:tc>
          <w:tcPr>
            <w:tcW w:w="630" w:type="dxa"/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453</w:t>
            </w:r>
          </w:p>
        </w:tc>
        <w:tc>
          <w:tcPr>
            <w:tcW w:w="1170" w:type="dxa"/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21274</w:t>
            </w:r>
          </w:p>
        </w:tc>
        <w:tc>
          <w:tcPr>
            <w:tcW w:w="1170" w:type="dxa"/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22005</w:t>
            </w:r>
          </w:p>
        </w:tc>
        <w:tc>
          <w:tcPr>
            <w:tcW w:w="1170" w:type="dxa"/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1907.5</w:t>
            </w:r>
          </w:p>
        </w:tc>
        <w:tc>
          <w:tcPr>
            <w:tcW w:w="990" w:type="dxa"/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63.69</w:t>
            </w:r>
          </w:p>
        </w:tc>
        <w:tc>
          <w:tcPr>
            <w:tcW w:w="1080" w:type="dxa"/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980" w:type="dxa"/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0.035</w:t>
            </w:r>
          </w:p>
        </w:tc>
      </w:tr>
      <w:tr w:rsidR="00231F7E" w:rsidRPr="0049720F" w:rsidTr="005D3E59">
        <w:tc>
          <w:tcPr>
            <w:tcW w:w="2160" w:type="dxa"/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Constrain Intercepts</w:t>
            </w:r>
          </w:p>
        </w:tc>
        <w:tc>
          <w:tcPr>
            <w:tcW w:w="630" w:type="dxa"/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495</w:t>
            </w:r>
          </w:p>
        </w:tc>
        <w:tc>
          <w:tcPr>
            <w:tcW w:w="1170" w:type="dxa"/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21241</w:t>
            </w:r>
          </w:p>
        </w:tc>
        <w:tc>
          <w:tcPr>
            <w:tcW w:w="1170" w:type="dxa"/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21773</w:t>
            </w:r>
          </w:p>
        </w:tc>
        <w:tc>
          <w:tcPr>
            <w:tcW w:w="1170" w:type="dxa"/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1957.8</w:t>
            </w:r>
          </w:p>
        </w:tc>
        <w:tc>
          <w:tcPr>
            <w:tcW w:w="990" w:type="dxa"/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50.32</w:t>
            </w:r>
          </w:p>
        </w:tc>
        <w:tc>
          <w:tcPr>
            <w:tcW w:w="1080" w:type="dxa"/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42</w:t>
            </w:r>
          </w:p>
        </w:tc>
        <w:tc>
          <w:tcPr>
            <w:tcW w:w="980" w:type="dxa"/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0.177</w:t>
            </w:r>
          </w:p>
        </w:tc>
      </w:tr>
      <w:tr w:rsidR="00231F7E" w:rsidRPr="0049720F" w:rsidTr="005D3E59">
        <w:tc>
          <w:tcPr>
            <w:tcW w:w="2160" w:type="dxa"/>
            <w:tcBorders>
              <w:bottom w:val="single" w:sz="4" w:space="0" w:color="auto"/>
            </w:tcBorders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Constrain Means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501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21234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21738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1963.0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 xml:space="preserve">  5.22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 xml:space="preserve">  6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:rsidR="00231F7E" w:rsidRPr="0049720F" w:rsidRDefault="00231F7E" w:rsidP="005D3E59">
            <w:pPr>
              <w:spacing w:after="240"/>
              <w:rPr>
                <w:color w:val="000000" w:themeColor="text1"/>
                <w:sz w:val="26"/>
                <w:szCs w:val="26"/>
              </w:rPr>
            </w:pPr>
            <w:r w:rsidRPr="0049720F">
              <w:rPr>
                <w:color w:val="000000" w:themeColor="text1"/>
                <w:sz w:val="26"/>
                <w:szCs w:val="26"/>
              </w:rPr>
              <w:t>0.516</w:t>
            </w:r>
          </w:p>
        </w:tc>
      </w:tr>
    </w:tbl>
    <w:p w:rsidR="00231F7E" w:rsidRDefault="00231F7E" w:rsidP="00231F7E">
      <w:pPr>
        <w:spacing w:line="240" w:lineRule="auto"/>
        <w:rPr>
          <w:sz w:val="26"/>
          <w:szCs w:val="26"/>
        </w:rPr>
      </w:pPr>
    </w:p>
    <w:p w:rsidR="00433E9C" w:rsidRDefault="00433E9C">
      <w:bookmarkStart w:id="5" w:name="_GoBack"/>
      <w:bookmarkEnd w:id="5"/>
    </w:p>
    <w:sectPr w:rsidR="00433E9C" w:rsidSect="00907E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ple Garamond">
    <w:charset w:val="00"/>
    <w:family w:val="auto"/>
    <w:pitch w:val="variable"/>
    <w:sig w:usb0="80000027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F7E"/>
    <w:rsid w:val="001D5F2B"/>
    <w:rsid w:val="00231F7E"/>
    <w:rsid w:val="0043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F02C04-4F52-4903-924E-89549361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1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31F7E"/>
    <w:pPr>
      <w:spacing w:after="0" w:line="240" w:lineRule="auto"/>
    </w:pPr>
    <w:rPr>
      <w:rFonts w:ascii="Apple Garamond" w:hAnsi="Apple Garamond"/>
      <w:b/>
      <w:i/>
      <w:iCs/>
      <w:color w:val="000000" w:themeColor="text1"/>
      <w:kern w:val="22"/>
      <w:sz w:val="26"/>
      <w:szCs w:val="18"/>
      <w14:ligatures w14:val="standardContextual"/>
      <w14:numForm w14:val="oldSty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Microsoft_Excel_Worksheet4.xlsx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1.xlsx"/><Relationship Id="rId12" Type="http://schemas.openxmlformats.org/officeDocument/2006/relationships/image" Target="media/image5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Excel_Worksheet3.xlsx"/><Relationship Id="rId5" Type="http://schemas.openxmlformats.org/officeDocument/2006/relationships/package" Target="embeddings/Microsoft_Excel_Worksheet.xlsx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package" Target="embeddings/Microsoft_Excel_Worksheet2.xlsx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ATORNANDIZO</dc:creator>
  <cp:keywords/>
  <dc:description/>
  <cp:lastModifiedBy>ATORNANDIZO</cp:lastModifiedBy>
  <cp:revision>1</cp:revision>
  <dcterms:created xsi:type="dcterms:W3CDTF">2021-03-12T21:50:00Z</dcterms:created>
  <dcterms:modified xsi:type="dcterms:W3CDTF">2021-03-12T21:51:00Z</dcterms:modified>
</cp:coreProperties>
</file>