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76F6F" w14:textId="6345ECAE" w:rsidR="004379D9" w:rsidRPr="00157E90" w:rsidRDefault="004379D9" w:rsidP="004379D9">
      <w:pPr>
        <w:jc w:val="center"/>
        <w:rPr>
          <w:rFonts w:ascii="Arial" w:hAnsi="Arial" w:cs="Arial"/>
          <w:b/>
          <w:bCs/>
          <w:sz w:val="22"/>
          <w:szCs w:val="22"/>
          <w:lang w:val="en-US"/>
        </w:rPr>
      </w:pPr>
      <w:r w:rsidRPr="00157E90">
        <w:rPr>
          <w:rFonts w:ascii="Arial" w:hAnsi="Arial" w:cs="Arial"/>
          <w:b/>
          <w:bCs/>
          <w:sz w:val="22"/>
          <w:szCs w:val="22"/>
          <w:lang w:val="en-US"/>
        </w:rPr>
        <w:t xml:space="preserve">Accurate diagnosis of color vision deficiency in young children using </w:t>
      </w:r>
      <w:proofErr w:type="spellStart"/>
      <w:r w:rsidRPr="00157E90">
        <w:rPr>
          <w:rFonts w:ascii="Arial" w:hAnsi="Arial" w:cs="Arial"/>
          <w:b/>
          <w:bCs/>
          <w:i/>
          <w:iCs/>
          <w:sz w:val="22"/>
          <w:szCs w:val="22"/>
          <w:lang w:val="en-US"/>
        </w:rPr>
        <w:t>ColourSpot</w:t>
      </w:r>
      <w:proofErr w:type="spellEnd"/>
      <w:r w:rsidRPr="00157E90">
        <w:rPr>
          <w:rFonts w:ascii="Arial" w:hAnsi="Arial" w:cs="Arial"/>
          <w:b/>
          <w:bCs/>
          <w:sz w:val="22"/>
          <w:szCs w:val="22"/>
          <w:lang w:val="en-US"/>
        </w:rPr>
        <w:t xml:space="preserve">, a new </w:t>
      </w:r>
      <w:proofErr w:type="spellStart"/>
      <w:r w:rsidRPr="00157E90">
        <w:rPr>
          <w:rFonts w:ascii="Arial" w:hAnsi="Arial" w:cs="Arial"/>
          <w:b/>
          <w:bCs/>
          <w:sz w:val="22"/>
          <w:szCs w:val="22"/>
          <w:lang w:val="en-US"/>
        </w:rPr>
        <w:t>gamified</w:t>
      </w:r>
      <w:proofErr w:type="spellEnd"/>
      <w:r w:rsidRPr="00157E90">
        <w:rPr>
          <w:rFonts w:ascii="Arial" w:hAnsi="Arial" w:cs="Arial"/>
          <w:b/>
          <w:bCs/>
          <w:sz w:val="22"/>
          <w:szCs w:val="22"/>
          <w:lang w:val="en-US"/>
        </w:rPr>
        <w:t xml:space="preserve"> tablet-based test</w:t>
      </w:r>
    </w:p>
    <w:p w14:paraId="7F86D363" w14:textId="77777777" w:rsidR="004379D9" w:rsidRPr="00157E90" w:rsidRDefault="004379D9" w:rsidP="00474D3B">
      <w:pPr>
        <w:jc w:val="center"/>
        <w:rPr>
          <w:rFonts w:ascii="Arial" w:hAnsi="Arial" w:cs="Arial"/>
          <w:b/>
          <w:bCs/>
          <w:sz w:val="22"/>
          <w:szCs w:val="22"/>
          <w:lang w:val="en-US"/>
        </w:rPr>
      </w:pPr>
    </w:p>
    <w:p w14:paraId="745C1134" w14:textId="0D221888" w:rsidR="00474D3B" w:rsidRPr="00157E90" w:rsidRDefault="004379D9" w:rsidP="00474D3B">
      <w:pPr>
        <w:jc w:val="center"/>
        <w:rPr>
          <w:rFonts w:ascii="Arial" w:hAnsi="Arial" w:cs="Arial"/>
          <w:b/>
          <w:bCs/>
          <w:sz w:val="22"/>
          <w:szCs w:val="22"/>
          <w:lang w:val="en-US"/>
        </w:rPr>
      </w:pPr>
      <w:r w:rsidRPr="00157E90">
        <w:rPr>
          <w:rFonts w:ascii="Arial" w:hAnsi="Arial" w:cs="Arial"/>
          <w:b/>
          <w:bCs/>
          <w:sz w:val="22"/>
          <w:szCs w:val="22"/>
          <w:lang w:val="en-US"/>
        </w:rPr>
        <w:t>-</w:t>
      </w:r>
      <w:r w:rsidR="00474D3B" w:rsidRPr="00157E90">
        <w:rPr>
          <w:rFonts w:ascii="Arial" w:hAnsi="Arial" w:cs="Arial"/>
          <w:b/>
          <w:bCs/>
          <w:sz w:val="22"/>
          <w:szCs w:val="22"/>
          <w:lang w:val="en-US"/>
        </w:rPr>
        <w:t>Supplementary Information</w:t>
      </w:r>
      <w:r w:rsidRPr="00157E90">
        <w:rPr>
          <w:rFonts w:ascii="Arial" w:hAnsi="Arial" w:cs="Arial"/>
          <w:b/>
          <w:bCs/>
          <w:sz w:val="22"/>
          <w:szCs w:val="22"/>
          <w:lang w:val="en-US"/>
        </w:rPr>
        <w:t>-</w:t>
      </w:r>
    </w:p>
    <w:p w14:paraId="7013D6EB" w14:textId="4D5E3CCD" w:rsidR="00293F85" w:rsidRPr="00157E90" w:rsidRDefault="00293F85" w:rsidP="00474D3B">
      <w:pPr>
        <w:jc w:val="center"/>
        <w:rPr>
          <w:rFonts w:ascii="Arial" w:hAnsi="Arial" w:cs="Arial"/>
          <w:b/>
          <w:bCs/>
          <w:sz w:val="22"/>
          <w:szCs w:val="22"/>
          <w:lang w:val="en-US"/>
        </w:rPr>
      </w:pPr>
    </w:p>
    <w:p w14:paraId="4DD2B7D8" w14:textId="59C08815" w:rsidR="006A60F3" w:rsidRPr="00CD012B" w:rsidRDefault="006A60F3" w:rsidP="006A60F3">
      <w:pPr>
        <w:rPr>
          <w:rFonts w:ascii="Arial" w:hAnsi="Arial" w:cs="Arial"/>
          <w:b/>
          <w:bCs/>
          <w:sz w:val="18"/>
          <w:szCs w:val="18"/>
          <w:lang w:val="en-US"/>
        </w:rPr>
      </w:pPr>
      <w:r w:rsidRPr="00CD012B">
        <w:rPr>
          <w:rFonts w:ascii="Arial" w:hAnsi="Arial" w:cs="Arial"/>
          <w:b/>
          <w:bCs/>
          <w:sz w:val="18"/>
          <w:szCs w:val="18"/>
          <w:lang w:val="en-US"/>
        </w:rPr>
        <w:t>Table S1</w:t>
      </w:r>
    </w:p>
    <w:p w14:paraId="56351B6F" w14:textId="785DC992" w:rsidR="00293F85" w:rsidRPr="00F6318C" w:rsidRDefault="006A60F3" w:rsidP="00293F85">
      <w:pPr>
        <w:rPr>
          <w:rFonts w:ascii="Arial" w:hAnsi="Arial" w:cs="Arial"/>
          <w:sz w:val="18"/>
          <w:szCs w:val="18"/>
          <w:lang w:val="en-US"/>
        </w:rPr>
      </w:pPr>
      <w:r w:rsidRPr="00F6318C">
        <w:rPr>
          <w:rFonts w:ascii="Arial" w:hAnsi="Arial" w:cs="Arial"/>
          <w:sz w:val="18"/>
          <w:szCs w:val="18"/>
          <w:lang w:val="en-US"/>
        </w:rPr>
        <w:t xml:space="preserve">A summary of existing </w:t>
      </w:r>
      <w:r w:rsidR="00B5710D" w:rsidRPr="00F6318C">
        <w:rPr>
          <w:rFonts w:ascii="Arial" w:hAnsi="Arial" w:cs="Arial"/>
          <w:sz w:val="18"/>
          <w:szCs w:val="18"/>
          <w:lang w:val="en-US"/>
        </w:rPr>
        <w:t>adult</w:t>
      </w:r>
      <w:r w:rsidRPr="00F6318C">
        <w:rPr>
          <w:rFonts w:ascii="Arial" w:hAnsi="Arial" w:cs="Arial"/>
          <w:sz w:val="18"/>
          <w:szCs w:val="18"/>
          <w:lang w:val="en-US"/>
        </w:rPr>
        <w:t xml:space="preserve"> color vision tests</w:t>
      </w:r>
      <w:r w:rsidR="00B5710D" w:rsidRPr="00F6318C">
        <w:rPr>
          <w:rFonts w:ascii="Arial" w:hAnsi="Arial" w:cs="Arial"/>
          <w:sz w:val="18"/>
          <w:szCs w:val="18"/>
          <w:lang w:val="en-US"/>
        </w:rPr>
        <w:t xml:space="preserve"> </w:t>
      </w:r>
      <w:r w:rsidR="003300C9" w:rsidRPr="00F6318C">
        <w:rPr>
          <w:rFonts w:ascii="Arial" w:hAnsi="Arial" w:cs="Arial"/>
          <w:sz w:val="18"/>
          <w:szCs w:val="18"/>
          <w:lang w:val="en-US"/>
        </w:rPr>
        <w:t xml:space="preserve">which </w:t>
      </w:r>
      <w:r w:rsidR="00B5710D" w:rsidRPr="00F6318C">
        <w:rPr>
          <w:rFonts w:ascii="Arial" w:hAnsi="Arial" w:cs="Arial"/>
          <w:sz w:val="18"/>
          <w:szCs w:val="18"/>
          <w:lang w:val="en-US"/>
        </w:rPr>
        <w:t>have been used in children</w:t>
      </w:r>
      <w:r w:rsidRPr="00F6318C">
        <w:rPr>
          <w:rFonts w:ascii="Arial" w:hAnsi="Arial" w:cs="Arial"/>
          <w:sz w:val="18"/>
          <w:szCs w:val="18"/>
          <w:lang w:val="en-US"/>
        </w:rPr>
        <w:t>, outlining the test type, adult sensitivity and specificity values with their sample size and comparison</w:t>
      </w:r>
      <w:r w:rsidR="00C925D4" w:rsidRPr="00F6318C">
        <w:rPr>
          <w:rFonts w:ascii="Arial" w:hAnsi="Arial" w:cs="Arial"/>
          <w:sz w:val="18"/>
          <w:szCs w:val="18"/>
          <w:lang w:val="en-US"/>
        </w:rPr>
        <w:t xml:space="preserve"> test</w:t>
      </w:r>
      <w:r w:rsidRPr="00F6318C">
        <w:rPr>
          <w:rFonts w:ascii="Arial" w:hAnsi="Arial" w:cs="Arial"/>
          <w:sz w:val="18"/>
          <w:szCs w:val="18"/>
          <w:lang w:val="en-US"/>
        </w:rPr>
        <w:t xml:space="preserve">, </w:t>
      </w:r>
      <w:r w:rsidR="00C925D4" w:rsidRPr="00F6318C">
        <w:rPr>
          <w:rFonts w:ascii="Arial" w:hAnsi="Arial" w:cs="Arial"/>
          <w:sz w:val="18"/>
          <w:szCs w:val="18"/>
          <w:lang w:val="en-US"/>
        </w:rPr>
        <w:t>rates of successful</w:t>
      </w:r>
      <w:r w:rsidRPr="00F6318C">
        <w:rPr>
          <w:rFonts w:ascii="Arial" w:hAnsi="Arial" w:cs="Arial"/>
          <w:sz w:val="18"/>
          <w:szCs w:val="18"/>
          <w:lang w:val="en-US"/>
        </w:rPr>
        <w:t xml:space="preserve"> test completion</w:t>
      </w:r>
      <w:r w:rsidR="00C925D4" w:rsidRPr="00F6318C">
        <w:rPr>
          <w:rFonts w:ascii="Arial" w:hAnsi="Arial" w:cs="Arial"/>
          <w:sz w:val="18"/>
          <w:szCs w:val="18"/>
          <w:lang w:val="en-US"/>
        </w:rPr>
        <w:t xml:space="preserve"> in children with</w:t>
      </w:r>
      <w:r w:rsidRPr="00F6318C">
        <w:rPr>
          <w:rFonts w:ascii="Arial" w:hAnsi="Arial" w:cs="Arial"/>
          <w:sz w:val="18"/>
          <w:szCs w:val="18"/>
          <w:lang w:val="en-US"/>
        </w:rPr>
        <w:t xml:space="preserve"> sensitivity and specificity if available, the recommended minimum age for test completion an</w:t>
      </w:r>
      <w:r w:rsidR="00B5710D" w:rsidRPr="00F6318C">
        <w:rPr>
          <w:rFonts w:ascii="Arial" w:hAnsi="Arial" w:cs="Arial"/>
          <w:sz w:val="18"/>
          <w:szCs w:val="18"/>
          <w:lang w:val="en-US"/>
        </w:rPr>
        <w:t>d the limitations of each test</w:t>
      </w:r>
    </w:p>
    <w:tbl>
      <w:tblPr>
        <w:tblStyle w:val="TableGrid"/>
        <w:tblW w:w="10201" w:type="dxa"/>
        <w:jc w:val="center"/>
        <w:tblLayout w:type="fixed"/>
        <w:tblLook w:val="04A0" w:firstRow="1" w:lastRow="0" w:firstColumn="1" w:lastColumn="0" w:noHBand="0" w:noVBand="1"/>
      </w:tblPr>
      <w:tblGrid>
        <w:gridCol w:w="1838"/>
        <w:gridCol w:w="2268"/>
        <w:gridCol w:w="1985"/>
        <w:gridCol w:w="1559"/>
        <w:gridCol w:w="2551"/>
      </w:tblGrid>
      <w:tr w:rsidR="00F6318C" w:rsidRPr="00F6318C" w14:paraId="55D96049" w14:textId="77777777" w:rsidTr="006A60F3">
        <w:trPr>
          <w:jc w:val="center"/>
        </w:trPr>
        <w:tc>
          <w:tcPr>
            <w:tcW w:w="1838" w:type="dxa"/>
            <w:tcBorders>
              <w:left w:val="single" w:sz="4" w:space="0" w:color="FFFFFF" w:themeColor="background1"/>
              <w:right w:val="single" w:sz="4" w:space="0" w:color="FFFFFF" w:themeColor="background1"/>
            </w:tcBorders>
          </w:tcPr>
          <w:p w14:paraId="00265160" w14:textId="54AAAF17" w:rsidR="00B809E7" w:rsidRPr="00F6318C" w:rsidRDefault="00B809E7" w:rsidP="006A60F3">
            <w:pPr>
              <w:spacing w:line="240" w:lineRule="auto"/>
              <w:jc w:val="center"/>
              <w:rPr>
                <w:rFonts w:ascii="Arial" w:hAnsi="Arial" w:cs="Arial"/>
                <w:b/>
                <w:bCs/>
                <w:sz w:val="18"/>
                <w:szCs w:val="18"/>
                <w:lang w:val="en-US"/>
              </w:rPr>
            </w:pPr>
            <w:r w:rsidRPr="00F6318C">
              <w:rPr>
                <w:rFonts w:ascii="Arial" w:hAnsi="Arial" w:cs="Arial"/>
                <w:b/>
                <w:bCs/>
                <w:sz w:val="18"/>
                <w:szCs w:val="18"/>
                <w:lang w:val="en-US"/>
              </w:rPr>
              <w:t xml:space="preserve">Test </w:t>
            </w:r>
            <w:r w:rsidR="00150A2B" w:rsidRPr="00F6318C">
              <w:rPr>
                <w:rFonts w:ascii="Arial" w:hAnsi="Arial" w:cs="Arial"/>
                <w:b/>
                <w:bCs/>
                <w:sz w:val="18"/>
                <w:szCs w:val="18"/>
                <w:lang w:val="en-US"/>
              </w:rPr>
              <w:t>n</w:t>
            </w:r>
            <w:r w:rsidRPr="00F6318C">
              <w:rPr>
                <w:rFonts w:ascii="Arial" w:hAnsi="Arial" w:cs="Arial"/>
                <w:b/>
                <w:bCs/>
                <w:sz w:val="18"/>
                <w:szCs w:val="18"/>
                <w:lang w:val="en-US"/>
              </w:rPr>
              <w:t>ame</w:t>
            </w:r>
          </w:p>
        </w:tc>
        <w:tc>
          <w:tcPr>
            <w:tcW w:w="2268" w:type="dxa"/>
            <w:tcBorders>
              <w:left w:val="single" w:sz="4" w:space="0" w:color="FFFFFF" w:themeColor="background1"/>
              <w:right w:val="single" w:sz="4" w:space="0" w:color="FFFFFF" w:themeColor="background1"/>
            </w:tcBorders>
          </w:tcPr>
          <w:p w14:paraId="590C7590" w14:textId="693FB13A" w:rsidR="00B809E7" w:rsidRPr="00F6318C" w:rsidRDefault="00B809E7" w:rsidP="006A60F3">
            <w:pPr>
              <w:spacing w:line="240" w:lineRule="auto"/>
              <w:jc w:val="center"/>
              <w:rPr>
                <w:rFonts w:ascii="Arial" w:hAnsi="Arial" w:cs="Arial"/>
                <w:b/>
                <w:bCs/>
                <w:sz w:val="18"/>
                <w:szCs w:val="18"/>
                <w:lang w:val="en-US"/>
              </w:rPr>
            </w:pPr>
            <w:r w:rsidRPr="00F6318C">
              <w:rPr>
                <w:rFonts w:ascii="Arial" w:hAnsi="Arial" w:cs="Arial"/>
                <w:b/>
                <w:bCs/>
                <w:sz w:val="18"/>
                <w:szCs w:val="18"/>
                <w:lang w:val="en-US"/>
              </w:rPr>
              <w:t xml:space="preserve">Adult </w:t>
            </w:r>
            <w:r w:rsidR="00150A2B" w:rsidRPr="00F6318C">
              <w:rPr>
                <w:rFonts w:ascii="Arial" w:hAnsi="Arial" w:cs="Arial"/>
                <w:b/>
                <w:bCs/>
                <w:sz w:val="18"/>
                <w:szCs w:val="18"/>
                <w:lang w:val="en-US"/>
              </w:rPr>
              <w:t>s</w:t>
            </w:r>
            <w:r w:rsidRPr="00F6318C">
              <w:rPr>
                <w:rFonts w:ascii="Arial" w:hAnsi="Arial" w:cs="Arial"/>
                <w:b/>
                <w:bCs/>
                <w:sz w:val="18"/>
                <w:szCs w:val="18"/>
                <w:lang w:val="en-US"/>
              </w:rPr>
              <w:t xml:space="preserve">ensitivity/ </w:t>
            </w:r>
            <w:r w:rsidR="00150A2B" w:rsidRPr="00F6318C">
              <w:rPr>
                <w:rFonts w:ascii="Arial" w:hAnsi="Arial" w:cs="Arial"/>
                <w:b/>
                <w:bCs/>
                <w:sz w:val="18"/>
                <w:szCs w:val="18"/>
                <w:lang w:val="en-US"/>
              </w:rPr>
              <w:t>s</w:t>
            </w:r>
            <w:r w:rsidRPr="00F6318C">
              <w:rPr>
                <w:rFonts w:ascii="Arial" w:hAnsi="Arial" w:cs="Arial"/>
                <w:b/>
                <w:bCs/>
                <w:sz w:val="18"/>
                <w:szCs w:val="18"/>
                <w:lang w:val="en-US"/>
              </w:rPr>
              <w:t>pecificity</w:t>
            </w:r>
            <w:r w:rsidR="00150A2B" w:rsidRPr="00F6318C">
              <w:rPr>
                <w:rFonts w:ascii="Arial" w:hAnsi="Arial" w:cs="Arial"/>
                <w:b/>
                <w:bCs/>
                <w:sz w:val="18"/>
                <w:szCs w:val="18"/>
                <w:lang w:val="en-US"/>
              </w:rPr>
              <w:t>, numbers of adult test participants and comparison test</w:t>
            </w:r>
          </w:p>
        </w:tc>
        <w:tc>
          <w:tcPr>
            <w:tcW w:w="1985" w:type="dxa"/>
            <w:tcBorders>
              <w:left w:val="single" w:sz="4" w:space="0" w:color="FFFFFF" w:themeColor="background1"/>
              <w:right w:val="single" w:sz="4" w:space="0" w:color="FFFFFF" w:themeColor="background1"/>
            </w:tcBorders>
          </w:tcPr>
          <w:p w14:paraId="4E06FD2A" w14:textId="3B53A5BE" w:rsidR="00B809E7" w:rsidRPr="00F6318C" w:rsidRDefault="00150A2B" w:rsidP="006A60F3">
            <w:pPr>
              <w:spacing w:line="240" w:lineRule="auto"/>
              <w:jc w:val="center"/>
              <w:rPr>
                <w:rFonts w:ascii="Arial" w:hAnsi="Arial" w:cs="Arial"/>
                <w:b/>
                <w:bCs/>
                <w:sz w:val="18"/>
                <w:szCs w:val="18"/>
                <w:lang w:val="en-US"/>
              </w:rPr>
            </w:pPr>
            <w:r w:rsidRPr="00F6318C">
              <w:rPr>
                <w:rFonts w:ascii="Arial" w:hAnsi="Arial" w:cs="Arial"/>
                <w:b/>
                <w:bCs/>
                <w:sz w:val="18"/>
                <w:szCs w:val="18"/>
                <w:lang w:val="en-US"/>
              </w:rPr>
              <w:t xml:space="preserve">Details of tests on children including number of participants and sensitivity/specificity where available </w:t>
            </w:r>
            <w:r w:rsidR="00B809E7" w:rsidRPr="00F6318C">
              <w:rPr>
                <w:rFonts w:ascii="Arial" w:hAnsi="Arial" w:cs="Arial"/>
                <w:b/>
                <w:bCs/>
                <w:sz w:val="18"/>
                <w:szCs w:val="18"/>
                <w:lang w:val="en-US"/>
              </w:rPr>
              <w:t xml:space="preserve"> </w:t>
            </w:r>
          </w:p>
        </w:tc>
        <w:tc>
          <w:tcPr>
            <w:tcW w:w="1559" w:type="dxa"/>
            <w:tcBorders>
              <w:left w:val="single" w:sz="4" w:space="0" w:color="FFFFFF" w:themeColor="background1"/>
              <w:right w:val="single" w:sz="4" w:space="0" w:color="FFFFFF" w:themeColor="background1"/>
            </w:tcBorders>
          </w:tcPr>
          <w:p w14:paraId="7D2B130A" w14:textId="77777777" w:rsidR="00B809E7" w:rsidRPr="00F6318C" w:rsidRDefault="00B809E7" w:rsidP="006A60F3">
            <w:pPr>
              <w:spacing w:line="240" w:lineRule="auto"/>
              <w:jc w:val="center"/>
              <w:rPr>
                <w:rFonts w:ascii="Arial" w:hAnsi="Arial" w:cs="Arial"/>
                <w:b/>
                <w:bCs/>
                <w:sz w:val="18"/>
                <w:szCs w:val="18"/>
                <w:lang w:val="en-US"/>
              </w:rPr>
            </w:pPr>
            <w:r w:rsidRPr="00F6318C">
              <w:rPr>
                <w:rFonts w:ascii="Arial" w:hAnsi="Arial" w:cs="Arial"/>
                <w:b/>
                <w:bCs/>
                <w:sz w:val="18"/>
                <w:szCs w:val="18"/>
                <w:lang w:val="en-US"/>
              </w:rPr>
              <w:t>Recommended minimum age for test</w:t>
            </w:r>
          </w:p>
        </w:tc>
        <w:tc>
          <w:tcPr>
            <w:tcW w:w="2551" w:type="dxa"/>
            <w:tcBorders>
              <w:left w:val="single" w:sz="4" w:space="0" w:color="FFFFFF" w:themeColor="background1"/>
              <w:right w:val="single" w:sz="4" w:space="0" w:color="FFFFFF" w:themeColor="background1"/>
            </w:tcBorders>
          </w:tcPr>
          <w:p w14:paraId="78865E37" w14:textId="77777777" w:rsidR="00B809E7" w:rsidRPr="00F6318C" w:rsidRDefault="00B809E7" w:rsidP="006A60F3">
            <w:pPr>
              <w:spacing w:line="240" w:lineRule="auto"/>
              <w:jc w:val="center"/>
              <w:rPr>
                <w:rFonts w:ascii="Arial" w:hAnsi="Arial" w:cs="Arial"/>
                <w:b/>
                <w:bCs/>
                <w:sz w:val="18"/>
                <w:szCs w:val="18"/>
                <w:lang w:val="en-US"/>
              </w:rPr>
            </w:pPr>
            <w:r w:rsidRPr="00F6318C">
              <w:rPr>
                <w:rFonts w:ascii="Arial" w:hAnsi="Arial" w:cs="Arial"/>
                <w:b/>
                <w:bCs/>
                <w:sz w:val="18"/>
                <w:szCs w:val="18"/>
                <w:lang w:val="en-US"/>
              </w:rPr>
              <w:t>Limitations</w:t>
            </w:r>
          </w:p>
        </w:tc>
      </w:tr>
      <w:tr w:rsidR="00A720AE" w:rsidRPr="00157E90" w14:paraId="2F0E946D"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389C6CDA" w14:textId="77777777" w:rsidR="00E56675"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r w:rsidRPr="00157E90">
              <w:rPr>
                <w:rFonts w:ascii="Arial" w:hAnsi="Arial" w:cs="Arial"/>
                <w:sz w:val="18"/>
                <w:szCs w:val="18"/>
                <w:lang w:val="en-US"/>
              </w:rPr>
              <w:t xml:space="preserve"> </w:t>
            </w:r>
          </w:p>
          <w:p w14:paraId="0F4FB78D" w14:textId="0C08156B" w:rsidR="00901BE8" w:rsidRPr="00157E90" w:rsidRDefault="008656E6" w:rsidP="00E56675">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1E1CB8" w:rsidRPr="00157E90">
              <w:rPr>
                <w:rFonts w:ascii="Arial" w:hAnsi="Arial" w:cs="Arial"/>
                <w:sz w:val="18"/>
                <w:szCs w:val="18"/>
                <w:lang w:val="en-US"/>
              </w:rPr>
              <w:instrText>ADDIN CSL_CITATION {"citationItems":[{"id":"ITEM-1","itemData":{"DOI":"10.1159/000291204","ISSN":"0030-3755","author":[{"dropping-particle":"","family":"Nagel","given":"Wilibald A","non-dropping-particle":"","parse-names":false,"suffix":""}],"container-title":"Ophthalmologica","id":"ITEM-1","issue":"3","issued":{"date-parts":[["1907"]]},"page":"201-222","publisher":"Karger Publishers","title":"I. Zwei Apparate für die augenärztliche Funktionsprüfung","type":"article-journal","volume":"17"},"uris":["http://www.mendeley.com/documents/?uuid=7b04b80f-e3fe-4727-a500-6fe377719827"]}],"mendeley":{"formattedCitation":"(Nagel, 1907)","plainTextFormattedCitation":"(Nagel, 1907)","previouslyFormattedCitation":"(Nagel, 1907)"},"properties":{"noteIndex":0},"schema":"https://github.com/citation-style-language/schema/raw/master/csl-citation.json"}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(Nagel, 1907)</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00414656"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1.00/1.00</w:t>
            </w:r>
          </w:p>
          <w:p w14:paraId="633407DD"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Gold standard</w:t>
            </w:r>
          </w:p>
        </w:tc>
        <w:tc>
          <w:tcPr>
            <w:tcW w:w="1985" w:type="dxa"/>
            <w:tcBorders>
              <w:left w:val="single" w:sz="4" w:space="0" w:color="FFFFFF" w:themeColor="background1"/>
              <w:right w:val="single" w:sz="4" w:space="0" w:color="FFFFFF" w:themeColor="background1"/>
            </w:tcBorders>
          </w:tcPr>
          <w:p w14:paraId="5E1E9315" w14:textId="59CDEEAB"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7</w:t>
            </w:r>
            <w:r w:rsidR="00B32BE1" w:rsidRPr="00157E90">
              <w:rPr>
                <w:rFonts w:ascii="Arial" w:hAnsi="Arial" w:cs="Arial"/>
                <w:sz w:val="18"/>
                <w:szCs w:val="18"/>
                <w:lang w:val="en-US"/>
              </w:rPr>
              <w:t>-</w:t>
            </w:r>
            <w:r w:rsidRPr="00157E90">
              <w:rPr>
                <w:rFonts w:ascii="Arial" w:hAnsi="Arial" w:cs="Arial"/>
                <w:sz w:val="18"/>
                <w:szCs w:val="18"/>
                <w:lang w:val="en-US"/>
              </w:rPr>
              <w:t>year</w:t>
            </w:r>
            <w:r w:rsidR="00B32BE1" w:rsidRPr="00157E90">
              <w:rPr>
                <w:rFonts w:ascii="Arial" w:hAnsi="Arial" w:cs="Arial"/>
                <w:sz w:val="18"/>
                <w:szCs w:val="18"/>
                <w:lang w:val="en-US"/>
              </w:rPr>
              <w:t>-</w:t>
            </w:r>
            <w:r w:rsidRPr="00157E90">
              <w:rPr>
                <w:rFonts w:ascii="Arial" w:hAnsi="Arial" w:cs="Arial"/>
                <w:sz w:val="18"/>
                <w:szCs w:val="18"/>
                <w:lang w:val="en-US"/>
              </w:rPr>
              <w:t xml:space="preserve">olds able to complete the test </w:t>
            </w:r>
            <w:r w:rsidR="008656E6" w:rsidRPr="00157E90">
              <w:rPr>
                <w:rFonts w:ascii="Arial" w:hAnsi="Arial" w:cs="Arial"/>
                <w:sz w:val="18"/>
                <w:szCs w:val="18"/>
                <w:lang w:val="en-US"/>
              </w:rPr>
              <w:fldChar w:fldCharType="begin" w:fldLock="1"/>
            </w:r>
            <w:r w:rsidR="0074376F" w:rsidRPr="00157E90">
              <w:rPr>
                <w:rFonts w:ascii="Arial" w:hAnsi="Arial" w:cs="Arial"/>
                <w:sz w:val="18"/>
                <w:szCs w:val="18"/>
                <w:lang w:val="en-US"/>
              </w:rPr>
              <w:instrText>ADDIN CSL_CITATION {"citationItems":[{"id":"ITEM-1","itemData":{"DOI":"10.3389/fpsyg.2014.01376","ISSN":"16641078","abstract":"We produced a set of pseudoisochromatic plates for determining individual color-difference thresholds to assess test performance and test properties, and analyzed the results. We report a high test validity and classification ability for the deficiency type and severity level [comparable to that of the fourth edition of the Hardy-Rand-Rittler (HRR) test]. We discuss changes of the acceptable chromatic shifts from the protan and deutan confusion lines along the CIE xy diagram, and the high correlation of individual color-difference thresholds and the red-green discrimination index. Color vision was tested using an Oculus HMC anomaloscope, a Farnsworth D15, and an HRR test on 273 schoolchildren, and 57 other subjects with previously diagnosed red-green color-vision deficiency.","author":[{"dropping-particle":"","family":"Jurasevska","given":"Kaiva","non-dropping-particle":"","parse-names":false,"suffix":""},{"dropping-particle":"","family":"Ozolinsh","given":"Maris","non-dropping-particle":"","parse-names":false,"suffix":""},{"dropping-particle":"","family":"Fomins","given":"Sergejs","non-dropping-particle":"","parse-names":false,"suffix":""},{"dropping-particle":"","family":"Gutmane","given":"Ausma","non-dropping-particle":"","parse-names":false,"suffix":""},{"dropping-particle":"","family":"Zutere","given":"Brigita","non-dropping-particle":"","parse-names":false,"suffix":""},{"dropping-particle":"","family":"Pausus","given":"Anete","non-dropping-particle":"","parse-names":false,"suffix":""},{"dropping-particle":"","family":"Karitans","given":"Varis","non-dropping-particle":"","parse-names":false,"suffix":""}],"container-title":"Frontiers in Psychology","id":"ITEM-1","issued":{"date-parts":[["2014"]]},"page":"1-7","title":"Color-discrimination threshold determination using pseudoisochromatic test plates","type":"article-journal","volume":"5"},"uris":["http://www.mendeley.com/documents/?uuid=d1fdb21c-f6c2-465d-b71b-d8dfe41a9763"]}],"mendeley":{"formattedCitation":"(Jurasevska et al., 2014)","plainTextFormattedCitation":"(Jurasevska et al., 2014)","previouslyFormattedCitation":"(Jurasevska et al., 2014)"},"properties":{"noteIndex":0},"schema":"https://github.com/citation-style-language/schema/raw/master/csl-citation.json"}</w:instrText>
            </w:r>
            <w:r w:rsidR="008656E6" w:rsidRPr="00157E90">
              <w:rPr>
                <w:rFonts w:ascii="Arial" w:hAnsi="Arial" w:cs="Arial"/>
                <w:sz w:val="18"/>
                <w:szCs w:val="18"/>
                <w:lang w:val="en-US"/>
              </w:rPr>
              <w:fldChar w:fldCharType="separate"/>
            </w:r>
            <w:r w:rsidR="008656E6" w:rsidRPr="00157E90">
              <w:rPr>
                <w:rFonts w:ascii="Arial" w:hAnsi="Arial" w:cs="Arial"/>
                <w:sz w:val="18"/>
                <w:szCs w:val="18"/>
                <w:lang w:val="en-US"/>
              </w:rPr>
              <w:t>(Jurasevska et al., 2014)</w:t>
            </w:r>
            <w:r w:rsidR="008656E6" w:rsidRPr="00157E90">
              <w:rPr>
                <w:rFonts w:ascii="Arial" w:hAnsi="Arial" w:cs="Arial"/>
                <w:sz w:val="18"/>
                <w:szCs w:val="18"/>
                <w:lang w:val="en-US"/>
              </w:rPr>
              <w:fldChar w:fldCharType="end"/>
            </w:r>
          </w:p>
        </w:tc>
        <w:tc>
          <w:tcPr>
            <w:tcW w:w="1559" w:type="dxa"/>
            <w:tcBorders>
              <w:left w:val="single" w:sz="4" w:space="0" w:color="FFFFFF" w:themeColor="background1"/>
              <w:right w:val="single" w:sz="4" w:space="0" w:color="FFFFFF" w:themeColor="background1"/>
            </w:tcBorders>
            <w:shd w:val="clear" w:color="auto" w:fill="auto"/>
          </w:tcPr>
          <w:p w14:paraId="55FD8723" w14:textId="70607D26"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7 years</w:t>
            </w:r>
            <w:r w:rsidR="008656E6" w:rsidRPr="00157E90">
              <w:rPr>
                <w:rFonts w:ascii="Arial" w:hAnsi="Arial" w:cs="Arial"/>
                <w:sz w:val="18"/>
                <w:szCs w:val="18"/>
                <w:lang w:val="en-US"/>
              </w:rPr>
              <w:t xml:space="preserve"> </w:t>
            </w:r>
            <w:r w:rsidR="008656E6" w:rsidRPr="00157E90">
              <w:rPr>
                <w:rFonts w:ascii="Arial" w:hAnsi="Arial" w:cs="Arial"/>
                <w:sz w:val="18"/>
                <w:szCs w:val="18"/>
                <w:lang w:val="en-US"/>
              </w:rPr>
              <w:fldChar w:fldCharType="begin" w:fldLock="1"/>
            </w:r>
            <w:r w:rsidR="0074376F" w:rsidRPr="00157E90">
              <w:rPr>
                <w:rFonts w:ascii="Arial" w:hAnsi="Arial" w:cs="Arial"/>
                <w:sz w:val="18"/>
                <w:szCs w:val="18"/>
                <w:lang w:val="en-US"/>
              </w:rPr>
              <w:instrText>ADDIN CSL_CITATION {"citationItems":[{"id":"ITEM-1","itemData":{"DOI":"10.3389/fpsyg.2014.01376","ISSN":"16641078","abstract":"We produced a set of pseudoisochromatic plates for determining individual color-difference thresholds to assess test performance and test properties, and analyzed the results. We report a high test validity and classification ability for the deficiency type and severity level [comparable to that of the fourth edition of the Hardy-Rand-Rittler (HRR) test]. We discuss changes of the acceptable chromatic shifts from the protan and deutan confusion lines along the CIE xy diagram, and the high correlation of individual color-difference thresholds and the red-green discrimination index. Color vision was tested using an Oculus HMC anomaloscope, a Farnsworth D15, and an HRR test on 273 schoolchildren, and 57 other subjects with previously diagnosed red-green color-vision deficiency.","author":[{"dropping-particle":"","family":"Jurasevska","given":"Kaiva","non-dropping-particle":"","parse-names":false,"suffix":""},{"dropping-particle":"","family":"Ozolinsh","given":"Maris","non-dropping-particle":"","parse-names":false,"suffix":""},{"dropping-particle":"","family":"Fomins","given":"Sergejs","non-dropping-particle":"","parse-names":false,"suffix":""},{"dropping-particle":"","family":"Gutmane","given":"Ausma","non-dropping-particle":"","parse-names":false,"suffix":""},{"dropping-particle":"","family":"Zutere","given":"Brigita","non-dropping-particle":"","parse-names":false,"suffix":""},{"dropping-particle":"","family":"Pausus","given":"Anete","non-dropping-particle":"","parse-names":false,"suffix":""},{"dropping-particle":"","family":"Karitans","given":"Varis","non-dropping-particle":"","parse-names":false,"suffix":""}],"container-title":"Frontiers in Psychology","id":"ITEM-1","issued":{"date-parts":[["2014"]]},"page":"1-7","title":"Color-discrimination threshold determination using pseudoisochromatic test plates","type":"article-journal","volume":"5"},"uris":["http://www.mendeley.com/documents/?uuid=d1fdb21c-f6c2-465d-b71b-d8dfe41a9763"]},{"id":"ITEM-2","itemData":{"abstract":"Reviews the literature concerning the importance of early detection of the common congenital color-vision (CV) defects in children and child-relevant CV tests. Results of the administration of a number of CV tests to 3 groups (100 4–6 yr old color normals, 150 6–13 yr old color normals, and 205 5–21 yr old color defectives) are presented. The effectiveness of the CV tests for children are compared","author":[{"dropping-particle":"","family":"Verriest","given":"G","non-dropping-particle":"","parse-names":false,"suffix":""}],"container-title":"Documenta Ophthalmologica Proceedings Series","id":"ITEM-2","issued":{"date-parts":[["1982"]]},"page":"175-178","title":"Colour vision tests in children","type":"article-journal","volume":"33"},"uris":["http://www.mendeley.com/documents/?uuid=08c57fde-f7c3-421b-a8a9-4daab6b50e2c"]}],"mendeley":{"formattedCitation":"(Jurasevska et al., 2014; Verriest, 1982)","plainTextFormattedCitation":"(Jurasevska et al., 2014; Verriest, 1982)","previouslyFormattedCitation":"(Jurasevska et al., 2014; Verriest, 1982)"},"properties":{"noteIndex":0},"schema":"https://github.com/citation-style-language/schema/raw/master/csl-citation.json"}</w:instrText>
            </w:r>
            <w:r w:rsidR="008656E6" w:rsidRPr="00157E90">
              <w:rPr>
                <w:rFonts w:ascii="Arial" w:hAnsi="Arial" w:cs="Arial"/>
                <w:sz w:val="18"/>
                <w:szCs w:val="18"/>
                <w:lang w:val="en-US"/>
              </w:rPr>
              <w:fldChar w:fldCharType="separate"/>
            </w:r>
            <w:r w:rsidR="008656E6" w:rsidRPr="00157E90">
              <w:rPr>
                <w:rFonts w:ascii="Arial" w:hAnsi="Arial" w:cs="Arial"/>
                <w:sz w:val="18"/>
                <w:szCs w:val="18"/>
                <w:lang w:val="en-US"/>
              </w:rPr>
              <w:t>(Jurasevska et al., 2014; Verriest, 1982)</w:t>
            </w:r>
            <w:r w:rsidR="008656E6" w:rsidRPr="00157E90">
              <w:rPr>
                <w:rFonts w:ascii="Arial" w:hAnsi="Arial" w:cs="Arial"/>
                <w:sz w:val="18"/>
                <w:szCs w:val="18"/>
                <w:lang w:val="en-US"/>
              </w:rPr>
              <w:fldChar w:fldCharType="end"/>
            </w:r>
            <w:r w:rsidRPr="00157E90">
              <w:rPr>
                <w:rFonts w:ascii="Arial" w:hAnsi="Arial" w:cs="Arial"/>
                <w:sz w:val="18"/>
                <w:szCs w:val="18"/>
                <w:lang w:val="en-US"/>
              </w:rPr>
              <w:t xml:space="preserve"> </w:t>
            </w:r>
          </w:p>
        </w:tc>
        <w:tc>
          <w:tcPr>
            <w:tcW w:w="2551" w:type="dxa"/>
            <w:tcBorders>
              <w:left w:val="single" w:sz="4" w:space="0" w:color="FFFFFF" w:themeColor="background1"/>
              <w:right w:val="single" w:sz="4" w:space="0" w:color="FFFFFF" w:themeColor="background1"/>
            </w:tcBorders>
            <w:shd w:val="clear" w:color="auto" w:fill="auto"/>
          </w:tcPr>
          <w:p w14:paraId="7A3622E0" w14:textId="0E6423DE"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 ||</w:t>
            </w:r>
          </w:p>
          <w:p w14:paraId="09E4F16D" w14:textId="77777777" w:rsidR="00B809E7" w:rsidRPr="00157E90" w:rsidRDefault="00B809E7" w:rsidP="006A60F3">
            <w:pPr>
              <w:pStyle w:val="NoSpacing"/>
              <w:spacing w:line="240" w:lineRule="auto"/>
              <w:rPr>
                <w:rFonts w:ascii="Arial" w:hAnsi="Arial" w:cs="Arial"/>
                <w:sz w:val="18"/>
                <w:szCs w:val="18"/>
                <w:lang w:val="en-US"/>
              </w:rPr>
            </w:pPr>
            <w:r w:rsidRPr="00157E90">
              <w:rPr>
                <w:rFonts w:ascii="Arial" w:hAnsi="Arial" w:cs="Arial"/>
                <w:sz w:val="18"/>
                <w:szCs w:val="18"/>
                <w:lang w:val="en-US"/>
              </w:rPr>
              <w:t>Too demanding for young children</w:t>
            </w:r>
          </w:p>
        </w:tc>
      </w:tr>
      <w:tr w:rsidR="00A720AE" w:rsidRPr="00157E90" w14:paraId="3F3318BA" w14:textId="77777777" w:rsidTr="006A60F3">
        <w:trPr>
          <w:jc w:val="center"/>
        </w:trPr>
        <w:tc>
          <w:tcPr>
            <w:tcW w:w="4106" w:type="dxa"/>
            <w:gridSpan w:val="2"/>
            <w:tcBorders>
              <w:left w:val="single" w:sz="4" w:space="0" w:color="FFFFFF" w:themeColor="background1"/>
              <w:right w:val="single" w:sz="4" w:space="0" w:color="FFFFFF" w:themeColor="background1"/>
            </w:tcBorders>
            <w:shd w:val="clear" w:color="auto" w:fill="auto"/>
          </w:tcPr>
          <w:p w14:paraId="5D60EB6B" w14:textId="77777777" w:rsidR="00B809E7" w:rsidRPr="00157E90" w:rsidRDefault="00B809E7" w:rsidP="006A60F3">
            <w:pPr>
              <w:spacing w:line="240" w:lineRule="auto"/>
              <w:rPr>
                <w:rFonts w:ascii="Arial" w:hAnsi="Arial" w:cs="Arial"/>
                <w:b/>
                <w:bCs/>
                <w:sz w:val="18"/>
                <w:szCs w:val="18"/>
                <w:lang w:val="en-US"/>
              </w:rPr>
            </w:pPr>
            <w:r w:rsidRPr="00157E90">
              <w:rPr>
                <w:rFonts w:ascii="Arial" w:hAnsi="Arial" w:cs="Arial"/>
                <w:b/>
                <w:bCs/>
                <w:sz w:val="18"/>
                <w:szCs w:val="18"/>
                <w:lang w:val="en-US"/>
              </w:rPr>
              <w:t>Pseudo-isochromatic</w:t>
            </w:r>
          </w:p>
        </w:tc>
        <w:tc>
          <w:tcPr>
            <w:tcW w:w="1985" w:type="dxa"/>
            <w:tcBorders>
              <w:top w:val="single" w:sz="4" w:space="0" w:color="auto"/>
              <w:left w:val="single" w:sz="4" w:space="0" w:color="FFFFFF" w:themeColor="background1"/>
              <w:bottom w:val="nil"/>
              <w:right w:val="single" w:sz="4" w:space="0" w:color="FFFFFF" w:themeColor="background1"/>
            </w:tcBorders>
          </w:tcPr>
          <w:p w14:paraId="6A344F32" w14:textId="77777777" w:rsidR="00B809E7" w:rsidRPr="00157E90" w:rsidRDefault="00B809E7" w:rsidP="006A60F3">
            <w:pPr>
              <w:spacing w:line="240" w:lineRule="auto"/>
              <w:rPr>
                <w:rFonts w:ascii="Arial" w:hAnsi="Arial" w:cs="Arial"/>
                <w:sz w:val="18"/>
                <w:szCs w:val="18"/>
                <w:lang w:val="en-US"/>
              </w:rPr>
            </w:pPr>
          </w:p>
        </w:tc>
        <w:tc>
          <w:tcPr>
            <w:tcW w:w="1559" w:type="dxa"/>
            <w:tcBorders>
              <w:top w:val="single" w:sz="4" w:space="0" w:color="auto"/>
              <w:left w:val="single" w:sz="4" w:space="0" w:color="FFFFFF" w:themeColor="background1"/>
              <w:bottom w:val="nil"/>
              <w:right w:val="single" w:sz="4" w:space="0" w:color="FFFFFF" w:themeColor="background1"/>
            </w:tcBorders>
            <w:shd w:val="clear" w:color="auto" w:fill="auto"/>
          </w:tcPr>
          <w:p w14:paraId="73CF1D82" w14:textId="77777777" w:rsidR="00B809E7" w:rsidRPr="00157E90" w:rsidRDefault="00B809E7" w:rsidP="006A60F3">
            <w:pPr>
              <w:spacing w:line="240" w:lineRule="auto"/>
              <w:rPr>
                <w:rFonts w:ascii="Arial" w:hAnsi="Arial" w:cs="Arial"/>
                <w:sz w:val="18"/>
                <w:szCs w:val="18"/>
                <w:lang w:val="en-US"/>
              </w:rPr>
            </w:pPr>
          </w:p>
        </w:tc>
        <w:tc>
          <w:tcPr>
            <w:tcW w:w="2551" w:type="dxa"/>
            <w:tcBorders>
              <w:top w:val="single" w:sz="4" w:space="0" w:color="auto"/>
              <w:left w:val="single" w:sz="4" w:space="0" w:color="FFFFFF" w:themeColor="background1"/>
              <w:bottom w:val="nil"/>
              <w:right w:val="single" w:sz="4" w:space="0" w:color="FFFFFF" w:themeColor="background1"/>
            </w:tcBorders>
            <w:shd w:val="clear" w:color="auto" w:fill="auto"/>
          </w:tcPr>
          <w:p w14:paraId="6BABF717" w14:textId="77777777" w:rsidR="00B809E7" w:rsidRPr="00157E90" w:rsidRDefault="00B809E7" w:rsidP="006A60F3">
            <w:pPr>
              <w:spacing w:line="240" w:lineRule="auto"/>
              <w:jc w:val="both"/>
              <w:rPr>
                <w:rFonts w:ascii="Arial" w:hAnsi="Arial" w:cs="Arial"/>
                <w:sz w:val="18"/>
                <w:szCs w:val="18"/>
                <w:lang w:val="en-US"/>
              </w:rPr>
            </w:pPr>
          </w:p>
        </w:tc>
      </w:tr>
      <w:tr w:rsidR="00A720AE" w:rsidRPr="00157E90" w14:paraId="12975100"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26487CA7"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Ishihara </w:t>
            </w:r>
          </w:p>
          <w:p w14:paraId="45E2C76B" w14:textId="1CD260AA" w:rsidR="00B809E7" w:rsidRPr="00157E90" w:rsidRDefault="008656E6"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0A286E" w:rsidRPr="00157E90">
              <w:rPr>
                <w:rFonts w:ascii="Arial" w:hAnsi="Arial" w:cs="Arial"/>
                <w:sz w:val="18"/>
                <w:szCs w:val="18"/>
                <w:lang w:val="en-US"/>
              </w:rPr>
              <w:instrText>ADDIN CSL_CITATION {"citationItems":[{"id":"ITEM-1","itemData":{"author":[{"dropping-particle":"","family":"Ishihara","given":"S.","non-dropping-particle":"","parse-names":false,"suffix":""}],"id":"ITEM-1","issued":{"date-parts":[["1917"]]},"publisher":"Handaya","publisher-place":"Tokyo Hongo Harukicho","title":"Tests for color-blindness","type":"book"},"uris":["http://www.mendeley.com/documents/?uuid=81214c44-79cd-401c-b89e-c41a4e922a03"]}],"mendeley":{"formattedCitation":"(Ishihara, 1917)","plainTextFormattedCitation":"(Ishihara, 1917)","previouslyFormattedCitation":"(Ishihara, 1917)"},"properties":{"noteIndex":0},"schema":"https://github.com/citation-style-language/schema/raw/master/csl-citation.json"}</w:instrText>
            </w:r>
            <w:r w:rsidRPr="00157E90">
              <w:rPr>
                <w:rFonts w:ascii="Arial" w:hAnsi="Arial" w:cs="Arial"/>
                <w:sz w:val="18"/>
                <w:szCs w:val="18"/>
                <w:lang w:val="en-US"/>
              </w:rPr>
              <w:fldChar w:fldCharType="separate"/>
            </w:r>
            <w:r w:rsidR="000A286E" w:rsidRPr="00157E90">
              <w:rPr>
                <w:rFonts w:ascii="Arial" w:hAnsi="Arial" w:cs="Arial"/>
                <w:sz w:val="18"/>
                <w:szCs w:val="18"/>
                <w:lang w:val="en-US"/>
              </w:rPr>
              <w:t>(Ishihara, 1917)</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280928EB" w14:textId="1A0CA6F0"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0.99</w:t>
            </w:r>
            <w:r w:rsidR="008656E6" w:rsidRPr="00157E90">
              <w:rPr>
                <w:rFonts w:ascii="Arial" w:hAnsi="Arial" w:cs="Arial"/>
                <w:sz w:val="18"/>
                <w:szCs w:val="18"/>
                <w:lang w:val="en-US"/>
              </w:rPr>
              <w:t xml:space="preserve"> </w:t>
            </w:r>
            <w:r w:rsidR="008656E6" w:rsidRPr="00157E90">
              <w:rPr>
                <w:rFonts w:ascii="Arial" w:hAnsi="Arial" w:cs="Arial"/>
                <w:sz w:val="18"/>
                <w:szCs w:val="18"/>
                <w:lang w:val="en-US"/>
              </w:rPr>
              <w:fldChar w:fldCharType="begin" w:fldLock="1"/>
            </w:r>
            <w:r w:rsidR="0097428E" w:rsidRPr="00157E90">
              <w:rPr>
                <w:rFonts w:ascii="Arial" w:hAnsi="Arial" w:cs="Arial"/>
                <w:sz w:val="18"/>
                <w:szCs w:val="18"/>
                <w:lang w:val="en-US"/>
              </w:rPr>
              <w:instrText>ADDIN CSL_CITATION {"citationItems":[{"id":"ITEM-1","itemData":{"DOI":"10.1046/j.1475-1313.1997.97000227.x","ISSN":"02755408","PMID":"9390366","abstract":"The Ishihara test is the most widely used screening test for red-green colour deficiency. Results obtained by 401 people with red-green colour deficiency show that the combined sensitivity of the Transformation and Vanishing plates of the 38 plate Edition of the Ishihara plates is 95.5% on eight errors, 97.5% on six errors and 99.0% on three errors. The Hidden digit designs only identified approximately 50% of colour-deficient subjects. The protan/deutan classification plates were found to be more effective for deutans than for protans. No classification was obtained for 18% of protanopes and 3% of deuteranopes who saw neither figure on classification plates; 40% of protanomalous trichromats and 37.5% of deuteranomalous trichromats saw both classification figures and were classified on the relative luminance (clarity) of these figures. The specificity of the Ishihara test was determined in a previous study and the results combined with the present data to obtain the overall efficiency of the Ishihara plates for a representative cross section of colour-deficient subjects.","author":[{"dropping-particle":"","family":"Birch","given":"J.","non-dropping-particle":"","parse-names":false,"suffix":""}],"container-title":"Ophthalmic and Physiological Optics","id":"ITEM-1","issue":"5","issued":{"date-parts":[["1997","9"]]},"language":"eng","page":"403-408","publisher-place":"England","title":"Efficiency of the Ishihara test for identifying red-green colour deficiency","type":"article-journal","volume":"17"},"uris":["http://www.mendeley.com/documents/?uuid=d94d0246-1d3d-4277-aca6-097232c4c059"]}],"mendeley":{"formattedCitation":"(Birch, 1997)","plainTextFormattedCitation":"(Birch, 1997)","previouslyFormattedCitation":"(Birch, 1997)"},"properties":{"noteIndex":0},"schema":"https://github.com/citation-style-language/schema/raw/master/csl-citation.json"}</w:instrText>
            </w:r>
            <w:r w:rsidR="008656E6" w:rsidRPr="00157E90">
              <w:rPr>
                <w:rFonts w:ascii="Arial" w:hAnsi="Arial" w:cs="Arial"/>
                <w:sz w:val="18"/>
                <w:szCs w:val="18"/>
                <w:lang w:val="en-US"/>
              </w:rPr>
              <w:fldChar w:fldCharType="separate"/>
            </w:r>
            <w:r w:rsidR="00F37517" w:rsidRPr="00157E90">
              <w:rPr>
                <w:rFonts w:ascii="Arial" w:hAnsi="Arial" w:cs="Arial"/>
                <w:sz w:val="18"/>
                <w:szCs w:val="18"/>
                <w:lang w:val="en-US"/>
              </w:rPr>
              <w:t>(Birch, 1997)</w:t>
            </w:r>
            <w:r w:rsidR="008656E6" w:rsidRPr="00157E90">
              <w:rPr>
                <w:rFonts w:ascii="Arial" w:hAnsi="Arial" w:cs="Arial"/>
                <w:sz w:val="18"/>
                <w:szCs w:val="18"/>
                <w:lang w:val="en-US"/>
              </w:rPr>
              <w:fldChar w:fldCharType="end"/>
            </w:r>
            <w:r w:rsidRPr="00157E90">
              <w:rPr>
                <w:rFonts w:ascii="Arial" w:hAnsi="Arial" w:cs="Arial"/>
                <w:sz w:val="18"/>
                <w:szCs w:val="18"/>
                <w:lang w:val="en-US"/>
              </w:rPr>
              <w:t xml:space="preserve">/0.94 </w:t>
            </w:r>
            <w:r w:rsidR="008656E6" w:rsidRPr="00157E90">
              <w:rPr>
                <w:rFonts w:ascii="Arial" w:hAnsi="Arial" w:cs="Arial"/>
                <w:sz w:val="18"/>
                <w:szCs w:val="18"/>
                <w:lang w:val="en-US"/>
              </w:rPr>
              <w:fldChar w:fldCharType="begin" w:fldLock="1"/>
            </w:r>
            <w:r w:rsidR="005D22AB" w:rsidRPr="00157E90">
              <w:rPr>
                <w:rFonts w:ascii="Arial" w:hAnsi="Arial" w:cs="Arial"/>
                <w:sz w:val="18"/>
                <w:szCs w:val="18"/>
                <w:lang w:val="en-US"/>
              </w:rPr>
              <w:instrText>ADDIN CSL_CITATION {"citationItems":[{"id":"ITEM-1","itemData":{"DOI":"10.1111/j.1475-1313.1993.tb00423.x","ISSN":"0275-5408 (Print)","PMID":"8510946","abstract":"The accuracy of three new pseudoisochromatic tests for detecting red-green colour deficiency was assessed. These were the Ishihara plates, the Ishihara test for 'unlettered persons' and Ohkuma's test cards. We examined 500 subjects; 471 normal trichromats and 29 colour-deficient people. Results obtained for the 1989 edition of the Ishihara plates were compared with the 9th edition and the most efficient plates identified. Although normal trichromats may be expected to make several interpretive misreadings, the Ishihara plates were found to be superior to the 9th edition and to the Ohkuma test (1986) for colour vision screening. The new symbol designs of the Ishihara plates for 'unlettered persons' (1990) were found to be very effective for colour vision screening, and a further study with young children is proposed. The 38 plate 1989 edition of the Ishihara test is recommended for use in clinical practice. The designs included in the concise 24 plate edition and the new abbreviated 14 plate edition are not selected from the point of view of accuracy and more reliable results are obtained if the full test is given or if the practitioner shows only the most efficient designs.","author":[{"dropping-particle":"","family":"Birch","given":"J","non-dropping-particle":"","parse-names":false,"suffix":""},{"dropping-particle":"","family":"McKeever","given":"L","non-dropping-particle":"","parse-names":false,"suffix":""}],"container-title":"Ophthalmic &amp; physiological optics : the journal of the British College of Ophthalmic Opticians (Optometrists)","id":"ITEM-1","issue":"1","issued":{"date-parts":[["1993","1"]]},"language":"eng","page":"35-40","publisher-place":"England","title":"Survey of the accuracy of new pseudoisochromatic plates.","type":"article-journal","volume":"13"},"uris":["http://www.mendeley.com/documents/?uuid=7e6d5be7-f7b7-4503-b4c1-03782fbba5d6"]}],"mendeley":{"formattedCitation":"(Birch &amp; McKeever, 1993)","plainTextFormattedCitation":"(Birch &amp; McKeever, 1993)","previouslyFormattedCitation":"(Birch &amp; McKeever, 1993)"},"properties":{"noteIndex":0},"schema":"https://github.com/citation-style-language/schema/raw/master/csl-citation.json"}</w:instrText>
            </w:r>
            <w:r w:rsidR="008656E6" w:rsidRPr="00157E90">
              <w:rPr>
                <w:rFonts w:ascii="Arial" w:hAnsi="Arial" w:cs="Arial"/>
                <w:sz w:val="18"/>
                <w:szCs w:val="18"/>
                <w:lang w:val="en-US"/>
              </w:rPr>
              <w:fldChar w:fldCharType="separate"/>
            </w:r>
            <w:r w:rsidR="00F37517" w:rsidRPr="00157E90">
              <w:rPr>
                <w:rFonts w:ascii="Arial" w:hAnsi="Arial" w:cs="Arial"/>
                <w:sz w:val="18"/>
                <w:szCs w:val="18"/>
                <w:lang w:val="en-US"/>
              </w:rPr>
              <w:t>(Birch &amp; McKeever, 1993)</w:t>
            </w:r>
            <w:r w:rsidR="008656E6" w:rsidRPr="00157E90">
              <w:rPr>
                <w:rFonts w:ascii="Arial" w:hAnsi="Arial" w:cs="Arial"/>
                <w:sz w:val="18"/>
                <w:szCs w:val="18"/>
                <w:lang w:val="en-US"/>
              </w:rPr>
              <w:fldChar w:fldCharType="end"/>
            </w:r>
          </w:p>
          <w:p w14:paraId="02737912" w14:textId="131BE9F6"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(CVD=401</w:t>
            </w:r>
            <w:r w:rsidR="008656E6" w:rsidRPr="00157E90">
              <w:rPr>
                <w:rFonts w:ascii="Arial" w:hAnsi="Arial" w:cs="Arial"/>
                <w:sz w:val="18"/>
                <w:szCs w:val="18"/>
                <w:lang w:val="en-US"/>
              </w:rPr>
              <w:fldChar w:fldCharType="begin" w:fldLock="1"/>
            </w:r>
            <w:r w:rsidR="0097428E" w:rsidRPr="00157E90">
              <w:rPr>
                <w:rFonts w:ascii="Arial" w:hAnsi="Arial" w:cs="Arial"/>
                <w:sz w:val="18"/>
                <w:szCs w:val="18"/>
                <w:lang w:val="en-US"/>
              </w:rPr>
              <w:instrText>ADDIN CSL_CITATION {"citationItems":[{"id":"ITEM-1","itemData":{"DOI":"10.1046/j.1475-1313.1997.97000227.x","ISSN":"02755408","PMID":"9390366","abstract":"The Ishihara test is the most widely used screening test for red-green colour deficiency. Results obtained by 401 people with red-green colour deficiency show that the combined sensitivity of the Transformation and Vanishing plates of the 38 plate Edition of the Ishihara plates is 95.5% on eight errors, 97.5% on six errors and 99.0% on three errors. The Hidden digit designs only identified approximately 50% of colour-deficient subjects. The protan/deutan classification plates were found to be more effective for deutans than for protans. No classification was obtained for 18% of protanopes and 3% of deuteranopes who saw neither figure on classification plates; 40% of protanomalous trichromats and 37.5% of deuteranomalous trichromats saw both classification figures and were classified on the relative luminance (clarity) of these figures. The specificity of the Ishihara test was determined in a previous study and the results combined with the present data to obtain the overall efficiency of the Ishihara plates for a representative cross section of colour-deficient subjects.","author":[{"dropping-particle":"","family":"Birch","given":"J.","non-dropping-particle":"","parse-names":false,"suffix":""}],"container-title":"Ophthalmic and Physiological Optics","id":"ITEM-1","issue":"5","issued":{"date-parts":[["1997","9"]]},"language":"eng","page":"403-408","publisher-place":"England","title":"Efficiency of the Ishihara test for identifying red-green colour deficiency","type":"article-journal","volume":"17"},"uris":["http://www.mendeley.com/documents/?uuid=d94d0246-1d3d-4277-aca6-097232c4c059"]}],"mendeley":{"formattedCitation":"(Birch, 1997)","plainTextFormattedCitation":"(Birch, 1997)","previouslyFormattedCitation":"(Birch, 1997)"},"properties":{"noteIndex":0},"schema":"https://github.com/citation-style-language/schema/raw/master/csl-citation.json"}</w:instrText>
            </w:r>
            <w:r w:rsidR="008656E6" w:rsidRPr="00157E90">
              <w:rPr>
                <w:rFonts w:ascii="Arial" w:hAnsi="Arial" w:cs="Arial"/>
                <w:sz w:val="18"/>
                <w:szCs w:val="18"/>
                <w:lang w:val="en-US"/>
              </w:rPr>
              <w:fldChar w:fldCharType="separate"/>
            </w:r>
            <w:r w:rsidR="00F37517" w:rsidRPr="00157E90">
              <w:rPr>
                <w:rFonts w:ascii="Arial" w:hAnsi="Arial" w:cs="Arial"/>
                <w:sz w:val="18"/>
                <w:szCs w:val="18"/>
                <w:lang w:val="en-US"/>
              </w:rPr>
              <w:t>(Birch, 1997)</w:t>
            </w:r>
            <w:r w:rsidR="008656E6" w:rsidRPr="00157E90">
              <w:rPr>
                <w:rFonts w:ascii="Arial" w:hAnsi="Arial" w:cs="Arial"/>
                <w:sz w:val="18"/>
                <w:szCs w:val="18"/>
                <w:lang w:val="en-US"/>
              </w:rPr>
              <w:fldChar w:fldCharType="end"/>
            </w:r>
            <w:r w:rsidRPr="00157E90">
              <w:rPr>
                <w:rFonts w:ascii="Arial" w:hAnsi="Arial" w:cs="Arial"/>
                <w:sz w:val="18"/>
                <w:szCs w:val="18"/>
                <w:lang w:val="en-US"/>
              </w:rPr>
              <w:t>, CVN=471</w:t>
            </w:r>
            <w:r w:rsidR="008656E6" w:rsidRPr="00157E90">
              <w:rPr>
                <w:rFonts w:ascii="Arial" w:hAnsi="Arial" w:cs="Arial"/>
                <w:sz w:val="18"/>
                <w:szCs w:val="18"/>
                <w:lang w:val="en-US"/>
              </w:rPr>
              <w:fldChar w:fldCharType="begin" w:fldLock="1"/>
            </w:r>
            <w:r w:rsidR="005D22AB" w:rsidRPr="00157E90">
              <w:rPr>
                <w:rFonts w:ascii="Arial" w:hAnsi="Arial" w:cs="Arial"/>
                <w:sz w:val="18"/>
                <w:szCs w:val="18"/>
                <w:lang w:val="en-US"/>
              </w:rPr>
              <w:instrText>ADDIN CSL_CITATION {"citationItems":[{"id":"ITEM-1","itemData":{"DOI":"10.1111/j.1475-1313.1993.tb00423.x","ISSN":"0275-5408 (Print)","PMID":"8510946","abstract":"The accuracy of three new pseudoisochromatic tests for detecting red-green colour deficiency was assessed. These were the Ishihara plates, the Ishihara test for 'unlettered persons' and Ohkuma's test cards. We examined 500 subjects; 471 normal trichromats and 29 colour-deficient people. Results obtained for the 1989 edition of the Ishihara plates were compared with the 9th edition and the most efficient plates identified. Although normal trichromats may be expected to make several interpretive misreadings, the Ishihara plates were found to be superior to the 9th edition and to the Ohkuma test (1986) for colour vision screening. The new symbol designs of the Ishihara plates for 'unlettered persons' (1990) were found to be very effective for colour vision screening, and a further study with young children is proposed. The 38 plate 1989 edition of the Ishihara test is recommended for use in clinical practice. The designs included in the concise 24 plate edition and the new abbreviated 14 plate edition are not selected from the point of view of accuracy and more reliable results are obtained if the full test is given or if the practitioner shows only the most efficient designs.","author":[{"dropping-particle":"","family":"Birch","given":"J","non-dropping-particle":"","parse-names":false,"suffix":""},{"dropping-particle":"","family":"McKeever","given":"L","non-dropping-particle":"","parse-names":false,"suffix":""}],"container-title":"Ophthalmic &amp; physiological optics : the journal of the British College of Ophthalmic Opticians (Optometrists)","id":"ITEM-1","issue":"1","issued":{"date-parts":[["1993","1"]]},"language":"eng","page":"35-40","publisher-place":"England","title":"Survey of the accuracy of new pseudoisochromatic plates.","type":"article-journal","volume":"13"},"uris":["http://www.mendeley.com/documents/?uuid=7e6d5be7-f7b7-4503-b4c1-03782fbba5d6"]}],"mendeley":{"formattedCitation":"(Birch &amp; McKeever, 1993)","plainTextFormattedCitation":"(Birch &amp; McKeever, 1993)","previouslyFormattedCitation":"(Birch &amp; McKeever, 1993)"},"properties":{"noteIndex":0},"schema":"https://github.com/citation-style-language/schema/raw/master/csl-citation.json"}</w:instrText>
            </w:r>
            <w:r w:rsidR="008656E6" w:rsidRPr="00157E90">
              <w:rPr>
                <w:rFonts w:ascii="Arial" w:hAnsi="Arial" w:cs="Arial"/>
                <w:sz w:val="18"/>
                <w:szCs w:val="18"/>
                <w:lang w:val="en-US"/>
              </w:rPr>
              <w:fldChar w:fldCharType="separate"/>
            </w:r>
            <w:r w:rsidR="00F37517" w:rsidRPr="00157E90">
              <w:rPr>
                <w:rFonts w:ascii="Arial" w:hAnsi="Arial" w:cs="Arial"/>
                <w:sz w:val="18"/>
                <w:szCs w:val="18"/>
                <w:lang w:val="en-US"/>
              </w:rPr>
              <w:t>(Birch &amp; McKeever, 1993)</w:t>
            </w:r>
            <w:r w:rsidR="008656E6" w:rsidRPr="00157E90">
              <w:rPr>
                <w:rFonts w:ascii="Arial" w:hAnsi="Arial" w:cs="Arial"/>
                <w:sz w:val="18"/>
                <w:szCs w:val="18"/>
                <w:lang w:val="en-US"/>
              </w:rPr>
              <w:fldChar w:fldCharType="end"/>
            </w:r>
            <w:r w:rsidRPr="00157E90">
              <w:rPr>
                <w:rFonts w:ascii="Arial" w:hAnsi="Arial" w:cs="Arial"/>
                <w:sz w:val="18"/>
                <w:szCs w:val="18"/>
                <w:lang w:val="en-US"/>
              </w:rPr>
              <w:t>)</w:t>
            </w:r>
          </w:p>
          <w:p w14:paraId="22F855C6" w14:textId="079B005A"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r w:rsidRPr="00157E90">
              <w:rPr>
                <w:rFonts w:ascii="Arial" w:hAnsi="Arial" w:cs="Arial"/>
                <w:sz w:val="18"/>
                <w:szCs w:val="18"/>
                <w:lang w:val="en-US"/>
              </w:rPr>
              <w:t xml:space="preserve"> </w:t>
            </w:r>
            <w:r w:rsidR="008656E6" w:rsidRPr="00157E90">
              <w:rPr>
                <w:rFonts w:ascii="Arial" w:hAnsi="Arial" w:cs="Arial"/>
                <w:sz w:val="18"/>
                <w:szCs w:val="18"/>
                <w:lang w:val="en-US"/>
              </w:rPr>
              <w:fldChar w:fldCharType="begin" w:fldLock="1"/>
            </w:r>
            <w:r w:rsidR="0097428E" w:rsidRPr="00157E90">
              <w:rPr>
                <w:rFonts w:ascii="Arial" w:hAnsi="Arial" w:cs="Arial"/>
                <w:sz w:val="18"/>
                <w:szCs w:val="18"/>
                <w:lang w:val="en-US"/>
              </w:rPr>
              <w:instrText>ADDIN CSL_CITATION {"citationItems":[{"id":"ITEM-1","itemData":{"DOI":"10.1046/j.1475-1313.1997.97000227.x","ISSN":"02755408","PMID":"9390366","abstract":"The Ishihara test is the most widely used screening test for red-green colour deficiency. Results obtained by 401 people with red-green colour deficiency show that the combined sensitivity of the Transformation and Vanishing plates of the 38 plate Edition of the Ishihara plates is 95.5% on eight errors, 97.5% on six errors and 99.0% on three errors. The Hidden digit designs only identified approximately 50% of colour-deficient subjects. The protan/deutan classification plates were found to be more effective for deutans than for protans. No classification was obtained for 18% of protanopes and 3% of deuteranopes who saw neither figure on classification plates; 40% of protanomalous trichromats and 37.5% of deuteranomalous trichromats saw both classification figures and were classified on the relative luminance (clarity) of these figures. The specificity of the Ishihara test was determined in a previous study and the results combined with the present data to obtain the overall efficiency of the Ishihara plates for a representative cross section of colour-deficient subjects.","author":[{"dropping-particle":"","family":"Birch","given":"J.","non-dropping-particle":"","parse-names":false,"suffix":""}],"container-title":"Ophthalmic and Physiological Optics","id":"ITEM-1","issue":"5","issued":{"date-parts":[["1997","9"]]},"language":"eng","page":"403-408","publisher-place":"England","title":"Efficiency of the Ishihara test for identifying red-green colour deficiency","type":"article-journal","volume":"17"},"uris":["http://www.mendeley.com/documents/?uuid=d94d0246-1d3d-4277-aca6-097232c4c059"]}],"mendeley":{"formattedCitation":"(Birch, 1997)","plainTextFormattedCitation":"(Birch, 1997)","previouslyFormattedCitation":"(Birch, 1997)"},"properties":{"noteIndex":0},"schema":"https://github.com/citation-style-language/schema/raw/master/csl-citation.json"}</w:instrText>
            </w:r>
            <w:r w:rsidR="008656E6" w:rsidRPr="00157E90">
              <w:rPr>
                <w:rFonts w:ascii="Arial" w:hAnsi="Arial" w:cs="Arial"/>
                <w:sz w:val="18"/>
                <w:szCs w:val="18"/>
                <w:lang w:val="en-US"/>
              </w:rPr>
              <w:fldChar w:fldCharType="separate"/>
            </w:r>
            <w:r w:rsidR="00F37517" w:rsidRPr="00157E90">
              <w:rPr>
                <w:rFonts w:ascii="Arial" w:hAnsi="Arial" w:cs="Arial"/>
                <w:sz w:val="18"/>
                <w:szCs w:val="18"/>
                <w:lang w:val="en-US"/>
              </w:rPr>
              <w:t>(Birch, 1997)</w:t>
            </w:r>
            <w:r w:rsidR="008656E6" w:rsidRPr="00157E90">
              <w:rPr>
                <w:rFonts w:ascii="Arial" w:hAnsi="Arial" w:cs="Arial"/>
                <w:sz w:val="18"/>
                <w:szCs w:val="18"/>
                <w:lang w:val="en-US"/>
              </w:rPr>
              <w:fldChar w:fldCharType="end"/>
            </w:r>
          </w:p>
          <w:p w14:paraId="2BFF432F" w14:textId="2AF6597D" w:rsidR="00B809E7" w:rsidRPr="00157E90" w:rsidRDefault="00B33D1D" w:rsidP="000A286E">
            <w:pPr>
              <w:spacing w:line="240" w:lineRule="auto"/>
              <w:jc w:val="center"/>
              <w:rPr>
                <w:rFonts w:ascii="Arial" w:hAnsi="Arial" w:cs="Arial"/>
                <w:sz w:val="18"/>
                <w:szCs w:val="18"/>
                <w:lang w:val="en-US"/>
              </w:rPr>
            </w:pPr>
            <w:r w:rsidRPr="00157E90">
              <w:rPr>
                <w:rFonts w:ascii="Arial" w:hAnsi="Arial" w:cs="Arial"/>
                <w:sz w:val="18"/>
                <w:szCs w:val="18"/>
                <w:lang w:val="en-US"/>
              </w:rPr>
              <w:t xml:space="preserve">Ishihara 1989 edition </w:t>
            </w:r>
            <w:r w:rsidRPr="00157E90">
              <w:rPr>
                <w:rFonts w:ascii="Arial" w:hAnsi="Arial" w:cs="Arial"/>
                <w:sz w:val="18"/>
                <w:szCs w:val="18"/>
                <w:lang w:val="en-US"/>
              </w:rPr>
              <w:fldChar w:fldCharType="begin" w:fldLock="1"/>
            </w:r>
            <w:r w:rsidR="00674D51" w:rsidRPr="00157E90">
              <w:rPr>
                <w:rFonts w:ascii="Arial" w:hAnsi="Arial" w:cs="Arial"/>
                <w:sz w:val="18"/>
                <w:szCs w:val="18"/>
                <w:lang w:val="en-US"/>
              </w:rPr>
              <w:instrText>ADDIN CSL_CITATION {"citationItems":[{"id":"ITEM-1","itemData":{"author":[{"dropping-particle":"","family":"Ishihara","given":"S.","non-dropping-particle":"","parse-names":false,"suffix":""}],"id":"ITEM-1","issued":{"date-parts":[["1989"]]},"publisher":"Kanehara","publisher-place":"Tokyo","title":"The series of plates designed as a test for colour-deficiency","type":"book"},"uris":["http://www.mendeley.com/documents/?uuid=5dee1b36-b8f6-4e76-986e-4e82c0887847"]},{"id":"ITEM-2","itemData":{"DOI":"10.1111/j.1475-1313.1993.tb00423.x","ISSN":"0275-5408 (Print)","PMID":"8510946","abstract":"The accuracy of three new pseudoisochromatic tests for detecting red-green colour deficiency was assessed. These were the Ishihara plates, the Ishihara test for 'unlettered persons' and Ohkuma's test cards. We examined 500 subjects; 471 normal trichromats and 29 colour-deficient people. Results obtained for the 1989 edition of the Ishihara plates were compared with the 9th edition and the most efficient plates identified. Although normal trichromats may be expected to make several interpretive misreadings, the Ishihara plates were found to be superior to the 9th edition and to the Ohkuma test (1986) for colour vision screening. The new symbol designs of the Ishihara plates for 'unlettered persons' (1990) were found to be very effective for colour vision screening, and a further study with young children is proposed. The 38 plate 1989 edition of the Ishihara test is recommended for use in clinical practice. The designs included in the concise 24 plate edition and the new abbreviated 14 plate edition are not selected from the point of view of accuracy and more reliable results are obtained if the full test is given or if the practitioner shows only the most efficient designs.","author":[{"dropping-particle":"","family":"Birch","given":"J","non-dropping-particle":"","parse-names":false,"suffix":""},{"dropping-particle":"","family":"McKeever","given":"L","non-dropping-particle":"","parse-names":false,"suffix":""}],"container-title":"Ophthalmic &amp; physiological optics : the journal of the British College of Ophthalmic Opticians (Optometrists)","id":"ITEM-2","issue":"1","issued":{"date-parts":[["1993","1"]]},"language":"eng","page":"35-40","publisher-place":"England","title":"Survey of the accuracy of new pseudoisochromatic plates.","type":"article-journal","volume":"13"},"uris":["http://www.mendeley.com/documents/?uuid=7e6d5be7-f7b7-4503-b4c1-03782fbba5d6"]}],"mendeley":{"formattedCitation":"(Birch &amp; McKeever, 1993; Ishihara, 1989)","plainTextFormattedCitation":"(Birch &amp; McKeever, 1993; Ishihara, 1989)","previouslyFormattedCitation":"(Birch &amp; McKeever, 1993; Ishihara, 1989)"},"properties":{"noteIndex":0},"schema":"https://github.com/citation-style-language/schema/raw/master/csl-citation.json"}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(Birch &amp; McKeever, 1993; Ishihara, 1989)</w:t>
            </w:r>
            <w:r w:rsidRPr="00157E90">
              <w:rPr>
                <w:rFonts w:ascii="Arial" w:hAnsi="Arial" w:cs="Arial"/>
                <w:sz w:val="18"/>
                <w:szCs w:val="18"/>
                <w:lang w:val="en-US"/>
              </w:rPr>
              <w:fldChar w:fldCharType="end"/>
            </w:r>
          </w:p>
        </w:tc>
        <w:tc>
          <w:tcPr>
            <w:tcW w:w="1985" w:type="dxa"/>
            <w:tcBorders>
              <w:left w:val="single" w:sz="4" w:space="0" w:color="FFFFFF" w:themeColor="background1"/>
              <w:right w:val="single" w:sz="4" w:space="0" w:color="FFFFFF" w:themeColor="background1"/>
            </w:tcBorders>
          </w:tcPr>
          <w:p w14:paraId="7AC119AB" w14:textId="3AB898F4"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79</w:t>
            </w:r>
            <w:r w:rsidR="00B32BE1" w:rsidRPr="00157E90">
              <w:rPr>
                <w:rFonts w:ascii="Arial" w:hAnsi="Arial" w:cs="Arial"/>
                <w:sz w:val="18"/>
                <w:szCs w:val="18"/>
                <w:lang w:val="en-US"/>
              </w:rPr>
              <w:t>–</w:t>
            </w:r>
            <w:r w:rsidRPr="00157E90">
              <w:rPr>
                <w:rFonts w:ascii="Arial" w:hAnsi="Arial" w:cs="Arial"/>
                <w:sz w:val="18"/>
                <w:szCs w:val="18"/>
                <w:lang w:val="en-US"/>
              </w:rPr>
              <w:t>97% of 2</w:t>
            </w:r>
            <w:r w:rsidR="00B32BE1" w:rsidRPr="00157E90">
              <w:rPr>
                <w:rFonts w:ascii="Arial" w:hAnsi="Arial" w:cs="Arial"/>
                <w:sz w:val="18"/>
                <w:szCs w:val="18"/>
                <w:lang w:val="en-US"/>
              </w:rPr>
              <w:t>–</w:t>
            </w:r>
            <w:r w:rsidRPr="00157E90">
              <w:rPr>
                <w:rFonts w:ascii="Arial" w:hAnsi="Arial" w:cs="Arial"/>
                <w:sz w:val="18"/>
                <w:szCs w:val="18"/>
                <w:lang w:val="en-US"/>
              </w:rPr>
              <w:t>6</w:t>
            </w:r>
            <w:r w:rsidR="00B64E69" w:rsidRPr="00157E90">
              <w:rPr>
                <w:rFonts w:ascii="Arial" w:hAnsi="Arial" w:cs="Arial"/>
                <w:sz w:val="18"/>
                <w:szCs w:val="18"/>
                <w:lang w:val="en-US"/>
              </w:rPr>
              <w:t>-</w:t>
            </w:r>
            <w:r w:rsidRPr="00157E90">
              <w:rPr>
                <w:rFonts w:ascii="Arial" w:hAnsi="Arial" w:cs="Arial"/>
                <w:sz w:val="18"/>
                <w:szCs w:val="18"/>
                <w:lang w:val="en-US"/>
              </w:rPr>
              <w:t>year</w:t>
            </w:r>
            <w:r w:rsidR="00B64E69" w:rsidRPr="00157E90">
              <w:rPr>
                <w:rFonts w:ascii="Arial" w:hAnsi="Arial" w:cs="Arial"/>
                <w:sz w:val="18"/>
                <w:szCs w:val="18"/>
                <w:lang w:val="en-US"/>
              </w:rPr>
              <w:t>-</w:t>
            </w:r>
            <w:r w:rsidRPr="00157E90">
              <w:rPr>
                <w:rFonts w:ascii="Arial" w:hAnsi="Arial" w:cs="Arial"/>
                <w:sz w:val="18"/>
                <w:szCs w:val="18"/>
                <w:lang w:val="en-US"/>
              </w:rPr>
              <w:t xml:space="preserve">old children successfully completed the test </w:t>
            </w:r>
            <w:r w:rsidR="008656E6" w:rsidRPr="00157E90">
              <w:rPr>
                <w:rFonts w:ascii="Arial" w:hAnsi="Arial" w:cs="Arial"/>
                <w:sz w:val="18"/>
                <w:szCs w:val="18"/>
                <w:lang w:val="en-US"/>
              </w:rPr>
              <w:fldChar w:fldCharType="begin" w:fldLock="1"/>
            </w:r>
            <w:r w:rsidR="001E1CB8" w:rsidRPr="00157E90">
              <w:rPr>
                <w:rFonts w:ascii="Arial" w:hAnsi="Arial" w:cs="Arial"/>
                <w:sz w:val="18"/>
                <w:szCs w:val="18"/>
                <w:lang w:val="en-US"/>
              </w:rPr>
              <w:instrText>ADDIN CSL_CITATION {"citationItems":[{"id":"ITEM-1","itemData":{"DOI":"10.1007/s10384-009-0716-1","ISBN":"1038400907161","ISSN":"00215155","PMID":"19847597","abstract":"Purpose: To investigate the efficacy of a modified Ishihara color test in preschoolers. Methods: The Ishihara test was performed to screen 115 children 3 to 6 years of age for color vision deficiency. Children who could not read numbers were instructed to trace the shapes of the numbers and of colored winding lines on the test plates using a cotton-tipped applicator. The ability of the children to understand and complete the test was investigated. Results: The Ishihara test was satisfactorily taken by 96.5% of the 115 children. Two 3-year-olds and two 4-year-olds did not understand the test. Thirty-five percent of the 3-year-olds could not read numbers but successfully used the tracing method. Three of the 51 boys and none of the 64 girls were considered color deficient. Conclusion: The modified Ishihara test was successfully performed by children aged 3 to 6. © 2009 Japanese Ophthalmological Society (JOS).","author":[{"dropping-particle":"","family":"Choi","given":"Sang Yul","non-dropping-particle":"","parse-names":false,"suffix":""},{"dropping-particle":"","family":"Hwang","given":"Jeong Min","non-dropping-particle":"","parse-names":false,"suffix":""}],"container-title":"Japanese Journal of Ophthalmology","id":"ITEM-1","issue":"5","issued":{"date-parts":[["2009"]]},"page":"455-457","title":"Ishihara test in 3- to 6-year-old children","type":"article-journal","volume":"53"},"uris":["http://www.mendeley.com/documents/?uuid=52c2f71e-f4fb-4e31-a9cf-baacb46a988b"]},{"id":"ITEM-2","itemData":{"DOI":"10.1159/000310196","ISSN":"0030-3755","abstract":"84 children aged from 2 to 6 years were tested with three different pseudo-isochromatic plates: Velhagen Pfl&amp;#220;gertrident test, Lanthony Tritan Album and Ishihara test. The Velhagen test was correctly interpreted by all of the 6- and 5-year olds, by 80% of the 4-year olds and by 20% of the 3-year olds. The Lanthony Tritan Album was well performed by all of the 6-, 5-and 4-year olds, and by 80% of the 3-year olds. The Ishihara test was acceptably performed by all of the 6- and 5-year olds, by 90% of the 4-year olds and by 40% of the 3-year olds. None of the 2-year olds could understand any of these tests. In the Ishihara test, the winding lines in the plates No. 30 and 32 were difficult for children; the incomplete interpreting of them must be accepted for a correct answer.","author":[{"dropping-particle":"","family":"Mäntyjärvi","given":"Maija","non-dropping-particle":"","parse-names":false,"suffix":""}],"container-title":"Ophthalmologica","id":"ITEM-2","issue":"3","issued":{"date-parts":[["1991"]]},"page":"147-151","title":"Colour Vision Testing in Pre-School-Aged Children","type":"article-journal","volume":"202"},"uris":["http://www.mendeley.com/documents/?uuid=e66a6068-6e60-4dd4-bdd9-fa0c89063a77"]}],"mendeley":{"formattedCitation":"(Choi &amp; Hwang, 2009; Mäntyjärvi, 1991a)","plainTextFormattedCitation":"(Choi &amp; Hwang, 2009; Mäntyjärvi, 1991a)","previouslyFormattedCitation":"(Choi &amp; Hwang, 2009; Mäntyjärvi, 1991a)"},"properties":{"noteIndex":0},"schema":"https://github.com/citation-style-language/schema/raw/master/csl-citation.json"}</w:instrText>
            </w:r>
            <w:r w:rsidR="008656E6" w:rsidRPr="00157E90">
              <w:rPr>
                <w:rFonts w:ascii="Arial" w:hAnsi="Arial" w:cs="Arial"/>
                <w:sz w:val="18"/>
                <w:szCs w:val="18"/>
                <w:lang w:val="en-US"/>
              </w:rPr>
              <w:fldChar w:fldCharType="separate"/>
            </w:r>
            <w:r w:rsidR="000716CF" w:rsidRPr="00157E90">
              <w:rPr>
                <w:rFonts w:ascii="Arial" w:hAnsi="Arial" w:cs="Arial"/>
                <w:sz w:val="18"/>
                <w:szCs w:val="18"/>
                <w:lang w:val="en-US"/>
              </w:rPr>
              <w:t>(Choi &amp; Hwang, 2009; Mäntyjärvi, 1991a)</w:t>
            </w:r>
            <w:r w:rsidR="008656E6" w:rsidRPr="00157E90">
              <w:rPr>
                <w:rFonts w:ascii="Arial" w:hAnsi="Arial" w:cs="Arial"/>
                <w:sz w:val="18"/>
                <w:szCs w:val="18"/>
                <w:lang w:val="en-US"/>
              </w:rPr>
              <w:fldChar w:fldCharType="end"/>
            </w:r>
          </w:p>
        </w:tc>
        <w:tc>
          <w:tcPr>
            <w:tcW w:w="1559" w:type="dxa"/>
            <w:tcBorders>
              <w:left w:val="single" w:sz="4" w:space="0" w:color="FFFFFF" w:themeColor="background1"/>
              <w:right w:val="single" w:sz="4" w:space="0" w:color="FFFFFF" w:themeColor="background1"/>
            </w:tcBorders>
            <w:shd w:val="clear" w:color="auto" w:fill="auto"/>
          </w:tcPr>
          <w:p w14:paraId="5D02ACC8" w14:textId="06C95568"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 7 years </w:t>
            </w:r>
            <w:r w:rsidR="008656E6" w:rsidRPr="00157E90">
              <w:rPr>
                <w:rFonts w:ascii="Arial" w:hAnsi="Arial" w:cs="Arial"/>
                <w:sz w:val="18"/>
                <w:szCs w:val="18"/>
                <w:lang w:val="en-US"/>
              </w:rPr>
              <w:fldChar w:fldCharType="begin" w:fldLock="1"/>
            </w:r>
            <w:r w:rsidR="008656E6" w:rsidRPr="00157E90">
              <w:rPr>
                <w:rFonts w:ascii="Arial" w:hAnsi="Arial" w:cs="Arial"/>
                <w:sz w:val="18"/>
                <w:szCs w:val="18"/>
                <w:lang w:val="en-US"/>
              </w:rPr>
              <w:instrText>ADDIN CSL_CITATION {"citationItems":[{"id":"ITEM-1","itemData":{"abstract":"Reviews the literature concerning the importance of early detection of the common congenital color-vision (CV) defects in children and child-relevant CV tests. Results of the administration of a number of CV tests to 3 groups (100 4–6 yr old color normals, 150 6–13 yr old color normals, and 205 5–21 yr old color defectives) are presented. The effectiveness of the CV tests for children are compared","author":[{"dropping-particle":"","family":"Verriest","given":"G","non-dropping-particle":"","parse-names":false,"suffix":""}],"container-title":"Documenta Ophthalmologica Proceedings Series","id":"ITEM-1","issued":{"date-parts":[["1982"]]},"page":"175-178","title":"Colour vision tests in children","type":"article-journal","volume":"33"},"uris":["http://www.mendeley.com/documents/?uuid=08c57fde-f7c3-421b-a8a9-4daab6b50e2c"]}],"mendeley":{"formattedCitation":"(Verriest, 1982)","plainTextFormattedCitation":"(Verriest, 1982)","previouslyFormattedCitation":"(Verriest, 1982)"},"properties":{"noteIndex":0},"schema":"https://github.com/citation-style-language/schema/raw/master/csl-citation.json"}</w:instrText>
            </w:r>
            <w:r w:rsidR="008656E6" w:rsidRPr="00157E90">
              <w:rPr>
                <w:rFonts w:ascii="Arial" w:hAnsi="Arial" w:cs="Arial"/>
                <w:sz w:val="18"/>
                <w:szCs w:val="18"/>
                <w:lang w:val="en-US"/>
              </w:rPr>
              <w:fldChar w:fldCharType="separate"/>
            </w:r>
            <w:r w:rsidR="008656E6" w:rsidRPr="00157E90">
              <w:rPr>
                <w:rFonts w:ascii="Arial" w:hAnsi="Arial" w:cs="Arial"/>
                <w:sz w:val="18"/>
                <w:szCs w:val="18"/>
                <w:lang w:val="en-US"/>
              </w:rPr>
              <w:t>(Verriest, 1982)</w:t>
            </w:r>
            <w:r w:rsidR="008656E6" w:rsidRPr="00157E90">
              <w:rPr>
                <w:rFonts w:ascii="Arial" w:hAnsi="Arial" w:cs="Arial"/>
                <w:sz w:val="18"/>
                <w:szCs w:val="18"/>
                <w:lang w:val="en-US"/>
              </w:rPr>
              <w:fldChar w:fldCharType="end"/>
            </w:r>
          </w:p>
        </w:tc>
        <w:tc>
          <w:tcPr>
            <w:tcW w:w="2551" w:type="dxa"/>
            <w:tcBorders>
              <w:left w:val="single" w:sz="4" w:space="0" w:color="FFFFFF" w:themeColor="background1"/>
              <w:right w:val="single" w:sz="4" w:space="0" w:color="FFFFFF" w:themeColor="background1"/>
            </w:tcBorders>
            <w:shd w:val="clear" w:color="auto" w:fill="auto"/>
          </w:tcPr>
          <w:p w14:paraId="4AAB51A4" w14:textId="265B812B"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 xml:space="preserve">§ </w:t>
            </w:r>
          </w:p>
          <w:p w14:paraId="2967EA61" w14:textId="77777777"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Requires number knowledge</w:t>
            </w:r>
          </w:p>
        </w:tc>
      </w:tr>
      <w:tr w:rsidR="00A720AE" w:rsidRPr="00157E90" w14:paraId="77CC8E8A"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520B2499"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Richmond Hardy-Rand-</w:t>
            </w:r>
            <w:proofErr w:type="spellStart"/>
            <w:r w:rsidRPr="00157E90">
              <w:rPr>
                <w:rFonts w:ascii="Arial" w:hAnsi="Arial" w:cs="Arial"/>
                <w:sz w:val="18"/>
                <w:szCs w:val="18"/>
                <w:lang w:val="en-US"/>
              </w:rPr>
              <w:t>Rittler</w:t>
            </w:r>
            <w:proofErr w:type="spellEnd"/>
            <w:r w:rsidRPr="00157E90">
              <w:rPr>
                <w:rFonts w:ascii="Arial" w:hAnsi="Arial" w:cs="Arial"/>
                <w:sz w:val="18"/>
                <w:szCs w:val="18"/>
                <w:lang w:val="en-US"/>
              </w:rPr>
              <w:t xml:space="preserve"> </w:t>
            </w:r>
          </w:p>
          <w:p w14:paraId="1087D2E2" w14:textId="7FE7CD61" w:rsidR="00B809E7" w:rsidRPr="00157E90" w:rsidRDefault="008656E6" w:rsidP="00F133B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674D51" w:rsidRPr="00157E90">
              <w:rPr>
                <w:rFonts w:ascii="Arial" w:hAnsi="Arial" w:cs="Arial"/>
                <w:sz w:val="18"/>
                <w:szCs w:val="18"/>
                <w:lang w:val="en-US"/>
              </w:rPr>
              <w:instrText>ADDIN CSL_CITATION {"citationItems":[{"id":"ITEM-1","itemData":{"DOI":"10.1364/josa.44.000509","ISSN":"0030-3941","abstract":"A description is given of the H-R-R plates and evaluation of the test as a device (a) to separate those with defective color vision from those with normal color vision, (b) to classify the type of defect (qualitative diagnosis), and (c) to indicate the extent of the defect (quantitative diagnosis). For this evaluation 780 subjects were used, not selected on the basis of a statistical survey. The H-R-R plates are shown to be in complete agreement with the A.O. test (revised selection) in separating the subjects into two groups: 150 with defective and 630 with normal red-green vision. The test agrees remarkably well with the Nagel anomaloscope in classifying the subjects with defective red-green vision into deutan and protan types. It rates 23 percent of these subjects as having mild defect, 31 percent as having medium defect, and 46 percent as having strong defect. For the subjects with defective color vision, a detailed comparison is presented of the qualitative classifications into deutan and protan types yielded by the H-R-R plates with those made by the Nagel anomaloscope, the Tshihara test, and the dichotomous test. A further comparison is made for these subjects between the quantitative estimates of extent of defect by the H-R-R plates and performance on various aptitude tests which were designed to select those color-defective persons who can meet the color requirements of specific but different tasks. It is shown that the percentage who pass these tests significantly and consistently decreases as the severity of defect shown by the H-R-R plates increases. The practical importance of a simply administered, comprehensive test, such as is provided by the H-R-R plates, to vocational selection and guidance is discussed, and an example given of their application in the radio and television industry.","author":[{"dropping-particle":"","family":"Hardy","given":"LeGrand H.","non-dropping-particle":"","parse-names":false,"suffix":""},{"dropping-particle":"","family":"Rand","given":"Gertrude","non-dropping-particle":"","parse-names":false,"suffix":""},{"dropping-particle":"","family":"Rittler","given":"M. Catherine","non-dropping-particle":"","parse-names":false,"suffix":""}],"container-title":"Journal of the Optical Society of America","id":"ITEM-1","issue":"7","issued":{"date-parts":[["1954","7"]]},"page":"509-523","publisher":"OSA","title":"H–R–R Polychromatic Plates","type":"article-journal","volume":"44"},"uris":["http://www.mendeley.com/documents/?uuid=ff841253-0aa4-4f20-a690-182ae567abc9"]}],"mendeley":{"formattedCitation":"(Hardy et al., 1954)","plainTextFormattedCitation":"(Hardy et al., 1954)","previouslyFormattedCitation":"(Hardy et al., 1954)"},"properties":{"noteIndex":0},"schema":"https://github.com/citation-style-language/schema/raw/master/csl-citation.json"}</w:instrText>
            </w:r>
            <w:r w:rsidRPr="00157E90">
              <w:rPr>
                <w:rFonts w:ascii="Arial" w:hAnsi="Arial" w:cs="Arial"/>
                <w:sz w:val="18"/>
                <w:szCs w:val="18"/>
                <w:lang w:val="en-US"/>
              </w:rPr>
              <w:fldChar w:fldCharType="separate"/>
            </w:r>
            <w:r w:rsidR="005D22AB" w:rsidRPr="00157E90">
              <w:rPr>
                <w:rFonts w:ascii="Arial" w:hAnsi="Arial" w:cs="Arial"/>
                <w:sz w:val="18"/>
                <w:szCs w:val="18"/>
                <w:lang w:val="en-US"/>
              </w:rPr>
              <w:t>(Hardy et al., 1954)</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45B1DEA6" w14:textId="09C71E63"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1.00/0.98 </w:t>
            </w:r>
            <w:r w:rsidRPr="00157E90">
              <w:rPr>
                <w:rFonts w:ascii="Arial" w:hAnsi="Arial" w:cs="Arial"/>
                <w:sz w:val="18"/>
                <w:szCs w:val="18"/>
                <w:lang w:val="en-US"/>
              </w:rPr>
              <w:fldChar w:fldCharType="begin" w:fldLock="1"/>
            </w:r>
            <w:r w:rsidR="005F01B6" w:rsidRPr="00157E90">
              <w:rPr>
                <w:rFonts w:ascii="Arial" w:hAnsi="Arial" w:cs="Arial"/>
                <w:sz w:val="18"/>
                <w:szCs w:val="18"/>
                <w:lang w:val="en-US"/>
              </w:rPr>
              <w:instrText>ADDIN CSL_CITATION {"citationItems":[{"id":"ITEM-1","itemData":{"DOI":"10.1111/j.1444-0938.2006.00015.x","ISSN":"08164622","PMID":"16494609","abstract":"Aim: The Hardy-Rand-Rittler (HRR) pseudoisochromatic test for colour vision is highly regarded but has long been out of print. Richmond Products produced a new edition in 2002 that has been re-engineered to rectify shortcomings of the original test. This study is a validation trial of the new test using a larger sample and different criteria of evaluation from those of the previously reported validation study. Methods: The Richmond HRR test was given to 100 consecutively presenting patients with abnormal colour vision and 50 patients with normal colour vision. Colour vision was diagnosed using the Ishihara test, the Farnsworth D15 test, the Medmont C-100 test and the Type 1 Nagel anomaloscope. Results: The Richmond HRR test has a sensitivity of 1.00 and a specificity of 0.975 when the criterion for failing is two or more errors with the screening plates. Sensitivity and specificity become 0.98 and 1.0, respectively, when the fail criterion is three or more errors. Those with red-green colour vision deficiency were correctly classified as protan or deutan on 86 per cent of occasions, with 11 per cent unclassified and three per cent incorrectly classified. All those graded as having a 'mild' defect by the Richmond HRR test passed the Farnsworth D15 test and had an anomaloscope range of 30 or less. Not all dichromats were classified as 'strong', which was one of the goals of the re-engineering and those graded as 'medium' and 'strong' included dichromats and those who have a mild colour vision deficiency based on the results of the Farnsworth D15 test and the anomaloscope range. Conclusions: The test is as good as the Ishihara test for detection of the red-green colour vision deficiencies but unlike the Ishihara, also has plates for the detection of the tritan defects. Its classification of protans and deutans is useful but the Medmont C-100 test is better. Those graded as 'mild' by the Richmond HRR test can be regarded as having a mild colour vision defect but a 'medium' or 'strong' grading needs to be interpreted in conjunction with other tests such as the Farnsworth D15 and the anomaloscope. The Richmond HRR test could be the test of choice for clinicians who wish to use a single test for colour vision. © 2006 The Authors.","author":[{"dropping-particle":"","family":"Cole","given":"Barry L.","non-dropping-particle":"","parse-names":false,"suffix":""},{"dropping-particle":"","family":"Lian","given":"Ka Yee","non-dropping-particle":"","parse-names":false,"suffix":""},{"dropping-particle":"","family":"Lakkis","given":"Carol","non-dropping-particle":"","parse-names":false,"suffix":""}],"container-title":"Clinical and Experimental Optometry","id":"ITEM-1","issue":"2","issued":{"date-parts":[["2006","3","1"]]},"note":"doi: 10.1111/j.1444-0938.2006.00015.x","page":"73-80","publisher":"John Wiley &amp; Sons, Ltd","title":"The new Richmond HRR pseudoisochromatic test for colour vision is better than the Ishihara test","type":"article-journal","volume":"89"},"uris":["http://www.mendeley.com/documents/?uuid=a23273e2-13fa-458a-a888-09f470f6a6ff"]}],"mendeley":{"formattedCitation":"(Cole et al., 2006)","plainTextFormattedCitation":"(Cole et al., 2006)","previouslyFormattedCitation":"(Cole et al., 2006)"},"properties":{"noteIndex":0},"schema":"https://github.com/citation-style-language/schema/raw/master/csl-citation.json"}</w:instrText>
            </w:r>
            <w:r w:rsidRPr="00157E90">
              <w:rPr>
                <w:rFonts w:ascii="Arial" w:hAnsi="Arial" w:cs="Arial"/>
                <w:sz w:val="18"/>
                <w:szCs w:val="18"/>
                <w:lang w:val="en-US"/>
              </w:rPr>
              <w:fldChar w:fldCharType="separate"/>
            </w:r>
            <w:r w:rsidR="005D22AB" w:rsidRPr="00157E90">
              <w:rPr>
                <w:rFonts w:ascii="Arial" w:hAnsi="Arial" w:cs="Arial"/>
                <w:sz w:val="18"/>
                <w:szCs w:val="18"/>
                <w:lang w:val="en-US"/>
              </w:rPr>
              <w:t>(Cole et al., 2006)</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53B76922"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(CVD=100, CVN=50)</w:t>
            </w:r>
          </w:p>
          <w:p w14:paraId="3E492D98"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1866FDCF"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1559" w:type="dxa"/>
            <w:tcBorders>
              <w:left w:val="single" w:sz="4" w:space="0" w:color="FFFFFF" w:themeColor="background1"/>
              <w:right w:val="single" w:sz="4" w:space="0" w:color="FFFFFF" w:themeColor="background1"/>
            </w:tcBorders>
            <w:shd w:val="clear" w:color="auto" w:fill="auto"/>
          </w:tcPr>
          <w:p w14:paraId="42239CA8" w14:textId="211DF5BB"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3 years </w:t>
            </w:r>
            <w:r w:rsidRPr="00157E90">
              <w:rPr>
                <w:rFonts w:ascii="Arial" w:hAnsi="Arial" w:cs="Arial"/>
                <w:sz w:val="18"/>
                <w:szCs w:val="18"/>
                <w:lang w:val="en-US"/>
              </w:rPr>
              <w:fldChar w:fldCharType="begin" w:fldLock="1"/>
            </w:r>
            <w:r w:rsidR="00674D51" w:rsidRPr="00157E90">
              <w:rPr>
                <w:rFonts w:ascii="Arial" w:hAnsi="Arial" w:cs="Arial"/>
                <w:sz w:val="18"/>
                <w:szCs w:val="18"/>
                <w:lang w:val="en-US"/>
              </w:rPr>
              <w:instrText>ADDIN CSL_CITATION {"citationItems":[{"id":"ITEM-1","itemData":{"DOI":"10.1364/josa.44.000509","ISSN":"0030-3941","abstract":"A description is given of the H-R-R plates and evaluation of the test as a device (a) to separate those with defective color vision from those with normal color vision, (b) to classify the type of defect (qualitative diagnosis), and (c) to indicate the extent of the defect (quantitative diagnosis). For this evaluation 780 subjects were used, not selected on the basis of a statistical survey. The H-R-R plates are shown to be in complete agreement with the A.O. test (revised selection) in separating the subjects into two groups: 150 with defective and 630 with normal red-green vision. The test agrees remarkably well with the Nagel anomaloscope in classifying the subjects with defective red-green vision into deutan and protan types. It rates 23 percent of these subjects as having mild defect, 31 percent as having medium defect, and 46 percent as having strong defect. For the subjects with defective color vision, a detailed comparison is presented of the qualitative classifications into deutan and protan types yielded by the H-R-R plates with those made by the Nagel anomaloscope, the Tshihara test, and the dichotomous test. A further comparison is made for these subjects between the quantitative estimates of extent of defect by the H-R-R plates and performance on various aptitude tests which were designed to select those color-defective persons who can meet the color requirements of specific but different tasks. It is shown that the percentage who pass these tests significantly and consistently decreases as the severity of defect shown by the H-R-R plates increases. The practical importance of a simply administered, comprehensive test, such as is provided by the H-R-R plates, to vocational selection and guidance is discussed, and an example given of their application in the radio and television industry.","author":[{"dropping-particle":"","family":"Hardy","given":"LeGrand H.","non-dropping-particle":"","parse-names":false,"suffix":""},{"dropping-particle":"","family":"Rand","given":"Gertrude","non-dropping-particle":"","parse-names":false,"suffix":""},{"dropping-particle":"","family":"Rittler","given":"M. Catherine","non-dropping-particle":"","parse-names":false,"suffix":""}],"container-title":"Journal of the Optical Society of America","id":"ITEM-1","issue":"7","issued":{"date-parts":[["1954","7"]]},"page":"509-523","publisher":"OSA","title":"H–R–R Polychromatic Plates","type":"article-journal","volume":"44"},"uris":["http://www.mendeley.com/documents/?uuid=ff841253-0aa4-4f20-a690-182ae567abc9"]}],"mendeley":{"formattedCitation":"(Hardy et al., 1954)","plainTextFormattedCitation":"(Hardy et al., 1954)","previouslyFormattedCitation":"(Hardy et al., 1954)"},"properties":{"noteIndex":0},"schema":"https://github.com/citation-style-language/schema/raw/master/csl-citation.json"}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(Hardy et al., 1954)</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tc>
        <w:tc>
          <w:tcPr>
            <w:tcW w:w="2551" w:type="dxa"/>
            <w:tcBorders>
              <w:left w:val="single" w:sz="4" w:space="0" w:color="FFFFFF" w:themeColor="background1"/>
              <w:right w:val="single" w:sz="4" w:space="0" w:color="FFFFFF" w:themeColor="background1"/>
            </w:tcBorders>
            <w:shd w:val="clear" w:color="auto" w:fill="auto"/>
          </w:tcPr>
          <w:p w14:paraId="6B3DA42F" w14:textId="6B09F471"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 xml:space="preserve">§ </w:t>
            </w:r>
          </w:p>
          <w:p w14:paraId="36D08008" w14:textId="77777777" w:rsidR="00B809E7" w:rsidRPr="00157E90" w:rsidRDefault="00B809E7" w:rsidP="006A60F3">
            <w:pPr>
              <w:pStyle w:val="NoSpacing"/>
              <w:spacing w:line="240" w:lineRule="auto"/>
              <w:rPr>
                <w:rFonts w:ascii="Arial" w:hAnsi="Arial" w:cs="Arial"/>
                <w:sz w:val="18"/>
                <w:szCs w:val="18"/>
                <w:lang w:val="en-US"/>
              </w:rPr>
            </w:pPr>
            <w:r w:rsidRPr="00157E90">
              <w:rPr>
                <w:rFonts w:ascii="Arial" w:hAnsi="Arial" w:cs="Arial"/>
                <w:sz w:val="18"/>
                <w:szCs w:val="18"/>
                <w:lang w:val="en-US"/>
              </w:rPr>
              <w:t>Requires shape knowledge</w:t>
            </w:r>
          </w:p>
        </w:tc>
      </w:tr>
      <w:tr w:rsidR="00A720AE" w:rsidRPr="00157E90" w14:paraId="26D6682B"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7D8549F4" w14:textId="5190EDF8"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Standard Pseudo-</w:t>
            </w:r>
            <w:r w:rsidR="0074376F" w:rsidRPr="00157E90">
              <w:rPr>
                <w:rFonts w:ascii="Arial" w:hAnsi="Arial" w:cs="Arial"/>
                <w:sz w:val="18"/>
                <w:szCs w:val="18"/>
                <w:lang w:val="en-US"/>
              </w:rPr>
              <w:t>isochromatic Plates</w:t>
            </w:r>
            <w:r w:rsidRPr="00157E90">
              <w:rPr>
                <w:rFonts w:ascii="Arial" w:hAnsi="Arial" w:cs="Arial"/>
                <w:sz w:val="18"/>
                <w:szCs w:val="18"/>
                <w:lang w:val="en-US"/>
              </w:rPr>
              <w:t xml:space="preserve">  </w:t>
            </w:r>
          </w:p>
          <w:p w14:paraId="7D72FF5C" w14:textId="31766819" w:rsidR="00B809E7" w:rsidRPr="00157E90" w:rsidRDefault="008656E6"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5F01B6" w:rsidRPr="00157E90">
              <w:rPr>
                <w:rFonts w:ascii="Arial" w:hAnsi="Arial" w:cs="Arial"/>
                <w:sz w:val="18"/>
                <w:szCs w:val="18"/>
                <w:lang w:val="en-US"/>
              </w:rPr>
              <w:instrText>ADDIN CSL_CITATION {"citationItems":[{"id":"ITEM-1","itemData":{"ISSN":"03705579","abstract":"The set described consists of 6 plates. Four of the 6 plates are intended for screening-detection and the other two are for classification. For each group there are two kinds of plates composed of different sets of colors which would cover possible individual variations of the defective color vision. Numeral characters, as are currently used in digital instruments, are used as figures of the plates. The authors examined 369 proven color defective and 58 normal subjects with the plates. With the use of the 4 plates for screening-detection, all the color defective subjects, including those with minimal defects, were sharply separated from the normal subjects. Classification into protan and deutan was correctly made for 92% of the color defective subjects. Preliminary results are highly encouraging and the present new plates promise to serve as a useful method for the detection and the classification of congenital color vision defects.","author":[{"dropping-particle":"","family":"Tanabe","given":"S.","non-dropping-particle":"","parse-names":false,"suffix":""},{"dropping-particle":"","family":"Ichikawa","given":"H.","non-dropping-particle":"","parse-names":false,"suffix":""},{"dropping-particle":"","family":"Hukami","given":"K.","non-dropping-particle":"","parse-names":false,"suffix":""},{"dropping-particle":"","family":"Kawakami","given":"G.","non-dropping-particle":"","parse-names":false,"suffix":""}],"container-title":"Japanese Journal of Clinical Ophthalmology","id":"ITEM-1","issue":"3","issued":{"date-parts":[["1978","1","1"]]},"page":"479-487","title":"New pseudoisochromatic plates for congenital color vision defects","type":"article-journal","volume":"32"},"uris":["http://www.mendeley.com/documents/?uuid=43faca27-1e8e-4c77-a9b6-83ac27ddedd9"]},{"id":"ITEM-2","itemData":{"DOI":"10.1111/j.1444-0938.1979.tb02331.x","author":[{"dropping-particle":"","family":"Ichikawa","given":"H","non-dropping-particle":"","parse-names":false,"suffix":""},{"dropping-particle":"","family":"Hukami","given":"K","non-dropping-particle":"","parse-names":false,"suffix":""},{"dropping-particle":"","family":"Tanabe","given":"S","non-dropping-particle":"","parse-names":false,"suffix":""},{"dropping-particle":"","family":"Kawakami","given":"G","non-dropping-particle":"","parse-names":false,"suffix":""}],"container-title":"Clinical and Experimental Optometry","id":"ITEM-2","issued":{"date-parts":[["1979","8","1"]]},"page":"362","title":"Standard Pseudoisochromatic Plates Part 2","type":"article-journal","volume":"62"},"uris":["http://www.mendeley.com/documents/?uuid=7a9acbd1-c8b4-4190-a9a1-f21f88875bf5"]}],"mendeley":{"formattedCitation":"(Ichikawa et al., 1979; Tanabe et al., 1978)","plainTextFormattedCitation":"(Ichikawa et al., 1979; Tanabe et al., 1978)","previouslyFormattedCitation":"(Ichikawa et al., 1979; Tanabe et al., 1978)"},"properties":{"noteIndex":0},"schema":"https://github.com/citation-style-language/schema/raw/master/csl-citation.json"}</w:instrText>
            </w:r>
            <w:r w:rsidRPr="00157E90">
              <w:rPr>
                <w:rFonts w:ascii="Arial" w:hAnsi="Arial" w:cs="Arial"/>
                <w:sz w:val="18"/>
                <w:szCs w:val="18"/>
                <w:lang w:val="en-US"/>
              </w:rPr>
              <w:fldChar w:fldCharType="separate"/>
            </w:r>
            <w:r w:rsidR="005D22AB" w:rsidRPr="00157E90">
              <w:rPr>
                <w:rFonts w:ascii="Arial" w:hAnsi="Arial" w:cs="Arial"/>
                <w:sz w:val="18"/>
                <w:szCs w:val="18"/>
                <w:lang w:val="en-US"/>
              </w:rPr>
              <w:t xml:space="preserve">(Ichikawa et al., 1979; Tanabe et al., </w:t>
            </w:r>
            <w:r w:rsidR="005D22AB" w:rsidRPr="00157E90">
              <w:rPr>
                <w:rFonts w:ascii="Arial" w:hAnsi="Arial" w:cs="Arial"/>
                <w:sz w:val="18"/>
                <w:szCs w:val="18"/>
                <w:lang w:val="en-US"/>
              </w:rPr>
              <w:lastRenderedPageBreak/>
              <w:t>1978)</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3FBB7803" w14:textId="2B75E2CF"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lastRenderedPageBreak/>
              <w:t>0.67/1.00</w:t>
            </w:r>
            <w:r w:rsidR="008656E6" w:rsidRPr="00157E90">
              <w:rPr>
                <w:rFonts w:ascii="Arial" w:hAnsi="Arial" w:cs="Arial"/>
                <w:sz w:val="18"/>
                <w:szCs w:val="18"/>
                <w:lang w:val="en-US"/>
              </w:rPr>
              <w:t xml:space="preserve"> </w:t>
            </w:r>
            <w:r w:rsidR="008656E6" w:rsidRPr="00157E90">
              <w:rPr>
                <w:rFonts w:ascii="Arial" w:hAnsi="Arial" w:cs="Arial"/>
                <w:sz w:val="18"/>
                <w:szCs w:val="18"/>
                <w:lang w:val="en-US"/>
              </w:rPr>
              <w:fldChar w:fldCharType="begin" w:fldLock="1"/>
            </w:r>
            <w:r w:rsidR="00EB57CF" w:rsidRPr="00157E90">
              <w:rPr>
                <w:rFonts w:ascii="Arial" w:hAnsi="Arial" w:cs="Arial"/>
                <w:sz w:val="18"/>
                <w:szCs w:val="18"/>
                <w:lang w:val="en-US"/>
              </w:rPr>
              <w:instrText>ADDIN CSL_CITATION {"citationItems":[{"id":"ITEM-1","itemData":{"DOI":"10.1007/978-94-009-4275-2_18","ISBN":"978-94-009-4275-2","abstract":"To test the performance of the new pseudoisochromatic plates, SPP 1, in a screening situation, 226 male trade school students, aged 16 to 36 years, were examined with SPP 1 (1978), Ishihara (1983), and Boström-Kugelberg (1972) plates. Fourteen red-green defectives were found with SPP 1 plates, one more (total of 15) with Ishihara plates, and four additional ones (total of 19) with Boström-Kugelberg plates. Examined by the Nagel anomaloscope, there were 21 red-green defectives altogether in the group.","author":[{"dropping-particle":"","family":"Mäntyjärvi","given":"Maija","non-dropping-particle":"","parse-names":false,"suffix":""}],"container-title":"Colour Vision Deficiencies VIII. Documenta Ophthalmologica Proceedings Series","editor":[{"dropping-particle":"","family":"Verriest","given":"G","non-dropping-particle":"","parse-names":false,"suffix":""}],"id":"ITEM-1","issued":{"date-parts":[["1987"]]},"page":"125-131","publisher":"Springer","publisher-place":"Dordrecht","title":"An Evaluation of the Standard Pseudoisochromatic Plates (SPP 1) in Clinical Use","type":"chapter"},"uris":["http://www.mendeley.com/documents/?uuid=1b760be5-3ffd-40e8-a9bc-c50481a46763"]}],"mendeley":{"formattedCitation":"(Mäntyjärvi, 1987)","plainTextFormattedCitation":"(Mäntyjärvi, 1987)","previouslyFormattedCitation":"(Mäntyjärvi, 1987)"},"properties":{"noteIndex":0},"schema":"https://github.com/citation-style-language/schema/raw/master/csl-citation.json"}</w:instrText>
            </w:r>
            <w:r w:rsidR="008656E6" w:rsidRPr="00157E90">
              <w:rPr>
                <w:rFonts w:ascii="Arial" w:hAnsi="Arial" w:cs="Arial"/>
                <w:sz w:val="18"/>
                <w:szCs w:val="18"/>
                <w:lang w:val="en-US"/>
              </w:rPr>
              <w:fldChar w:fldCharType="separate"/>
            </w:r>
            <w:r w:rsidR="008656E6" w:rsidRPr="00157E90">
              <w:rPr>
                <w:rFonts w:ascii="Arial" w:hAnsi="Arial" w:cs="Arial"/>
                <w:sz w:val="18"/>
                <w:szCs w:val="18"/>
                <w:lang w:val="en-US"/>
              </w:rPr>
              <w:t>(Mäntyjärvi, 1987)</w:t>
            </w:r>
            <w:r w:rsidR="008656E6" w:rsidRPr="00157E90">
              <w:rPr>
                <w:rFonts w:ascii="Arial" w:hAnsi="Arial" w:cs="Arial"/>
                <w:sz w:val="18"/>
                <w:szCs w:val="18"/>
                <w:lang w:val="en-US"/>
              </w:rPr>
              <w:fldChar w:fldCharType="end"/>
            </w:r>
          </w:p>
          <w:p w14:paraId="15F7F438"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(CVD=21, CVN=205)</w:t>
            </w:r>
          </w:p>
          <w:p w14:paraId="6460B5C0"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6D29636F" w14:textId="56D0A20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6</w:t>
            </w:r>
            <w:r w:rsidR="00B32BE1" w:rsidRPr="00157E90">
              <w:rPr>
                <w:rFonts w:ascii="Arial" w:hAnsi="Arial" w:cs="Arial"/>
                <w:sz w:val="18"/>
                <w:szCs w:val="18"/>
                <w:lang w:val="en-US"/>
              </w:rPr>
              <w:t>–</w:t>
            </w:r>
            <w:r w:rsidRPr="00157E90">
              <w:rPr>
                <w:rFonts w:ascii="Arial" w:hAnsi="Arial" w:cs="Arial"/>
                <w:sz w:val="18"/>
                <w:szCs w:val="18"/>
                <w:lang w:val="en-US"/>
              </w:rPr>
              <w:t>9 years</w:t>
            </w:r>
          </w:p>
          <w:p w14:paraId="67D88D9C"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(CVD=23, CVN=292)</w:t>
            </w:r>
          </w:p>
          <w:p w14:paraId="79BD9646" w14:textId="497015ED"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0.87/0.99 </w:t>
            </w:r>
            <w:r w:rsidR="008656E6" w:rsidRPr="00157E90">
              <w:rPr>
                <w:rFonts w:ascii="Arial" w:hAnsi="Arial" w:cs="Arial"/>
                <w:sz w:val="18"/>
                <w:szCs w:val="18"/>
                <w:lang w:val="en-US"/>
              </w:rPr>
              <w:fldChar w:fldCharType="begin" w:fldLock="1"/>
            </w:r>
            <w:r w:rsidR="00F37517" w:rsidRPr="00157E90">
              <w:rPr>
                <w:rFonts w:ascii="Arial" w:hAnsi="Arial" w:cs="Arial"/>
                <w:sz w:val="18"/>
                <w:szCs w:val="18"/>
                <w:lang w:val="en-US"/>
              </w:rPr>
              <w:instrText>ADDIN CSL_CITATION {"citationItems":[{"id":"ITEM-1","itemData":{"DOI":"10.1097/00006324-198703000-00008","ISSN":"10405488","PMID":"3578487","abstract":"The Standard Pseudoisochromatic Plates (SPP) color vision test was compared to the Ishihara color vision test with respect to screening validity, digit confusion errors, and individual plate efficiency. Results from 315 1st and 3rd grade males confirmed previous reports that the SPP is an effective screening test. Moreover, the SPP test was superior to the Ishihara test with respect to digit confusion errors. Color normal children made about 5 to 7 times as many errors on the Ishihara test as on the SPP. Screening inefficiency values of individual plates of both tests were calculated. A high inefficiency value of a SPP plate was usually caused by its inability to detect color defective subjects. © 1987 American Academy of Optometry.","author":[{"dropping-particle":"","family":"Haskett","given":"Michael K.","non-dropping-particle":"","parse-names":false,"suffix":""},{"dropping-particle":"","family":"Hovis","given":"Jeffery K.","non-dropping-particle":"","parse-names":false,"suffix":""}],"container-title":"Optometry and Vision Science","id":"ITEM-1","issue":"3","issued":{"date-parts":[["1987","4","1"]]},"page":"211-216","title":"Comparison of the standard pseudoisochromatic plates to the Ishihara color vision test","type":"article-journal","volume":"64"},"uris":["http://www.mendeley.com/documents/?uuid=e55dd1c7-8431-4610-8702-df7c96096945"]}],"mendeley":{"formattedCitation":"(Haskett &amp; Hovis, 1987)","plainTextFormattedCitation":"(Haskett &amp; Hovis, 1987)","previouslyFormattedCitation":"(Haskett &amp; Hovis, 1987)"},"properties":{"noteIndex":0},"schema":"https://github.com/citation-style-language/schema/raw/master/csl-citation.json"}</w:instrText>
            </w:r>
            <w:r w:rsidR="008656E6" w:rsidRPr="00157E90">
              <w:rPr>
                <w:rFonts w:ascii="Arial" w:hAnsi="Arial" w:cs="Arial"/>
                <w:sz w:val="18"/>
                <w:szCs w:val="18"/>
                <w:lang w:val="en-US"/>
              </w:rPr>
              <w:fldChar w:fldCharType="separate"/>
            </w:r>
            <w:r w:rsidR="008656E6" w:rsidRPr="00157E90">
              <w:rPr>
                <w:rFonts w:ascii="Arial" w:hAnsi="Arial" w:cs="Arial"/>
                <w:sz w:val="18"/>
                <w:szCs w:val="18"/>
                <w:lang w:val="en-US"/>
              </w:rPr>
              <w:t>(Haskett &amp; Hovis, 1987)</w:t>
            </w:r>
            <w:r w:rsidR="008656E6" w:rsidRPr="00157E90">
              <w:rPr>
                <w:rFonts w:ascii="Arial" w:hAnsi="Arial" w:cs="Arial"/>
                <w:sz w:val="18"/>
                <w:szCs w:val="18"/>
                <w:lang w:val="en-US"/>
              </w:rPr>
              <w:fldChar w:fldCharType="end"/>
            </w:r>
          </w:p>
          <w:p w14:paraId="793AFE40" w14:textId="47BA5CBB" w:rsidR="000A286E" w:rsidRPr="00157E90" w:rsidRDefault="00B809E7" w:rsidP="00B33D1D">
            <w:pPr>
              <w:spacing w:line="240" w:lineRule="auto"/>
              <w:jc w:val="center"/>
              <w:rPr>
                <w:rFonts w:ascii="Arial" w:hAnsi="Arial" w:cs="Arial"/>
                <w:sz w:val="18"/>
                <w:szCs w:val="18"/>
                <w:lang w:val="en-US"/>
              </w:rPr>
            </w:pPr>
            <w:r w:rsidRPr="00157E90">
              <w:rPr>
                <w:rFonts w:ascii="Arial" w:hAnsi="Arial" w:cs="Arial"/>
                <w:sz w:val="18"/>
                <w:szCs w:val="18"/>
                <w:lang w:val="en-US"/>
              </w:rPr>
              <w:lastRenderedPageBreak/>
              <w:t>Ishihara</w:t>
            </w:r>
            <w:r w:rsidR="000A286E" w:rsidRPr="00157E90">
              <w:rPr>
                <w:rFonts w:ascii="Arial" w:hAnsi="Arial" w:cs="Arial"/>
                <w:sz w:val="18"/>
                <w:szCs w:val="18"/>
                <w:lang w:val="en-US"/>
              </w:rPr>
              <w:t xml:space="preserve"> 1974 edition</w:t>
            </w:r>
            <w:r w:rsidR="00B33D1D" w:rsidRPr="00157E90">
              <w:rPr>
                <w:rFonts w:ascii="Arial" w:hAnsi="Arial" w:cs="Arial"/>
                <w:sz w:val="18"/>
                <w:szCs w:val="18"/>
                <w:lang w:val="en-US"/>
              </w:rPr>
              <w:t xml:space="preserve"> </w:t>
            </w:r>
            <w:r w:rsidR="000A286E" w:rsidRPr="00157E90">
              <w:rPr>
                <w:rFonts w:ascii="Arial" w:hAnsi="Arial" w:cs="Arial"/>
                <w:sz w:val="18"/>
                <w:szCs w:val="18"/>
                <w:lang w:val="en-US"/>
              </w:rPr>
              <w:fldChar w:fldCharType="begin" w:fldLock="1"/>
            </w:r>
            <w:r w:rsidR="00B33D1D" w:rsidRPr="00157E90">
              <w:rPr>
                <w:rFonts w:ascii="Arial" w:hAnsi="Arial" w:cs="Arial"/>
                <w:sz w:val="18"/>
                <w:szCs w:val="18"/>
                <w:lang w:val="en-US"/>
              </w:rPr>
              <w:instrText>ADDIN CSL_CITATION {"citationItems":[{"id":"ITEM-1","itemData":{"author":[{"dropping-particle":"","family":"Ishihara","given":"S.","non-dropping-particle":"","parse-names":false,"suffix":""}],"id":"ITEM-1","issued":{"date-parts":[["1974"]]},"publisher":"Kanehara Shuppan","publisher-place":"Tokyo","title":"Tests for Colour-Blindness","type":"book"},"uris":["http://www.mendeley.com/documents/?uuid=0c5dbd91-99d5-4c72-a09f-0ba295352b32"]}],"mendeley":{"formattedCitation":"(Ishihara, 1974)","plainTextFormattedCitation":"(Ishihara, 1974)","previouslyFormattedCitation":"(Ishihara, 1974)"},"properties":{"noteIndex":0},"schema":"https://github.com/citation-style-language/schema/raw/master/csl-citation.json"}</w:instrText>
            </w:r>
            <w:r w:rsidR="000A286E" w:rsidRPr="00157E90">
              <w:rPr>
                <w:rFonts w:ascii="Arial" w:hAnsi="Arial" w:cs="Arial"/>
                <w:sz w:val="18"/>
                <w:szCs w:val="18"/>
                <w:lang w:val="en-US"/>
              </w:rPr>
              <w:fldChar w:fldCharType="separate"/>
            </w:r>
            <w:r w:rsidR="000A286E" w:rsidRPr="00157E90">
              <w:rPr>
                <w:rFonts w:ascii="Arial" w:hAnsi="Arial" w:cs="Arial"/>
                <w:sz w:val="18"/>
                <w:szCs w:val="18"/>
                <w:lang w:val="en-US"/>
              </w:rPr>
              <w:t>(Ishihara, 1974)</w:t>
            </w:r>
            <w:r w:rsidR="000A286E" w:rsidRPr="00157E90">
              <w:rPr>
                <w:rFonts w:ascii="Arial" w:hAnsi="Arial" w:cs="Arial"/>
                <w:sz w:val="18"/>
                <w:szCs w:val="18"/>
                <w:lang w:val="en-US"/>
              </w:rPr>
              <w:fldChar w:fldCharType="end"/>
            </w:r>
          </w:p>
        </w:tc>
        <w:tc>
          <w:tcPr>
            <w:tcW w:w="1559" w:type="dxa"/>
            <w:tcBorders>
              <w:left w:val="single" w:sz="4" w:space="0" w:color="FFFFFF" w:themeColor="background1"/>
              <w:right w:val="single" w:sz="4" w:space="0" w:color="FFFFFF" w:themeColor="background1"/>
            </w:tcBorders>
            <w:shd w:val="clear" w:color="auto" w:fill="auto"/>
          </w:tcPr>
          <w:p w14:paraId="6738E325"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lastRenderedPageBreak/>
              <w:t>N/A</w:t>
            </w:r>
          </w:p>
        </w:tc>
        <w:tc>
          <w:tcPr>
            <w:tcW w:w="2551" w:type="dxa"/>
            <w:tcBorders>
              <w:left w:val="single" w:sz="4" w:space="0" w:color="FFFFFF" w:themeColor="background1"/>
              <w:right w:val="single" w:sz="4" w:space="0" w:color="FFFFFF" w:themeColor="background1"/>
            </w:tcBorders>
            <w:shd w:val="clear" w:color="auto" w:fill="auto"/>
          </w:tcPr>
          <w:p w14:paraId="0C6EF310" w14:textId="2932919B"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176F6084" w14:textId="77777777" w:rsidR="00B809E7" w:rsidRPr="00157E90" w:rsidRDefault="00B809E7" w:rsidP="006A60F3">
            <w:pPr>
              <w:pStyle w:val="NoSpacing"/>
              <w:spacing w:line="240" w:lineRule="auto"/>
              <w:rPr>
                <w:rFonts w:ascii="Arial" w:hAnsi="Arial" w:cs="Arial"/>
                <w:sz w:val="18"/>
                <w:szCs w:val="18"/>
                <w:lang w:val="en-US"/>
              </w:rPr>
            </w:pPr>
            <w:r w:rsidRPr="00157E90">
              <w:rPr>
                <w:rFonts w:ascii="Arial" w:hAnsi="Arial" w:cs="Arial"/>
                <w:sz w:val="18"/>
                <w:szCs w:val="18"/>
                <w:lang w:val="en-US"/>
              </w:rPr>
              <w:t>Requires number knowledge</w:t>
            </w:r>
          </w:p>
        </w:tc>
      </w:tr>
      <w:tr w:rsidR="00A720AE" w:rsidRPr="00157E90" w14:paraId="3B5EC05E" w14:textId="77777777" w:rsidTr="006A60F3">
        <w:trPr>
          <w:trHeight w:val="918"/>
          <w:jc w:val="center"/>
        </w:trPr>
        <w:tc>
          <w:tcPr>
            <w:tcW w:w="1838" w:type="dxa"/>
            <w:tcBorders>
              <w:left w:val="single" w:sz="4" w:space="0" w:color="FFFFFF" w:themeColor="background1"/>
              <w:right w:val="single" w:sz="4" w:space="0" w:color="FFFFFF" w:themeColor="background1"/>
            </w:tcBorders>
            <w:shd w:val="clear" w:color="auto" w:fill="auto"/>
          </w:tcPr>
          <w:p w14:paraId="0A6706A7"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lastRenderedPageBreak/>
              <w:t>Velhagen</w:t>
            </w:r>
            <w:proofErr w:type="spellEnd"/>
            <w:r w:rsidRPr="00157E90">
              <w:rPr>
                <w:rFonts w:ascii="Arial" w:hAnsi="Arial" w:cs="Arial"/>
                <w:sz w:val="18"/>
                <w:szCs w:val="18"/>
                <w:lang w:val="en-US"/>
              </w:rPr>
              <w:t xml:space="preserve"> </w:t>
            </w:r>
            <w:proofErr w:type="spellStart"/>
            <w:r w:rsidRPr="00157E90">
              <w:rPr>
                <w:rFonts w:ascii="Arial" w:hAnsi="Arial" w:cs="Arial"/>
                <w:sz w:val="18"/>
                <w:szCs w:val="18"/>
                <w:lang w:val="en-US"/>
              </w:rPr>
              <w:t>Pflügertrident</w:t>
            </w:r>
            <w:proofErr w:type="spellEnd"/>
            <w:r w:rsidRPr="00157E90">
              <w:rPr>
                <w:rFonts w:ascii="Arial" w:hAnsi="Arial" w:cs="Arial"/>
                <w:sz w:val="18"/>
                <w:szCs w:val="18"/>
                <w:lang w:val="en-US"/>
              </w:rPr>
              <w:t xml:space="preserve"> Test</w:t>
            </w:r>
          </w:p>
          <w:p w14:paraId="44223738" w14:textId="749D13A0" w:rsidR="00B809E7" w:rsidRPr="00157E90" w:rsidRDefault="008656E6"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1819A9" w:rsidRPr="00157E90">
              <w:rPr>
                <w:rFonts w:ascii="Arial" w:hAnsi="Arial" w:cs="Arial"/>
                <w:sz w:val="18"/>
                <w:szCs w:val="18"/>
                <w:lang w:val="en-US"/>
              </w:rPr>
              <w:instrText>ADDIN CSL_CITATION {"citationItems":[{"id":"ITEM-1","itemData":{"author":[{"dropping-particle":"","family":"Velhagen","given":"K.","non-dropping-particle":"","parse-names":false,"suffix":""}],"id":"ITEM-1","issued":{"date-parts":[["1980"]]},"publisher":"Thieme, Leipzig","publisher-place":"Thieme, Leipzig","title":"Pflügerhaken-Tafeln zur Prüfung des Farbensinnes","type":"book"},"uris":["http://www.mendeley.com/documents/?uuid=1f00e8c6-dddf-4a7c-8888-87581b8330ba"]}],"mendeley":{"formattedCitation":"(Velhagen, 1980)","plainTextFormattedCitation":"(Velhagen, 1980)","previouslyFormattedCitation":"(Velhagen, 1980)"},"properties":{"noteIndex":0},"schema":"https://github.com/citation-style-language/schema/raw/master/csl-citation.json"}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(Velhagen, 1980)</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6FAD3A3B" w14:textId="102B766D"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0.61/1.00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{"citationItems":[{"id":"ITEM-1","itemData":{"DOI":"10.1007/bf00170546","ISSN":"0721-832X","abstract":"Red-green colour vision defects were screened in a group of 425 trade school students using Velhagen Pflügertrident pseudoisochromatic plates. Thereafter, the students were examined with the Nagel anomaloscope. Of the 425 students, 31 (7.3%) were found to be colour defectives. Deuteranomalous defects were found in 4.9% of cases; deuteranopic defects, in 0.2%; and protanomalous defects, in 2.1%. There were no protanopic 1 students in the study group. The Velhagen plates found 19 of the 31 defectives (sensitivity, 61.3%); none of the students with normal colour vision were suspected of being colour defectives (specificity, 100%). The sensitivity of the Velhagen plates is not as high as that of other pseudoisochromatic tests. However, the Velhagen Pflugertrident test is easy to use when screening of preschool-aged children is needed.","author":[{"dropping-particle":"","family":"Mäntyjärvi","given":"Maija","non-dropping-particle":"","parse-names":false,"suffix":""}],"container-title":"Graefe's Archive for Clinical and Experimental Ophthalmology","id":"ITEM-1","issue":"2","issued":{"date-parts":[["1991"]]},"page":"145-146","title":"Velhagen Pflügertrident pseudoisochromatic plates in screening congenital red-green vision defects","type":"article-journal","volume":"229"},"uris":["http://www.mendeley.com/documents/?uuid=abae03cb-1ea1-4987-bdbb-077ea30928ae"]}],"mendeley":{"formattedCitation":"(Mäntyjärvi, 1991b)","plainTextFormattedCitation":"(Mäntyjärvi, 1991b)","previouslyFormattedCitation":"(Mäntyjärvi, 1991b)"},"properties":{"noteIndex":0},"schema":"https://github.com/citation-style-language/schema/raw/master/csl-citation.json"}</w:instrText>
            </w:r>
            <w:r w:rsidRPr="00157E90">
              <w:rPr>
                <w:rFonts w:ascii="Arial" w:hAnsi="Arial" w:cs="Arial"/>
                <w:sz w:val="18"/>
                <w:szCs w:val="18"/>
                <w:lang w:val="en-US"/>
              </w:rPr>
              <w:fldChar w:fldCharType="separate"/>
            </w:r>
            <w:r w:rsidR="000716CF" w:rsidRPr="00157E90">
              <w:rPr>
                <w:rFonts w:ascii="Arial" w:hAnsi="Arial" w:cs="Arial"/>
                <w:sz w:val="18"/>
                <w:szCs w:val="18"/>
                <w:lang w:val="en-US"/>
              </w:rPr>
              <w:t>(Mäntyjärvi, 1991b)</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639FCFEF"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(CVD=31, CVN=394)</w:t>
            </w:r>
          </w:p>
          <w:p w14:paraId="04F8F040"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5D25745B" w14:textId="22C79ECA"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71% of 2</w:t>
            </w:r>
            <w:r w:rsidR="00B32BE1" w:rsidRPr="00157E90">
              <w:rPr>
                <w:rFonts w:ascii="Arial" w:hAnsi="Arial" w:cs="Arial"/>
                <w:sz w:val="18"/>
                <w:szCs w:val="18"/>
                <w:lang w:val="en-US"/>
              </w:rPr>
              <w:t>–</w:t>
            </w:r>
            <w:r w:rsidRPr="00157E90">
              <w:rPr>
                <w:rFonts w:ascii="Arial" w:hAnsi="Arial" w:cs="Arial"/>
                <w:sz w:val="18"/>
                <w:szCs w:val="18"/>
                <w:lang w:val="en-US"/>
              </w:rPr>
              <w:t>6</w:t>
            </w:r>
            <w:r w:rsidR="00B64E69" w:rsidRPr="00157E90">
              <w:rPr>
                <w:rFonts w:ascii="Arial" w:hAnsi="Arial" w:cs="Arial"/>
                <w:sz w:val="18"/>
                <w:szCs w:val="18"/>
                <w:lang w:val="en-US"/>
              </w:rPr>
              <w:t>-</w:t>
            </w:r>
            <w:r w:rsidRPr="00157E90">
              <w:rPr>
                <w:rFonts w:ascii="Arial" w:hAnsi="Arial" w:cs="Arial"/>
                <w:sz w:val="18"/>
                <w:szCs w:val="18"/>
                <w:lang w:val="en-US"/>
              </w:rPr>
              <w:t>year</w:t>
            </w:r>
            <w:r w:rsidR="00B64E69" w:rsidRPr="00157E90">
              <w:rPr>
                <w:rFonts w:ascii="Arial" w:hAnsi="Arial" w:cs="Arial"/>
                <w:sz w:val="18"/>
                <w:szCs w:val="18"/>
                <w:lang w:val="en-US"/>
              </w:rPr>
              <w:t>-</w:t>
            </w:r>
            <w:r w:rsidRPr="00157E90">
              <w:rPr>
                <w:rFonts w:ascii="Arial" w:hAnsi="Arial" w:cs="Arial"/>
                <w:sz w:val="18"/>
                <w:szCs w:val="18"/>
                <w:lang w:val="en-US"/>
              </w:rPr>
              <w:t xml:space="preserve">old children successfully completed the test </w:t>
            </w:r>
            <w:r w:rsidR="008656E6" w:rsidRPr="00157E90">
              <w:rPr>
                <w:rFonts w:ascii="Arial" w:hAnsi="Arial" w:cs="Arial"/>
                <w:sz w:val="18"/>
                <w:szCs w:val="18"/>
                <w:lang w:val="en-US"/>
              </w:rPr>
              <w:fldChar w:fldCharType="begin" w:fldLock="1"/>
            </w:r>
            <w:r w:rsidR="001E1CB8" w:rsidRPr="00157E90">
              <w:rPr>
                <w:rFonts w:ascii="Arial" w:hAnsi="Arial" w:cs="Arial"/>
                <w:sz w:val="18"/>
                <w:szCs w:val="18"/>
                <w:lang w:val="en-US"/>
              </w:rPr>
              <w:instrText>ADDIN CSL_CITATION {"citationItems":[{"id":"ITEM-1","itemData":{"DOI":"10.1159/000310196","ISSN":"0030-3755","abstract":"84 children aged from 2 to 6 years were tested with three different pseudo-isochromatic plates: Velhagen Pfl&amp;#220;gertrident test, Lanthony Tritan Album and Ishihara test. The Velhagen test was correctly interpreted by all of the 6- and 5-year olds, by 80% of the 4-year olds and by 20% of the 3-year olds. The Lanthony Tritan Album was well performed by all of the 6-, 5-and 4-year olds, and by 80% of the 3-year olds. The Ishihara test was acceptably performed by all of the 6- and 5-year olds, by 90% of the 4-year olds and by 40% of the 3-year olds. None of the 2-year olds could understand any of these tests. In the Ishihara test, the winding lines in the plates No. 30 and 32 were difficult for children; the incomplete interpreting of them must be accepted for a correct answer.","author":[{"dropping-particle":"","family":"Mäntyjärvi","given":"Maija","non-dropping-particle":"","parse-names":false,"suffix":""}],"container-title":"Ophthalmologica","id":"ITEM-1","issue":"3","issued":{"date-parts":[["1991"]]},"page":"147-151","title":"Colour Vision Testing in Pre-School-Aged Children","type":"article-journal","volume":"202"},"uris":["http://www.mendeley.com/documents/?uuid=e66a6068-6e60-4dd4-bdd9-fa0c89063a77"]}],"mendeley":{"formattedCitation":"(Mäntyjärvi, 1991a)","plainTextFormattedCitation":"(Mäntyjärvi, 1991a)","previouslyFormattedCitation":"(Mäntyjärvi, 1991a)"},"properties":{"noteIndex":0},"schema":"https://github.com/citation-style-language/schema/raw/master/csl-citation.json"}</w:instrText>
            </w:r>
            <w:r w:rsidR="008656E6" w:rsidRPr="00157E90">
              <w:rPr>
                <w:rFonts w:ascii="Arial" w:hAnsi="Arial" w:cs="Arial"/>
                <w:sz w:val="18"/>
                <w:szCs w:val="18"/>
                <w:lang w:val="en-US"/>
              </w:rPr>
              <w:fldChar w:fldCharType="separate"/>
            </w:r>
            <w:r w:rsidR="000716CF" w:rsidRPr="00157E90">
              <w:rPr>
                <w:rFonts w:ascii="Arial" w:hAnsi="Arial" w:cs="Arial"/>
                <w:sz w:val="18"/>
                <w:szCs w:val="18"/>
                <w:lang w:val="en-US"/>
              </w:rPr>
              <w:t>(Mäntyjärvi, 1991a)</w:t>
            </w:r>
            <w:r w:rsidR="008656E6" w:rsidRPr="00157E90">
              <w:rPr>
                <w:rFonts w:ascii="Arial" w:hAnsi="Arial" w:cs="Arial"/>
                <w:sz w:val="18"/>
                <w:szCs w:val="18"/>
                <w:lang w:val="en-US"/>
              </w:rPr>
              <w:fldChar w:fldCharType="end"/>
            </w:r>
          </w:p>
          <w:p w14:paraId="00EDAE3D" w14:textId="77777777" w:rsidR="00B809E7" w:rsidRPr="00157E90" w:rsidRDefault="00B809E7" w:rsidP="006A60F3">
            <w:pPr>
              <w:spacing w:line="240" w:lineRule="auto"/>
              <w:jc w:val="center"/>
              <w:rPr>
                <w:rFonts w:ascii="Arial" w:hAnsi="Arial" w:cs="Arial"/>
                <w:sz w:val="18"/>
                <w:szCs w:val="18"/>
                <w:lang w:val="en-US"/>
              </w:rPr>
            </w:pPr>
          </w:p>
        </w:tc>
        <w:tc>
          <w:tcPr>
            <w:tcW w:w="1559" w:type="dxa"/>
            <w:tcBorders>
              <w:left w:val="single" w:sz="4" w:space="0" w:color="FFFFFF" w:themeColor="background1"/>
              <w:right w:val="single" w:sz="4" w:space="0" w:color="FFFFFF" w:themeColor="background1"/>
            </w:tcBorders>
            <w:shd w:val="clear" w:color="auto" w:fill="auto"/>
          </w:tcPr>
          <w:p w14:paraId="39421235" w14:textId="0F42F64B"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4 years </w:t>
            </w:r>
            <w:r w:rsidR="00D00BA2" w:rsidRPr="00157E90">
              <w:rPr>
                <w:rFonts w:ascii="Arial" w:hAnsi="Arial" w:cs="Arial"/>
                <w:sz w:val="18"/>
                <w:szCs w:val="18"/>
                <w:lang w:val="en-US"/>
              </w:rPr>
              <w:fldChar w:fldCharType="begin" w:fldLock="1"/>
            </w:r>
            <w:r w:rsidR="005D22AB" w:rsidRPr="00157E90">
              <w:rPr>
                <w:rFonts w:ascii="Arial" w:hAnsi="Arial" w:cs="Arial"/>
                <w:sz w:val="18"/>
                <w:szCs w:val="18"/>
                <w:lang w:val="en-US"/>
              </w:rPr>
              <w:instrText>ADDIN CSL_CITATION {"citationItems":[{"id":"ITEM-1","itemData":{"DOI":"10.1111/j.1475-1313.1993.tb00489.x","ISSN":"14751313","PMID":"8278185","abstract":"We examined 513 children (258 boys and 255 girls), between 3 and It years of age, with three pseudoisochromatic tests which involve different visual tasks. These were a selection of numeral designs from the Ishihara test, the Ishihara test for Unlettered Persons and the Velhagen Pflügertrident test. Eighteen children were found to be colour deficient. The symbol designs of the Unlettered Persons test were found lo be the quickest and most effective method for examining children under 7 years of age. After 7 years of age the symbol designs of the Unlettered lest and the numeral designs of Ishihara lest were equally effective. The preferred numeral designs for screening children with the Ishihara plates are listed. Verbal identification always produced the most accurate results, Drawing over the figures or selecting replicas increased the viewing lime and assisted children with normal colour vision lo see both figures in transformation designs, especially pathway designs. The Velhagen Pflügertrident test was found to be unreliable for colour vision screening and younger children had difficulty performing the figure matching task. Copyright © 1993, Wiley Blackwell. All rights reserved","author":[{"dropping-particle":"","family":"Birch","given":"J.","non-dropping-particle":"","parse-names":false,"suffix":""},{"dropping-particle":"","family":"Platts","given":"C.","non-dropping-particle":"","parse-names":false,"suffix":""}],"container-title":"Ophthalmic and Physiological Optics","id":"ITEM-1","issue":"4","issued":{"date-parts":[["1993","10"]]},"language":"eng","page":"344-349","publisher-place":"England","title":"Colour vision screening in children: an evaluation of three pseudoisochromatic tests","type":"article-journal","volume":"13"},"uris":["http://www.mendeley.com/documents/?uuid=812886c5-2b28-45f3-a5e0-6650a6121734"]}],"mendeley":{"formattedCitation":"(Birch &amp; Platts, 1993)","plainTextFormattedCitation":"(Birch &amp; Platts, 1993)","previouslyFormattedCitation":"(Birch &amp; Platts, 1993)"},"properties":{"noteIndex":0},"schema":"https://github.com/citation-style-language/schema/raw/master/csl-citation.json"}</w:instrText>
            </w:r>
            <w:r w:rsidR="00D00BA2" w:rsidRPr="00157E90">
              <w:rPr>
                <w:rFonts w:ascii="Arial" w:hAnsi="Arial" w:cs="Arial"/>
                <w:sz w:val="18"/>
                <w:szCs w:val="18"/>
                <w:lang w:val="en-US"/>
              </w:rPr>
              <w:fldChar w:fldCharType="separate"/>
            </w:r>
            <w:r w:rsidR="00F37517" w:rsidRPr="00157E90">
              <w:rPr>
                <w:rFonts w:ascii="Arial" w:hAnsi="Arial" w:cs="Arial"/>
                <w:sz w:val="18"/>
                <w:szCs w:val="18"/>
                <w:lang w:val="en-US"/>
              </w:rPr>
              <w:t>(Birch &amp; Platts, 1993)</w:t>
            </w:r>
            <w:r w:rsidR="00D00BA2" w:rsidRPr="00157E90">
              <w:rPr>
                <w:rFonts w:ascii="Arial" w:hAnsi="Arial" w:cs="Arial"/>
                <w:sz w:val="18"/>
                <w:szCs w:val="18"/>
                <w:lang w:val="en-US"/>
              </w:rPr>
              <w:fldChar w:fldCharType="end"/>
            </w:r>
          </w:p>
        </w:tc>
        <w:tc>
          <w:tcPr>
            <w:tcW w:w="2551" w:type="dxa"/>
            <w:tcBorders>
              <w:left w:val="single" w:sz="4" w:space="0" w:color="FFFFFF" w:themeColor="background1"/>
              <w:right w:val="single" w:sz="4" w:space="0" w:color="FFFFFF" w:themeColor="background1"/>
            </w:tcBorders>
            <w:shd w:val="clear" w:color="auto" w:fill="auto"/>
          </w:tcPr>
          <w:p w14:paraId="36C15000" w14:textId="29B97C19"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3126DFA6" w14:textId="77777777" w:rsidR="00B809E7" w:rsidRPr="00157E90" w:rsidRDefault="00B809E7" w:rsidP="006A60F3">
            <w:pPr>
              <w:pStyle w:val="NoSpacing"/>
              <w:spacing w:line="240" w:lineRule="auto"/>
              <w:rPr>
                <w:rFonts w:ascii="Arial" w:hAnsi="Arial" w:cs="Arial"/>
                <w:sz w:val="18"/>
                <w:szCs w:val="18"/>
                <w:lang w:val="en-US"/>
              </w:rPr>
            </w:pPr>
            <w:r w:rsidRPr="00157E90">
              <w:rPr>
                <w:rFonts w:ascii="Arial" w:hAnsi="Arial" w:cs="Arial"/>
                <w:sz w:val="18"/>
                <w:szCs w:val="18"/>
                <w:lang w:val="en-US"/>
              </w:rPr>
              <w:t>Requires identification of a trident “E” figure orientated in different directions</w:t>
            </w:r>
          </w:p>
        </w:tc>
      </w:tr>
      <w:tr w:rsidR="00A720AE" w:rsidRPr="00157E90" w14:paraId="75F08E21"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2C268EA0"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KAMS</w:t>
            </w:r>
          </w:p>
          <w:p w14:paraId="029573AE" w14:textId="67084904" w:rsidR="00B809E7" w:rsidRPr="00157E90" w:rsidRDefault="007D65D0" w:rsidP="00E56675">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97428E" w:rsidRPr="00157E90">
              <w:rPr>
                <w:rFonts w:ascii="Arial" w:hAnsi="Arial" w:cs="Arial"/>
                <w:sz w:val="18"/>
                <w:szCs w:val="18"/>
                <w:lang w:val="en-US"/>
              </w:rPr>
              <w:instrText>ADDIN CSL_CITATION {"citationItems":[{"id":"ITEM-1","itemData":{"DOI":"10.3389/fpsyg.2014.01376","ISSN":"16641078","abstract":"We produced a set of pseudoisochromatic plates for determining individual color-difference thresholds to assess test performance and test properties, and analyzed the results. We report a high test validity and classification ability for the deficiency type and severity level [comparable to that of the fourth edition of the Hardy-Rand-Rittler (HRR) test]. We discuss changes of the acceptable chromatic shifts from the protan and deutan confusion lines along the CIE xy diagram, and the high correlation of individual color-difference thresholds and the red-green discrimination index. Color vision was tested using an Oculus HMC anomaloscope, a Farnsworth D15, and an HRR test on 273 schoolchildren, and 57 other subjects with previously diagnosed red-green color-vision deficiency.","author":[{"dropping-particle":"","family":"Jurasevska","given":"Kaiva","non-dropping-particle":"","parse-names":false,"suffix":""},{"dropping-particle":"","family":"Ozolinsh","given":"Maris","non-dropping-particle":"","parse-names":false,"suffix":""},{"dropping-particle":"","family":"Fomins","given":"Sergejs","non-dropping-particle":"","parse-names":false,"suffix":""},{"dropping-particle":"","family":"Gutmane","given":"Ausma","non-dropping-particle":"","parse-names":false,"suffix":""},{"dropping-particle":"","family":"Zutere","given":"Brigita","non-dropping-particle":"","parse-names":false,"suffix":""},{"dropping-particle":"","family":"Pausus","given":"Anete","non-dropping-particle":"","parse-names":false,"suffix":""},{"dropping-particle":"","family":"Karitans","given":"Varis","non-dropping-particle":"","parse-names":false,"suffix":""}],"container-title":"Frontiers in Psychology","id":"ITEM-1","issued":{"date-parts":[["2014"]]},"page":"1-7","title":"Color-discrimination threshold determination using pseudoisochromatic test plates","type":"article-journal","volume":"5"},"uris":["http://www.mendeley.com/documents/?uuid=d1fdb21c-f6c2-465d-b71b-d8dfe41a9763"]}],"mendeley":{"formattedCitation":"(Jurasevska et al., 2014)","plainTextFormattedCitation":"(Jurasevska et al., 2014)","previouslyFormattedCitation":"(Jurasevska et al., 2014)"},"properties":{"noteIndex":0},"schema":"https://github.com/citation-style-language/schema/raw/master/csl-citation.json"}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(Jurasevska et al., 2014)</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3A839D1F"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p w14:paraId="662F8FF8" w14:textId="77777777" w:rsidR="00B809E7" w:rsidRPr="00157E90" w:rsidRDefault="00B809E7" w:rsidP="006A60F3">
            <w:pPr>
              <w:spacing w:line="240" w:lineRule="auto"/>
              <w:jc w:val="center"/>
              <w:rPr>
                <w:rFonts w:ascii="Arial" w:hAnsi="Arial" w:cs="Arial"/>
                <w:sz w:val="18"/>
                <w:szCs w:val="18"/>
                <w:lang w:val="en-US"/>
              </w:rPr>
            </w:pPr>
          </w:p>
          <w:p w14:paraId="49B3088A" w14:textId="77777777" w:rsidR="00B809E7" w:rsidRPr="00157E90" w:rsidRDefault="00B809E7" w:rsidP="006A60F3">
            <w:pPr>
              <w:spacing w:line="240" w:lineRule="auto"/>
              <w:jc w:val="center"/>
              <w:rPr>
                <w:rFonts w:ascii="Arial" w:hAnsi="Arial" w:cs="Arial"/>
                <w:sz w:val="18"/>
                <w:szCs w:val="18"/>
                <w:lang w:val="en-US"/>
              </w:rPr>
            </w:pPr>
          </w:p>
        </w:tc>
        <w:tc>
          <w:tcPr>
            <w:tcW w:w="1985" w:type="dxa"/>
            <w:tcBorders>
              <w:left w:val="single" w:sz="4" w:space="0" w:color="FFFFFF" w:themeColor="background1"/>
              <w:right w:val="single" w:sz="4" w:space="0" w:color="FFFFFF" w:themeColor="background1"/>
            </w:tcBorders>
          </w:tcPr>
          <w:p w14:paraId="745B821A" w14:textId="5F2365E6"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7</w:t>
            </w:r>
            <w:r w:rsidR="00B32BE1" w:rsidRPr="00157E90">
              <w:rPr>
                <w:rFonts w:ascii="Arial" w:hAnsi="Arial" w:cs="Arial"/>
                <w:sz w:val="18"/>
                <w:szCs w:val="18"/>
                <w:lang w:val="en-US"/>
              </w:rPr>
              <w:t>–</w:t>
            </w:r>
            <w:r w:rsidRPr="00157E90">
              <w:rPr>
                <w:rFonts w:ascii="Arial" w:hAnsi="Arial" w:cs="Arial"/>
                <w:sz w:val="18"/>
                <w:szCs w:val="18"/>
                <w:lang w:val="en-US"/>
              </w:rPr>
              <w:t>19 years</w:t>
            </w:r>
            <w:r w:rsidR="00D00BA2" w:rsidRPr="00157E90">
              <w:rPr>
                <w:rFonts w:ascii="Arial" w:hAnsi="Arial" w:cs="Arial"/>
                <w:sz w:val="18"/>
                <w:szCs w:val="18"/>
                <w:lang w:val="en-US"/>
              </w:rPr>
              <w:t xml:space="preserve"> </w:t>
            </w:r>
          </w:p>
          <w:p w14:paraId="759B15D4" w14:textId="3244720F"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1.00/1.00 </w:t>
            </w:r>
            <w:r w:rsidR="00D00BA2" w:rsidRPr="00157E90">
              <w:rPr>
                <w:rFonts w:ascii="Arial" w:hAnsi="Arial" w:cs="Arial"/>
                <w:sz w:val="18"/>
                <w:szCs w:val="18"/>
                <w:lang w:val="en-US"/>
              </w:rPr>
              <w:fldChar w:fldCharType="begin" w:fldLock="1"/>
            </w:r>
            <w:r w:rsidR="0074376F" w:rsidRPr="00157E90">
              <w:rPr>
                <w:rFonts w:ascii="Arial" w:hAnsi="Arial" w:cs="Arial"/>
                <w:sz w:val="18"/>
                <w:szCs w:val="18"/>
                <w:lang w:val="en-US"/>
              </w:rPr>
              <w:instrText>ADDIN CSL_CITATION {"citationItems":[{"id":"ITEM-1","itemData":{"DOI":"10.3389/fpsyg.2014.01376","ISSN":"16641078","abstract":"We produced a set of pseudoisochromatic plates for determining individual color-difference thresholds to assess test performance and test properties, and analyzed the results. We report a high test validity and classification ability for the deficiency type and severity level [comparable to that of the fourth edition of the Hardy-Rand-Rittler (HRR) test]. We discuss changes of the acceptable chromatic shifts from the protan and deutan confusion lines along the CIE xy diagram, and the high correlation of individual color-difference thresholds and the red-green discrimination index. Color vision was tested using an Oculus HMC anomaloscope, a Farnsworth D15, and an HRR test on 273 schoolchildren, and 57 other subjects with previously diagnosed red-green color-vision deficiency.","author":[{"dropping-particle":"","family":"Jurasevska","given":"Kaiva","non-dropping-particle":"","parse-names":false,"suffix":""},{"dropping-particle":"","family":"Ozolinsh","given":"Maris","non-dropping-particle":"","parse-names":false,"suffix":""},{"dropping-particle":"","family":"Fomins","given":"Sergejs","non-dropping-particle":"","parse-names":false,"suffix":""},{"dropping-particle":"","family":"Gutmane","given":"Ausma","non-dropping-particle":"","parse-names":false,"suffix":""},{"dropping-particle":"","family":"Zutere","given":"Brigita","non-dropping-particle":"","parse-names":false,"suffix":""},{"dropping-particle":"","family":"Pausus","given":"Anete","non-dropping-particle":"","parse-names":false,"suffix":""},{"dropping-particle":"","family":"Karitans","given":"Varis","non-dropping-particle":"","parse-names":false,"suffix":""}],"container-title":"Frontiers in Psychology","id":"ITEM-1","issued":{"date-parts":[["2014"]]},"page":"1-7","title":"Color-discrimination threshold determination using pseudoisochromatic test plates","type":"article-journal","volume":"5"},"uris":["http://www.mendeley.com/documents/?uuid=d1fdb21c-f6c2-465d-b71b-d8dfe41a9763"]}],"mendeley":{"formattedCitation":"(Jurasevska et al., 2014)","plainTextFormattedCitation":"(Jurasevska et al., 2014)","previouslyFormattedCitation":"(Jurasevska et al., 2014)"},"properties":{"noteIndex":0},"schema":"https://github.com/citation-style-language/schema/raw/master/csl-citation.json"}</w:instrText>
            </w:r>
            <w:r w:rsidR="00D00BA2" w:rsidRPr="00157E90">
              <w:rPr>
                <w:rFonts w:ascii="Arial" w:hAnsi="Arial" w:cs="Arial"/>
                <w:sz w:val="18"/>
                <w:szCs w:val="18"/>
                <w:lang w:val="en-US"/>
              </w:rPr>
              <w:fldChar w:fldCharType="separate"/>
            </w:r>
            <w:r w:rsidR="00D00BA2" w:rsidRPr="00157E90">
              <w:rPr>
                <w:rFonts w:ascii="Arial" w:hAnsi="Arial" w:cs="Arial"/>
                <w:sz w:val="18"/>
                <w:szCs w:val="18"/>
                <w:lang w:val="en-US"/>
              </w:rPr>
              <w:t>(Jurasevska et al., 2014)</w:t>
            </w:r>
            <w:r w:rsidR="00D00BA2" w:rsidRPr="00157E90">
              <w:rPr>
                <w:rFonts w:ascii="Arial" w:hAnsi="Arial" w:cs="Arial"/>
                <w:sz w:val="18"/>
                <w:szCs w:val="18"/>
                <w:lang w:val="en-US"/>
              </w:rPr>
              <w:fldChar w:fldCharType="end"/>
            </w:r>
          </w:p>
          <w:p w14:paraId="59A165EB" w14:textId="676D8880"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w:t>
            </w:r>
            <w:r w:rsidR="00E01F16" w:rsidRPr="00157E90">
              <w:rPr>
                <w:rFonts w:ascii="Arial" w:hAnsi="Arial" w:cs="Arial"/>
                <w:sz w:val="18"/>
                <w:szCs w:val="18"/>
                <w:lang w:val="en-US"/>
              </w:rPr>
              <w:t>8, CVN</w:t>
            </w:r>
            <w:r w:rsidRPr="00157E90">
              <w:rPr>
                <w:rFonts w:ascii="Arial" w:hAnsi="Arial" w:cs="Arial"/>
                <w:sz w:val="18"/>
                <w:szCs w:val="18"/>
                <w:lang w:val="en-US"/>
              </w:rPr>
              <w:t>= 265)</w:t>
            </w:r>
          </w:p>
          <w:p w14:paraId="1FCFC49C"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559" w:type="dxa"/>
            <w:tcBorders>
              <w:left w:val="single" w:sz="4" w:space="0" w:color="FFFFFF" w:themeColor="background1"/>
              <w:bottom w:val="single" w:sz="4" w:space="0" w:color="000000" w:themeColor="text1"/>
              <w:right w:val="single" w:sz="4" w:space="0" w:color="FFFFFF" w:themeColor="background1"/>
            </w:tcBorders>
            <w:shd w:val="clear" w:color="auto" w:fill="auto"/>
          </w:tcPr>
          <w:p w14:paraId="00B65F28" w14:textId="2DCBF502"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7 years </w:t>
            </w:r>
            <w:r w:rsidR="00D00BA2" w:rsidRPr="00157E90">
              <w:rPr>
                <w:rFonts w:ascii="Arial" w:hAnsi="Arial" w:cs="Arial"/>
                <w:sz w:val="18"/>
                <w:szCs w:val="18"/>
                <w:lang w:val="en-US"/>
              </w:rPr>
              <w:fldChar w:fldCharType="begin" w:fldLock="1"/>
            </w:r>
            <w:r w:rsidR="0074376F" w:rsidRPr="00157E90">
              <w:rPr>
                <w:rFonts w:ascii="Arial" w:hAnsi="Arial" w:cs="Arial"/>
                <w:sz w:val="18"/>
                <w:szCs w:val="18"/>
                <w:lang w:val="en-US"/>
              </w:rPr>
              <w:instrText>ADDIN CSL_CITATION {"citationItems":[{"id":"ITEM-1","itemData":{"DOI":"10.3389/fpsyg.2014.01376","ISSN":"16641078","abstract":"We produced a set of pseudoisochromatic plates for determining individual color-difference thresholds to assess test performance and test properties, and analyzed the results. We report a high test validity and classification ability for the deficiency type and severity level [comparable to that of the fourth edition of the Hardy-Rand-Rittler (HRR) test]. We discuss changes of the acceptable chromatic shifts from the protan and deutan confusion lines along the CIE xy diagram, and the high correlation of individual color-difference thresholds and the red-green discrimination index. Color vision was tested using an Oculus HMC anomaloscope, a Farnsworth D15, and an HRR test on 273 schoolchildren, and 57 other subjects with previously diagnosed red-green color-vision deficiency.","author":[{"dropping-particle":"","family":"Jurasevska","given":"Kaiva","non-dropping-particle":"","parse-names":false,"suffix":""},{"dropping-particle":"","family":"Ozolinsh","given":"Maris","non-dropping-particle":"","parse-names":false,"suffix":""},{"dropping-particle":"","family":"Fomins","given":"Sergejs","non-dropping-particle":"","parse-names":false,"suffix":""},{"dropping-particle":"","family":"Gutmane","given":"Ausma","non-dropping-particle":"","parse-names":false,"suffix":""},{"dropping-particle":"","family":"Zutere","given":"Brigita","non-dropping-particle":"","parse-names":false,"suffix":""},{"dropping-particle":"","family":"Pausus","given":"Anete","non-dropping-particle":"","parse-names":false,"suffix":""},{"dropping-particle":"","family":"Karitans","given":"Varis","non-dropping-particle":"","parse-names":false,"suffix":""}],"container-title":"Frontiers in Psychology","id":"ITEM-1","issued":{"date-parts":[["2014"]]},"page":"1-7","title":"Color-discrimination threshold determination using pseudoisochromatic test plates","type":"article-journal","volume":"5"},"uris":["http://www.mendeley.com/documents/?uuid=d1fdb21c-f6c2-465d-b71b-d8dfe41a9763"]}],"mendeley":{"formattedCitation":"(Jurasevska et al., 2014)","plainTextFormattedCitation":"(Jurasevska et al., 2014)","previouslyFormattedCitation":"(Jurasevska et al., 2014)"},"properties":{"noteIndex":0},"schema":"https://github.com/citation-style-language/schema/raw/master/csl-citation.json"}</w:instrText>
            </w:r>
            <w:r w:rsidR="00D00BA2" w:rsidRPr="00157E90">
              <w:rPr>
                <w:rFonts w:ascii="Arial" w:hAnsi="Arial" w:cs="Arial"/>
                <w:sz w:val="18"/>
                <w:szCs w:val="18"/>
                <w:lang w:val="en-US"/>
              </w:rPr>
              <w:fldChar w:fldCharType="separate"/>
            </w:r>
            <w:r w:rsidR="00D00BA2" w:rsidRPr="00157E90">
              <w:rPr>
                <w:rFonts w:ascii="Arial" w:hAnsi="Arial" w:cs="Arial"/>
                <w:sz w:val="18"/>
                <w:szCs w:val="18"/>
                <w:lang w:val="en-US"/>
              </w:rPr>
              <w:t>(Jurasevska et al., 2014)</w:t>
            </w:r>
            <w:r w:rsidR="00D00BA2" w:rsidRPr="00157E90">
              <w:rPr>
                <w:rFonts w:ascii="Arial" w:hAnsi="Arial" w:cs="Arial"/>
                <w:sz w:val="18"/>
                <w:szCs w:val="18"/>
                <w:lang w:val="en-US"/>
              </w:rPr>
              <w:fldChar w:fldCharType="end"/>
            </w:r>
          </w:p>
        </w:tc>
        <w:tc>
          <w:tcPr>
            <w:tcW w:w="2551" w:type="dxa"/>
            <w:tcBorders>
              <w:left w:val="single" w:sz="4" w:space="0" w:color="FFFFFF" w:themeColor="background1"/>
              <w:bottom w:val="single" w:sz="4" w:space="0" w:color="000000" w:themeColor="text1"/>
              <w:right w:val="single" w:sz="4" w:space="0" w:color="FFFFFF" w:themeColor="background1"/>
            </w:tcBorders>
            <w:shd w:val="clear" w:color="auto" w:fill="auto"/>
          </w:tcPr>
          <w:p w14:paraId="6F6D23C5" w14:textId="4BDA921D"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49023D25" w14:textId="77777777"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Requires shape, symbol and number recognition</w:t>
            </w:r>
          </w:p>
        </w:tc>
      </w:tr>
      <w:tr w:rsidR="00A720AE" w:rsidRPr="00157E90" w14:paraId="3BEA97A0" w14:textId="77777777" w:rsidTr="006A60F3">
        <w:trPr>
          <w:trHeight w:val="262"/>
          <w:jc w:val="center"/>
        </w:trPr>
        <w:tc>
          <w:tcPr>
            <w:tcW w:w="10201" w:type="dxa"/>
            <w:gridSpan w:val="5"/>
            <w:tcBorders>
              <w:left w:val="single" w:sz="4" w:space="0" w:color="FFFFFF" w:themeColor="background1"/>
              <w:right w:val="single" w:sz="4" w:space="0" w:color="FFFFFF" w:themeColor="background1"/>
            </w:tcBorders>
            <w:shd w:val="clear" w:color="auto" w:fill="auto"/>
          </w:tcPr>
          <w:p w14:paraId="28897217" w14:textId="77777777" w:rsidR="00B809E7" w:rsidRPr="00157E90" w:rsidRDefault="00B809E7" w:rsidP="006A60F3">
            <w:pPr>
              <w:spacing w:line="240" w:lineRule="auto"/>
              <w:rPr>
                <w:rFonts w:ascii="Arial" w:hAnsi="Arial" w:cs="Arial"/>
                <w:b/>
                <w:bCs/>
                <w:sz w:val="18"/>
                <w:szCs w:val="18"/>
                <w:lang w:val="en-US" w:eastAsia="ko-KR"/>
              </w:rPr>
            </w:pPr>
            <w:r w:rsidRPr="00157E90">
              <w:rPr>
                <w:rFonts w:ascii="Arial" w:hAnsi="Arial" w:cs="Arial"/>
                <w:b/>
                <w:bCs/>
                <w:sz w:val="18"/>
                <w:szCs w:val="18"/>
                <w:lang w:val="en-US" w:eastAsia="ko-KR"/>
              </w:rPr>
              <w:t>Arrangement</w:t>
            </w:r>
          </w:p>
        </w:tc>
      </w:tr>
      <w:tr w:rsidR="00A720AE" w:rsidRPr="00157E90" w14:paraId="39F54F94"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31C7A29A" w14:textId="77777777" w:rsidR="00B809E7" w:rsidRPr="00157E90" w:rsidRDefault="00B809E7" w:rsidP="006A60F3">
            <w:pPr>
              <w:spacing w:line="240" w:lineRule="auto"/>
              <w:jc w:val="center"/>
              <w:rPr>
                <w:rFonts w:ascii="Arial" w:hAnsi="Arial" w:cs="Arial"/>
                <w:sz w:val="18"/>
                <w:szCs w:val="18"/>
                <w:lang w:val="en-US" w:eastAsia="ko-KR"/>
              </w:rPr>
            </w:pPr>
            <w:r w:rsidRPr="00157E90">
              <w:rPr>
                <w:rFonts w:ascii="Arial" w:hAnsi="Arial" w:cs="Arial"/>
                <w:sz w:val="18"/>
                <w:szCs w:val="18"/>
                <w:lang w:val="en-US" w:eastAsia="ko-KR"/>
              </w:rPr>
              <w:t xml:space="preserve">Farnsworth </w:t>
            </w:r>
            <w:proofErr w:type="spellStart"/>
            <w:r w:rsidRPr="00157E90">
              <w:rPr>
                <w:rFonts w:ascii="Arial" w:hAnsi="Arial" w:cs="Arial"/>
                <w:sz w:val="18"/>
                <w:szCs w:val="18"/>
                <w:lang w:val="en-US" w:eastAsia="ko-KR"/>
              </w:rPr>
              <w:t>Munsell</w:t>
            </w:r>
            <w:proofErr w:type="spellEnd"/>
            <w:r w:rsidRPr="00157E90">
              <w:rPr>
                <w:rFonts w:ascii="Arial" w:hAnsi="Arial" w:cs="Arial"/>
                <w:sz w:val="18"/>
                <w:szCs w:val="18"/>
                <w:lang w:val="en-US" w:eastAsia="ko-KR"/>
              </w:rPr>
              <w:t xml:space="preserve"> 100-Hue</w:t>
            </w:r>
          </w:p>
          <w:p w14:paraId="52B5C0BE" w14:textId="1BFAF33E" w:rsidR="00B809E7" w:rsidRPr="00157E90" w:rsidRDefault="00D00BA2" w:rsidP="006A60F3">
            <w:pPr>
              <w:spacing w:line="240" w:lineRule="auto"/>
              <w:jc w:val="center"/>
              <w:rPr>
                <w:rFonts w:ascii="Arial" w:hAnsi="Arial" w:cs="Arial"/>
                <w:b/>
                <w:bCs/>
                <w:sz w:val="18"/>
                <w:szCs w:val="18"/>
                <w:lang w:val="en-US"/>
              </w:rPr>
            </w:pPr>
            <w:r w:rsidRPr="00157E90">
              <w:rPr>
                <w:rFonts w:ascii="Arial" w:hAnsi="Arial" w:cs="Arial"/>
                <w:b/>
                <w:bCs/>
                <w:sz w:val="18"/>
                <w:szCs w:val="18"/>
                <w:lang w:val="en-US"/>
              </w:rPr>
              <w:fldChar w:fldCharType="begin" w:fldLock="1"/>
            </w:r>
            <w:r w:rsidR="00674D51" w:rsidRPr="00157E90">
              <w:rPr>
                <w:rFonts w:ascii="Arial" w:hAnsi="Arial" w:cs="Arial"/>
                <w:b/>
                <w:bCs/>
                <w:sz w:val="18"/>
                <w:szCs w:val="18"/>
                <w:lang w:val="en-US"/>
              </w:rPr>
              <w:instrText>ADDIN CSL_CITATION {"citationItems":[{"id":"ITEM-1","itemData":{"DOI":"10.1364/josa.33.000568","ISSN":"0030-3941","abstract":"The F-M 100-hue test is a simple exploratory technique for the laboratory examination of color vision. It yields data from which other tests can be constructed; one of these, a screening or sampling test which dichotomizes subjects into two discrete classes of color anomaly, is described in the second part. The principles upon which these tests are constructed are described and preliminary results are given.","author":[{"dropping-particle":"","family":"Farnsworth","given":"Dean","non-dropping-particle":"","parse-names":false,"suffix":""}],"container-title":"Journal of the Optical Society of America","id":"ITEM-1","issue":"10","issued":{"date-parts":[["1943"]]},"page":"568-578","publisher":"OSA","title":"The Farnsworth-Munsell 100-Hue and Dichotomous Tests for Color Vision","type":"article-journal","volume":"33"},"uris":["http://www.mendeley.com/documents/?uuid=4717f4e4-a9d9-4b06-b727-aebe59512d65"]}],"mendeley":{"formattedCitation":"(Farnsworth, 1943)","plainTextFormattedCitation":"(Farnsworth, 1943)","previouslyFormattedCitation":"(Farnsworth, 1943)"},"properties":{"noteIndex":0},"schema":"https://github.com/citation-style-language/schema/raw/master/csl-citation.json"}</w:instrText>
            </w:r>
            <w:r w:rsidRPr="00157E90">
              <w:rPr>
                <w:rFonts w:ascii="Arial" w:hAnsi="Arial" w:cs="Arial"/>
                <w:b/>
                <w:bCs/>
                <w:sz w:val="18"/>
                <w:szCs w:val="18"/>
                <w:lang w:val="en-US"/>
              </w:rPr>
              <w:fldChar w:fldCharType="separate"/>
            </w:r>
            <w:r w:rsidRPr="00157E90">
              <w:rPr>
                <w:rFonts w:ascii="Arial" w:hAnsi="Arial" w:cs="Arial"/>
                <w:bCs/>
                <w:sz w:val="18"/>
                <w:szCs w:val="18"/>
                <w:lang w:val="en-US"/>
              </w:rPr>
              <w:t>(Farnsworth, 1943)</w:t>
            </w:r>
            <w:r w:rsidRPr="00157E90">
              <w:rPr>
                <w:rFonts w:ascii="Arial" w:hAnsi="Arial" w:cs="Arial"/>
                <w:b/>
                <w:bCs/>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21B007DA" w14:textId="6B1AE113"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1.00/0.83 </w:t>
            </w:r>
            <w:r w:rsidRPr="00157E90">
              <w:rPr>
                <w:rFonts w:ascii="Arial" w:hAnsi="Arial" w:cs="Arial"/>
                <w:sz w:val="18"/>
                <w:szCs w:val="18"/>
                <w:lang w:val="en-US"/>
              </w:rPr>
              <w:fldChar w:fldCharType="begin" w:fldLock="1"/>
            </w:r>
            <w:r w:rsidR="005F01B6" w:rsidRPr="00157E90">
              <w:rPr>
                <w:rFonts w:ascii="Arial" w:hAnsi="Arial" w:cs="Arial"/>
                <w:sz w:val="18"/>
                <w:szCs w:val="18"/>
                <w:lang w:val="en-US"/>
              </w:rPr>
              <w:instrText>ADDIN CSL_CITATION {"citationItems":[{"id":"ITEM-1","itemData":{"DOI":"10.1097/01.opx.0000182211.48498.4e","ISSN":"10405488","PMID":"16276319","abstract":"Purpose. The purpose of the study was to determine the sensitivity, specificity, and repeatability of the web-based Colour Assessment and Diagnosis (CAD) test in comparison to current tests of color vision. Methods. Thirty color normals and 30 color deficients, identified and diagnosed by the Nagel anomaloscope, were tested. The results of the CAD test were compared with standard tests like Nagel anomaloscope, Ishihara (concise version, 2001), Hardy, Rand and Rittler (HRR; 4th ed) pseudoisochromatic test, and the Farnsworth Munsell 100 (FM-100) hue test. Results. Using the Nagel anomaloscope as the \"gold standard,\" the sensitivity with the CAD test was 93.33%, Ishihara 96%, HRR 100%, and the FM-100 hue 100%. The specificity was 100% with CAD and the Ishihara color plates, whereas it was 33% with the HRR and 83% with the FM-100 hue test The concurrent validity of the CAD test for color normals was 93.75%. The concurrent validity of CAD test for color deficiency was 100%. Thus, anyone failing the CAD test has a color defect. The coefficient of agreement for the Nagel anomaloscope and the CAD test was 0.93, with Ishihara it was 0.96, with the HRR it was 0.33, and with FM-100 hue it was 0.83. Conclusion. These results showed that the CAD test is a valid test for identifying congenital red-green color deficiency. Further testing is required in a larger population of anomalous trichromats. Copyright © 2005 American Academy of Optometry.","author":[{"dropping-particle":"","family":"Seshadri","given":"Jayasree","non-dropping-particle":"","parse-names":false,"suffix":""},{"dropping-particle":"","family":"Christensen","given":"Jerry","non-dropping-particle":"","parse-names":false,"suffix":""},{"dropping-particle":"","family":"Lakshminarayanan","given":"Vasudevan","non-dropping-particle":"","parse-names":false,"suffix":""},{"dropping-particle":"","family":"Bassi","given":"Carl J.","non-dropping-particle":"","parse-names":false,"suffix":""}],"container-title":"Optometry and Vision Science","id":"ITEM-1","issue":"10","issued":{"date-parts":[["2005"]]},"page":"882-885","title":"Evaluation of the new web-based \"Colour Assessment and Diagnosis\" test","type":"article-journal","volume":"82"},"uris":["http://www.mendeley.com/documents/?uuid=212a6f43-678c-420e-92b3-3ca0820ba56d"]}],"mendeley":{"formattedCitation":"(Seshadri et al., 2005)","plainTextFormattedCitation":"(Seshadri et al., 2005)","previouslyFormattedCitation":"(Seshadri et al., 2005)"},"properties":{"noteIndex":0},"schema":"https://github.com/citation-style-language/schema/raw/master/csl-citation.json"}</w:instrText>
            </w:r>
            <w:r w:rsidRPr="00157E90">
              <w:rPr>
                <w:rFonts w:ascii="Arial" w:hAnsi="Arial" w:cs="Arial"/>
                <w:sz w:val="18"/>
                <w:szCs w:val="18"/>
                <w:lang w:val="en-US"/>
              </w:rPr>
              <w:fldChar w:fldCharType="separate"/>
            </w:r>
            <w:r w:rsidR="005D22AB" w:rsidRPr="00157E90">
              <w:rPr>
                <w:rFonts w:ascii="Arial" w:hAnsi="Arial" w:cs="Arial"/>
                <w:sz w:val="18"/>
                <w:szCs w:val="18"/>
                <w:lang w:val="en-US"/>
              </w:rPr>
              <w:t>(Seshadri et al., 2005)</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7929ECF7"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(CVD=30, CVN=30)</w:t>
            </w:r>
          </w:p>
          <w:p w14:paraId="5874B777"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10AF3443"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1559" w:type="dxa"/>
            <w:tcBorders>
              <w:left w:val="single" w:sz="4" w:space="0" w:color="FFFFFF" w:themeColor="background1"/>
              <w:right w:val="single" w:sz="4" w:space="0" w:color="FFFFFF" w:themeColor="background1"/>
            </w:tcBorders>
            <w:shd w:val="clear" w:color="auto" w:fill="auto"/>
          </w:tcPr>
          <w:p w14:paraId="2C74B4A0" w14:textId="3DAAE5DE"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5 years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{"citationItems":[{"id":"ITEM-1","itemData":{"DOI":"10.1136/bjo.86.12.1408","ISSN":"00071161","PMID":"12446376","abstract":"Aims: To provide normative data for chromatic discrimination on the Farnsworth-Munsell 100 hue test particularly for observers under 23 years of age. Methods: Normal observers were screened for congenital colour vision deficiencies using the Ishihara test leaving 382 observers. Results: New total error score (TES) norms (means and 95th percentiles) are presented for each year of age from 5-22 and for 10 year age groups from the 30s to the 70s. These norms are presented as actual values (TES) and also as square root values (√TES). Other data include partial error scores for red-green and blue-yellow axes discrimination. Conclusion: This study provides the most detailed set of normative data to date. The data are also in agreement with other reports of chromatic discrimination, showing that the performance in this task varies as a U-shape function with age, the best being achieved at 19 years of age.","author":[{"dropping-particle":"","family":"Kinnear","given":"P. R.","non-dropping-particle":"","parse-names":false,"suffix":""},{"dropping-particle":"","family":"Sahraie","given":"A.","non-dropping-particle":"","parse-names":false,"suffix":""}],"container-title":"British Journal of Ophthalmology","id":"ITEM-1","issue":"12","issued":{"date-parts":[["2002","12"]]},"language":"eng","page":"1408-1411","publisher-place":"England","title":"New Farnsworth-Munsell 100 hue test norms of normal observers for each year of age 5-22 and for age decades 30-70","type":"article-journal","volume":"86"},"uris":["http://www.mendeley.com/documents/?uuid=15de3195-76a6-48f7-9258-ad0e201f9010"]}],"mendeley":{"formattedCitation":"(Kinnear &amp; Sahraie, 2002)","plainTextFormattedCitation":"(Kinnear &amp; Sahraie, 2002)","previouslyFormattedCitation":"(Kinnear &amp; Sahraie, 2002)"},"properties":{"noteIndex":0},"schema":"https://github.com/citation-style-language/schema/raw/master/csl-citation.json"}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(Kinnear &amp; Sahraie, 2002)</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tc>
        <w:tc>
          <w:tcPr>
            <w:tcW w:w="2551" w:type="dxa"/>
            <w:tcBorders>
              <w:top w:val="single" w:sz="4" w:space="0" w:color="000000" w:themeColor="text1"/>
              <w:left w:val="single" w:sz="4" w:space="0" w:color="FFFFFF" w:themeColor="background1"/>
              <w:right w:val="single" w:sz="4" w:space="0" w:color="FFFFFF" w:themeColor="background1"/>
            </w:tcBorders>
            <w:shd w:val="clear" w:color="auto" w:fill="auto"/>
          </w:tcPr>
          <w:p w14:paraId="14422024" w14:textId="39FCBDC1" w:rsidR="00B809E7" w:rsidRPr="00157E90" w:rsidRDefault="00B809E7" w:rsidP="006A60F3">
            <w:pPr>
              <w:spacing w:line="240" w:lineRule="auto"/>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47D7B987" w14:textId="51E4E0E0" w:rsidR="00B809E7" w:rsidRPr="00157E90" w:rsidRDefault="00B809E7" w:rsidP="006A60F3">
            <w:pPr>
              <w:spacing w:line="240" w:lineRule="auto"/>
              <w:rPr>
                <w:rFonts w:ascii="Arial" w:hAnsi="Arial" w:cs="Arial"/>
                <w:sz w:val="18"/>
                <w:szCs w:val="18"/>
                <w:lang w:val="en-US"/>
              </w:rPr>
            </w:pPr>
            <w:r w:rsidRPr="00157E90">
              <w:rPr>
                <w:rFonts w:ascii="Arial" w:hAnsi="Arial" w:cs="Arial"/>
                <w:sz w:val="18"/>
                <w:szCs w:val="18"/>
                <w:lang w:val="en-US"/>
              </w:rPr>
              <w:t xml:space="preserve">Performance is correlated with IQ </w:t>
            </w:r>
            <w:r w:rsidR="00D00BA2" w:rsidRPr="00157E90">
              <w:rPr>
                <w:rFonts w:ascii="Arial" w:hAnsi="Arial" w:cs="Arial"/>
                <w:sz w:val="18"/>
                <w:szCs w:val="18"/>
                <w:lang w:val="en-US"/>
              </w:rPr>
              <w:fldChar w:fldCharType="begin" w:fldLock="1"/>
            </w:r>
            <w:r w:rsidR="005F01B6" w:rsidRPr="00157E90">
              <w:rPr>
                <w:rFonts w:ascii="Arial" w:hAnsi="Arial" w:cs="Arial"/>
                <w:sz w:val="18"/>
                <w:szCs w:val="18"/>
                <w:lang w:val="en-US"/>
              </w:rPr>
              <w:instrText>ADDIN CSL_CITATION {"citationItems":[{"id":"ITEM-1","itemData":{"DOI":"10.1167/iovs.14-16094","ISSN":"15525783","PMID":"26024100","abstract":"PURPOSE. The Farnsworth-Munsell 100-Hue test (FM100) is a standardized measure of chromatic discrimination, based on colored cap-sorting, which has been widely used in both adults and children. Its dependence on seriation ability raises questions as to its universal suitability and accuracy in assessing purely sensory discrimination. This study investigates how general intellectual ability relates to performance on both the FM100 and a new computer-based chromatic discrimination threshold test, across different age groups in both typical and atypical development. METHODS. Participants were divided into two main age groups, children (6–15 years) and young adults (16–25 years), with each group further subdivided into typically developing (TD; three groups; TD 6–7 years, TD 8–9 years, TD Adult) individuals and atypically developing individuals, all but one carrying a diagnosis of Autism Spectrum Disorders (ASD; two groups; atypically developing [ATY] child 7–15 years, ASD Adult). General intelligence was measured using the Wechsler Abbreviated Intelligence Scale and Wechsler Intelligence Scale for Children. All participants completed the FM100. Both child groups also completed a computer-based chromatic discrimination threshold test, which assessed discrimination along cone-opponent (‘‘red-green,’’ ‘‘blue-yellow’’) and luminance cardinal axes using a controlled staircase procedure. RESULTS. Farnsworth-Munsell 100-Hue test performance was better in adults than in children. Furthermore, performance significantly positively correlated with nonverbal intelligence quotient (NVIQ) for all child groups and the young adult ASD group. The slope of this relationship was steeper for the ASD than TD groups. Performance on the chromatic discrimination threshold test was not significantly related to any IQ measure. Regression models reveal that chromatic discrimination threshold, although a significant predictor of FM100 performance when used alone, is a weaker predictor than NVIQ used alone or in combination. CONCLUSIONS. The results indicate that FM100 performance is not purely a measure of color discrimination but instead also reflects general nonverbal ability. Other measures of chromatic discrimination ability are therefore required for its accurate assessment, particularly in early or atypical development.","author":[{"dropping-particle":"","family":"Cranwell","given":"Matthew B.","non-dropping-particle":"","parse-names":false,"suffix":""},{"dropping-particle":"","family":"Pearce","given":"Bradley","non-dropping-particle":"","parse-names":false,"suffix":""},{"dropping-particle":"","family":"Loveridge","given":"Camilla","non-dropping-particle":"","parse-names":false,"suffix":""},{"dropping-particle":"","family":"Hurlbert","given":"Anya C.","non-dropping-particle":"","parse-names":false,"suffix":""}],"container-title":"Investigative Ophthalmology and Visual Science","id":"ITEM-1","issue":"5","issued":{"date-parts":[["2015","5"]]},"language":"eng","page":"3171-3178","publisher-place":"United States","title":"Performance on the Farnsworth-Munsell 100-hue test is significantly related to nonverbal IQ","type":"article-journal","volume":"56"},"uris":["http://www.mendeley.com/documents/?uuid=3c10b650-061b-42fb-ae80-1fb03bcfb9e0"]}],"mendeley":{"formattedCitation":"(Cranwell et al., 2015)","plainTextFormattedCitation":"(Cranwell et al., 2015)","previouslyFormattedCitation":"(Cranwell et al., 2015)"},"properties":{"noteIndex":0},"schema":"https://github.com/citation-style-language/schema/raw/master/csl-citation.json"}</w:instrText>
            </w:r>
            <w:r w:rsidR="00D00BA2" w:rsidRPr="00157E90">
              <w:rPr>
                <w:rFonts w:ascii="Arial" w:hAnsi="Arial" w:cs="Arial"/>
                <w:sz w:val="18"/>
                <w:szCs w:val="18"/>
                <w:lang w:val="en-US"/>
              </w:rPr>
              <w:fldChar w:fldCharType="separate"/>
            </w:r>
            <w:r w:rsidR="005D22AB" w:rsidRPr="00157E90">
              <w:rPr>
                <w:rFonts w:ascii="Arial" w:hAnsi="Arial" w:cs="Arial"/>
                <w:sz w:val="18"/>
                <w:szCs w:val="18"/>
                <w:lang w:val="en-US"/>
              </w:rPr>
              <w:t>(Cranwell et al., 2015)</w:t>
            </w:r>
            <w:r w:rsidR="00D00BA2" w:rsidRPr="00157E90">
              <w:rPr>
                <w:rFonts w:ascii="Arial" w:hAnsi="Arial" w:cs="Arial"/>
                <w:sz w:val="18"/>
                <w:szCs w:val="18"/>
                <w:lang w:val="en-US"/>
              </w:rPr>
              <w:fldChar w:fldCharType="end"/>
            </w:r>
          </w:p>
        </w:tc>
      </w:tr>
      <w:tr w:rsidR="00A720AE" w:rsidRPr="00157E90" w14:paraId="1B92B08A"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12FAAAF3" w14:textId="49875EF2"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Farnsworth </w:t>
            </w:r>
            <w:proofErr w:type="spellStart"/>
            <w:r w:rsidRPr="00157E90">
              <w:rPr>
                <w:rFonts w:ascii="Arial" w:hAnsi="Arial" w:cs="Arial"/>
                <w:sz w:val="18"/>
                <w:szCs w:val="18"/>
                <w:lang w:val="en-US"/>
              </w:rPr>
              <w:t>Munsell</w:t>
            </w:r>
            <w:proofErr w:type="spellEnd"/>
            <w:r w:rsidRPr="00157E90">
              <w:rPr>
                <w:rFonts w:ascii="Arial" w:hAnsi="Arial" w:cs="Arial"/>
                <w:sz w:val="18"/>
                <w:szCs w:val="18"/>
                <w:lang w:val="en-US"/>
              </w:rPr>
              <w:t xml:space="preserve"> D-15</w:t>
            </w:r>
          </w:p>
          <w:p w14:paraId="69524314" w14:textId="4990837A" w:rsidR="00D00BA2" w:rsidRPr="00157E90" w:rsidRDefault="00D00BA2"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{"citationItems":[{"id":"ITEM-1","itemData":{"DOI":"10.1016/0002-9394(66)91673-4","ISSN":"00029394","PMID":"5936523","author":[{"dropping-particle":"","family":"Linksz","given":"Arthur","non-dropping-particle":"","parse-names":false,"suffix":""}],"container-title":"American Journal of Ophthalmology","id":"ITEM-1","issue":"1","issued":{"date-parts":[["1966","7"]]},"language":"eng","page":"27-37","publisher-place":"United States","title":"The Farnsworth panel D-15 test","type":"article-journal","volume":"62"},"uris":["http://www.mendeley.com/documents/?uuid=313bcff6-4f6c-472e-8934-462ad1bcd384"]}],"mendeley":{"formattedCitation":"(Linksz, 1966)","plainTextFormattedCitation":"(Linksz, 1966)","previouslyFormattedCitation":"(Linksz, 1966)"},"properties":{"noteIndex":0},"schema":"https://github.com/citation-style-language/schema/raw/master/csl-citation.json"}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(Linksz, 1966)</w:t>
            </w:r>
            <w:r w:rsidRPr="00157E90">
              <w:rPr>
                <w:rFonts w:ascii="Arial" w:hAnsi="Arial" w:cs="Arial"/>
                <w:sz w:val="18"/>
                <w:szCs w:val="18"/>
                <w:lang w:val="en-US"/>
              </w:rPr>
              <w:fldChar w:fldCharType="end"/>
            </w:r>
          </w:p>
          <w:p w14:paraId="357CD903" w14:textId="6702BD7D" w:rsidR="00B809E7" w:rsidRPr="00157E90" w:rsidRDefault="00B809E7" w:rsidP="006A60F3">
            <w:pPr>
              <w:spacing w:line="240" w:lineRule="auto"/>
              <w:jc w:val="center"/>
              <w:rPr>
                <w:rFonts w:ascii="Arial" w:hAnsi="Arial" w:cs="Arial"/>
                <w:sz w:val="18"/>
                <w:szCs w:val="18"/>
                <w:lang w:val="en-US"/>
              </w:rPr>
            </w:pPr>
          </w:p>
        </w:tc>
        <w:tc>
          <w:tcPr>
            <w:tcW w:w="2268" w:type="dxa"/>
            <w:tcBorders>
              <w:left w:val="single" w:sz="4" w:space="0" w:color="FFFFFF" w:themeColor="background1"/>
              <w:right w:val="single" w:sz="4" w:space="0" w:color="FFFFFF" w:themeColor="background1"/>
            </w:tcBorders>
            <w:shd w:val="clear" w:color="auto" w:fill="auto"/>
          </w:tcPr>
          <w:p w14:paraId="119E0C6D" w14:textId="143F1C8E"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0.59/0.98 </w:t>
            </w:r>
            <w:r w:rsidRPr="00157E90">
              <w:rPr>
                <w:rFonts w:ascii="Arial" w:hAnsi="Arial" w:cs="Arial"/>
                <w:sz w:val="18"/>
                <w:szCs w:val="18"/>
                <w:lang w:val="en-US"/>
              </w:rPr>
              <w:fldChar w:fldCharType="begin" w:fldLock="1"/>
            </w:r>
            <w:r w:rsidR="004114CD" w:rsidRPr="00157E90">
              <w:rPr>
                <w:rFonts w:ascii="Arial" w:hAnsi="Arial" w:cs="Arial"/>
                <w:sz w:val="18"/>
                <w:szCs w:val="18"/>
                <w:lang w:val="en-US"/>
              </w:rPr>
              <w:instrText>ADDIN CSL_CITATION {"citationItems":[{"id":"ITEM-1","itemData":{"DOI":"10.1016/S0042-6989(98)00117-5","ISSN":"00426989","PMID":"9893865","abstract":"This study examines the equivalence of the City University color vision test (CUT) to the Farnsworth-Munsell D-15 (D-15). This information is important because a number of occupations require individuals to pass either the D-15 of the CUT. Using two or more major crossings on the D-15 as failure, our results indicate that agreement between tests can be improved if the failing criterion for the CUT is either ≤ 5 total errors, or ≤ 2 errors on the large circles. Our preference is to use the criterion based on the large circles because there is a marginal improvement in agreement between the two tests for protanopes.","author":[{"dropping-particle":"","family":"Oliphant","given":"D.","non-dropping-particle":"","parse-names":false,"suffix":""},{"dropping-particle":"","family":"Hovis","given":"J. K.","non-dropping-particle":"","parse-names":false,"suffix":""}],"container-title":"Vision Research","id":"ITEM-1","issue":"21","issued":{"date-parts":[["1998","11"]]},"language":"eng","page":"3461-3465","publisher-place":"England","title":"Comparison of the D-15 and City University (second) color vision tests","type":"article-journal","volume":"38"},"uris":["http://www.mendeley.com/documents/?uuid=5708412c-56d2-4d21-a84f-bcc0381d9eac"]}],"mendeley":{"formattedCitation":"(Oliphant &amp; Hovis, 1998)","plainTextFormattedCitation":"(Oliphant &amp; Hovis, 1998)","previouslyFormattedCitation":"(Oliphant &amp; Hovis, 1998)"},"properties":{"noteIndex":0},"schema":"https://github.com/citation-style-language/schema/raw/master/csl-citation.json"}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(Oliphant &amp; Hovis, 1998)</w:t>
            </w:r>
            <w:r w:rsidRPr="00157E90">
              <w:rPr>
                <w:rFonts w:ascii="Arial" w:hAnsi="Arial" w:cs="Arial"/>
                <w:sz w:val="18"/>
                <w:szCs w:val="18"/>
                <w:lang w:val="en-US"/>
              </w:rPr>
              <w:fldChar w:fldCharType="end"/>
            </w:r>
          </w:p>
          <w:p w14:paraId="774F7E3F"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(CVD=70, CVN=81)</w:t>
            </w:r>
          </w:p>
          <w:p w14:paraId="3FAB301F"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2561EB35" w14:textId="6C09236F"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8</w:t>
            </w:r>
            <w:r w:rsidR="00B32BE1" w:rsidRPr="00157E90">
              <w:rPr>
                <w:rFonts w:ascii="Arial" w:hAnsi="Arial" w:cs="Arial"/>
                <w:sz w:val="18"/>
                <w:szCs w:val="18"/>
                <w:lang w:val="en-US"/>
              </w:rPr>
              <w:t>–</w:t>
            </w:r>
            <w:r w:rsidRPr="00157E90">
              <w:rPr>
                <w:rFonts w:ascii="Arial" w:hAnsi="Arial" w:cs="Arial"/>
                <w:sz w:val="18"/>
                <w:szCs w:val="18"/>
                <w:lang w:val="en-US"/>
              </w:rPr>
              <w:t>15 years</w:t>
            </w:r>
          </w:p>
          <w:p w14:paraId="388910D8" w14:textId="3844CC41"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0.92/0.99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{"citationItems":[{"id":"ITEM-1","itemData":{"DOI":"10.31729/jnma.2743","ISSN":"00282715","PMID":"27746468","abstract":"Introduction: Color vision is one of the important attribute of visual perception. The study was conducted at different schools of Kathmandu to compare the findings of the Ishihara Pseudoisochromatic test and the Farnsworth D-15 test. Method: A cross-sectional study was conducted among 2120 students of four schools of Kathmandu. Assessment included visual acuity measurement, slit lamp examination of anterior segment and fundus examination with direct ophthalmoscopy. Each student was assessed with the Ishihara pseudoisochromatic test and the Farnsworth D-15 test. The Chi-square test was performed to analyse color vision defect detected by the Ishihara test and the Farnsworth D-15 test. Results: A total of 2120 students comprising of 1114 males (52.5%) and 1006 females (47.5%) were recruited in the study with mean age of 12.2 years (SD 2.3 years). The prevalence of color vision defect as indicated by the Ishihara was 2.6 and as indicated by the D-15 test was 2.15 in males. Conclusion: For school color vision screening, the Ishihara color test and the Farnsworth D-15 test have equal capacity to detect congenital color vision defect and they complement each other.","author":[{"dropping-particle":"","family":"Shrestha","given":"Rajesh Kishor","non-dropping-particle":"","parse-names":false,"suffix":""},{"dropping-particle":"","family":"Shrestha","given":"Gauri Shankar","non-dropping-particle":"","parse-names":false,"suffix":""}],"container-title":"Journal of the Nepal Medical Association","id":"ITEM-1","issue":"200","issued":{"date-parts":[["2015"]]},"page":"266-269","title":"Assessment of color vision among school children: A comparative study between the Ishihara test and the Farnsworth D-15 test","type":"article-journal","volume":"53"},"uris":["http://www.mendeley.com/documents/?uuid=8a606e08-028e-49f1-ba0a-b0791fad735e"]}],"mendeley":{"formattedCitation":"(Shrestha &amp; Shrestha, 2015)","plainTextFormattedCitation":"(Shrestha &amp; Shrestha, 2015)","previouslyFormattedCitation":"(Shrestha &amp; Shrestha, 2015)"},"properties":{"noteIndex":0},"schema":"https://github.com/citation-style-language/schema/raw/master/csl-citation.json"}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(Shrestha &amp; Shrestha, 2015)</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7D57F7F8"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(CVD=24, CVN=1090)</w:t>
            </w:r>
          </w:p>
          <w:p w14:paraId="32D0EC91" w14:textId="70DAB324"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Ishihara</w:t>
            </w:r>
            <w:r w:rsidR="00837101" w:rsidRPr="00157E90">
              <w:rPr>
                <w:rFonts w:ascii="Arial" w:hAnsi="Arial" w:cs="Arial"/>
                <w:sz w:val="18"/>
                <w:szCs w:val="18"/>
                <w:lang w:val="en-US"/>
              </w:rPr>
              <w:t xml:space="preserve"> </w:t>
            </w:r>
          </w:p>
        </w:tc>
        <w:tc>
          <w:tcPr>
            <w:tcW w:w="1559" w:type="dxa"/>
            <w:tcBorders>
              <w:left w:val="single" w:sz="4" w:space="0" w:color="FFFFFF" w:themeColor="background1"/>
              <w:right w:val="single" w:sz="4" w:space="0" w:color="FFFFFF" w:themeColor="background1"/>
            </w:tcBorders>
            <w:shd w:val="clear" w:color="auto" w:fill="auto"/>
          </w:tcPr>
          <w:p w14:paraId="141039BD" w14:textId="7A436483"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5 years </w:t>
            </w:r>
            <w:r w:rsidR="00D00BA2"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{"citationItems":[{"id":"ITEM-1","itemData":{"DOI":"10.1136/bjo.86.12.1408","ISSN":"00071161","PMID":"12446376","abstract":"Aims: To provide normative data for chromatic discrimination on the Farnsworth-Munsell 100 hue test particularly for observers under 23 years of age. Methods: Normal observers were screened for congenital colour vision deficiencies using the Ishihara test leaving 382 observers. Results: New total error score (TES) norms (means and 95th percentiles) are presented for each year of age from 5-22 and for 10 year age groups from the 30s to the 70s. These norms are presented as actual values (TES) and also as square root values (√TES). Other data include partial error scores for red-green and blue-yellow axes discrimination. Conclusion: This study provides the most detailed set of normative data to date. The data are also in agreement with other reports of chromatic discrimination, showing that the performance in this task varies as a U-shape function with age, the best being achieved at 19 years of age.","author":[{"dropping-particle":"","family":"Kinnear","given":"P. R.","non-dropping-particle":"","parse-names":false,"suffix":""},{"dropping-particle":"","family":"Sahraie","given":"A.","non-dropping-particle":"","parse-names":false,"suffix":""}],"container-title":"British Journal of Ophthalmology","id":"ITEM-1","issue":"12","issued":{"date-parts":[["2002","12"]]},"language":"eng","page":"1408-1411","publisher-place":"England","title":"New Farnsworth-Munsell 100 hue test norms of normal observers for each year of age 5-22 and for age decades 30-70","type":"article-journal","volume":"86"},"uris":["http://www.mendeley.com/documents/?uuid=15de3195-76a6-48f7-9258-ad0e201f9010"]}],"mendeley":{"formattedCitation":"(Kinnear &amp; Sahraie, 2002)","plainTextFormattedCitation":"(Kinnear &amp; Sahraie, 2002)","previouslyFormattedCitation":"(Kinnear &amp; Sahraie, 2002)"},"properties":{"noteIndex":0},"schema":"https://github.com/citation-style-language/schema/raw/master/csl-citation.json"}</w:instrText>
            </w:r>
            <w:r w:rsidR="00D00BA2" w:rsidRPr="00157E90">
              <w:rPr>
                <w:rFonts w:ascii="Arial" w:hAnsi="Arial" w:cs="Arial"/>
                <w:sz w:val="18"/>
                <w:szCs w:val="18"/>
                <w:lang w:val="en-US"/>
              </w:rPr>
              <w:fldChar w:fldCharType="separate"/>
            </w:r>
            <w:r w:rsidR="00D00BA2" w:rsidRPr="00157E90">
              <w:rPr>
                <w:rFonts w:ascii="Arial" w:hAnsi="Arial" w:cs="Arial"/>
                <w:sz w:val="18"/>
                <w:szCs w:val="18"/>
                <w:lang w:val="en-US"/>
              </w:rPr>
              <w:t>(Kinnear &amp; Sahraie, 2002)</w:t>
            </w:r>
            <w:r w:rsidR="00D00BA2" w:rsidRPr="00157E90">
              <w:rPr>
                <w:rFonts w:ascii="Arial" w:hAnsi="Arial" w:cs="Arial"/>
                <w:sz w:val="18"/>
                <w:szCs w:val="18"/>
                <w:lang w:val="en-US"/>
              </w:rPr>
              <w:fldChar w:fldCharType="end"/>
            </w:r>
          </w:p>
        </w:tc>
        <w:tc>
          <w:tcPr>
            <w:tcW w:w="2551" w:type="dxa"/>
            <w:tcBorders>
              <w:left w:val="single" w:sz="4" w:space="0" w:color="FFFFFF" w:themeColor="background1"/>
              <w:right w:val="single" w:sz="4" w:space="0" w:color="FFFFFF" w:themeColor="background1"/>
            </w:tcBorders>
            <w:shd w:val="clear" w:color="auto" w:fill="auto"/>
          </w:tcPr>
          <w:p w14:paraId="4D83D0F1" w14:textId="77777777"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p>
          <w:p w14:paraId="54F379C0" w14:textId="34D924AD" w:rsidR="00B809E7" w:rsidRPr="00157E90" w:rsidRDefault="00B809E7" w:rsidP="006A60F3">
            <w:pPr>
              <w:spacing w:line="240" w:lineRule="auto"/>
              <w:rPr>
                <w:rFonts w:ascii="Arial" w:hAnsi="Arial" w:cs="Arial"/>
                <w:sz w:val="18"/>
                <w:szCs w:val="18"/>
                <w:lang w:val="en-US"/>
              </w:rPr>
            </w:pPr>
            <w:r w:rsidRPr="00157E90">
              <w:rPr>
                <w:rFonts w:ascii="Arial" w:hAnsi="Arial" w:cs="Arial"/>
                <w:sz w:val="18"/>
                <w:szCs w:val="18"/>
                <w:lang w:val="en-US"/>
              </w:rPr>
              <w:t xml:space="preserve">Performance is correlated with IQ </w:t>
            </w:r>
            <w:r w:rsidRPr="00157E90">
              <w:rPr>
                <w:rFonts w:ascii="Arial" w:hAnsi="Arial" w:cs="Arial"/>
                <w:sz w:val="18"/>
                <w:szCs w:val="18"/>
                <w:lang w:val="en-US"/>
              </w:rPr>
              <w:fldChar w:fldCharType="begin" w:fldLock="1"/>
            </w:r>
            <w:r w:rsidR="00F37517" w:rsidRPr="00157E90">
              <w:rPr>
                <w:rFonts w:ascii="Arial" w:hAnsi="Arial" w:cs="Arial"/>
                <w:sz w:val="18"/>
                <w:szCs w:val="18"/>
                <w:lang w:val="en-US"/>
              </w:rPr>
              <w:instrText>ADDIN CSL_CITATION {"citationItems":[{"id":"ITEM-1","itemData":{"DOI":"10.1167/iovs.14-16094","ISSN":"15525783","PMID":"26024100","abstract":"PURPOSE. The Farnsworth-Munsell 100-Hue test (FM100) is a standardized measure of chromatic discrimination, based on colored cap-sorting, which has been widely used in both adults and children. Its dependence on seriation ability raises questions as to its universal suitability and accuracy in assessing purely sensory discrimination. This study investigates how general intellectual ability relates to performance on both the FM100 and a new computer-based chromatic discrimination threshold test, across different age groups in both typical and atypical development. METHODS. Participants were divided into two main age groups, children (6–15 years) and young adults (16–25 years), with each group further subdivided into typically developing (TD; three groups; TD 6–7 years, TD 8–9 years, TD Adult) individuals and atypically developing individuals, all but one carrying a diagnosis of Autism Spectrum Disorders (ASD; two groups; atypically developing [ATY] child 7–15 years, ASD Adult). General intelligence was measured using the Wechsler Abbreviated Intelligence Scale and Wechsler Intelligence Scale for Children. All participants completed the FM100. Both child groups also completed a computer-based chromatic discrimination threshold test, which assessed discrimination along cone-opponent (‘‘red-green,’’ ‘‘blue-yellow’’) and luminance cardinal axes using a controlled staircase procedure. RESULTS. Farnsworth-Munsell 100-Hue test performance was better in adults than in children. Furthermore, performance significantly positively correlated with nonverbal intelligence quotient (NVIQ) for all child groups and the young adult ASD group. The slope of this relationship was steeper for the ASD than TD groups. Performance on the chromatic discrimination threshold test was not significantly related to any IQ measure. Regression models reveal that chromatic discrimination threshold, although a significant predictor of FM100 performance when used alone, is a weaker predictor than NVIQ used alone or in combination. CONCLUSIONS. The results indicate that FM100 performance is not purely a measure of color discrimination but instead also reflects general nonverbal ability. Other measures of chromatic discrimination ability are therefore required for its accurate assessment, particularly in early or atypical development.","author":[{"dropping-particle":"","family":"Cranwell","given":"Matthew B.","non-dropping-particle":"","parse-names":false,"suffix":""},{"dropping-particle":"","family":"Pearce","given":"Bradley","non-dropping-particle":"","parse-names":false,"suffix":""},{"dropping-particle":"","family":"Loveridge","given":"Camilla","non-dropping-particle":"","parse-names":false,"suffix":""},{"dropping-particle":"","family":"Hurlbert","given":"Anya C.","non-dropping-particle":"","parse-names":false,"suffix":""}],"container-title":"Investigative Ophthalmology and Visual Science","id":"ITEM-1","issue":"5","issued":{"date-parts":[["2015","5"]]},"language":"eng","page":"3171-3178","publisher-place":"United States","title":"Performance on the Farnsworth-Munsell 100-hue test is significantly related to nonverbal IQ","type":"article-journal","volume":"56"},"uris":["http://www.mendeley.com/documents/?uuid=49303f8d-4628-4cfd-aa3a-8ca8aa149bb5"]}],"mendeley":{"formattedCitation":"(Cranwell et al., 2015)","plainTextFormattedCitation":"(Cranwell et al., 2015)","previouslyFormattedCitation":"(Cranwell et al., 2015)"},"properties":{"noteIndex":0},"schema":"https://github.com/citation-style-language/schema/raw/master/csl-citation.json"}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(Cranwell et al., 2015)</w:t>
            </w:r>
            <w:r w:rsidRPr="00157E90">
              <w:rPr>
                <w:rFonts w:ascii="Arial" w:hAnsi="Arial" w:cs="Arial"/>
                <w:sz w:val="18"/>
                <w:szCs w:val="18"/>
                <w:lang w:val="en-US"/>
              </w:rPr>
              <w:fldChar w:fldCharType="end"/>
            </w:r>
          </w:p>
        </w:tc>
      </w:tr>
      <w:tr w:rsidR="00A720AE" w:rsidRPr="00157E90" w14:paraId="17464110"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658B6649"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Lanthony</w:t>
            </w:r>
            <w:proofErr w:type="spellEnd"/>
            <w:r w:rsidRPr="00157E90">
              <w:rPr>
                <w:rFonts w:ascii="Arial" w:hAnsi="Arial" w:cs="Arial"/>
                <w:sz w:val="18"/>
                <w:szCs w:val="18"/>
                <w:lang w:val="en-US"/>
              </w:rPr>
              <w:t xml:space="preserve"> </w:t>
            </w:r>
            <w:proofErr w:type="spellStart"/>
            <w:r w:rsidRPr="00157E90">
              <w:rPr>
                <w:rFonts w:ascii="Arial" w:hAnsi="Arial" w:cs="Arial"/>
                <w:sz w:val="18"/>
                <w:szCs w:val="18"/>
                <w:lang w:val="en-US"/>
              </w:rPr>
              <w:t>Desaturated</w:t>
            </w:r>
            <w:proofErr w:type="spellEnd"/>
            <w:r w:rsidRPr="00157E90">
              <w:rPr>
                <w:rFonts w:ascii="Arial" w:hAnsi="Arial" w:cs="Arial"/>
                <w:sz w:val="18"/>
                <w:szCs w:val="18"/>
                <w:lang w:val="en-US"/>
              </w:rPr>
              <w:t xml:space="preserve"> D-15</w:t>
            </w:r>
          </w:p>
          <w:p w14:paraId="2FDFFBA7" w14:textId="373F0574" w:rsidR="00B809E7" w:rsidRPr="00157E90" w:rsidRDefault="00D00BA2"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{"citationItems":[{"id":"ITEM-1","itemData":{"DOI":"10.1007/BF00174107","ISSN":"00124486","PMID":"310382","abstract":"The Desaturated Panel D-15 is analogous in design to the standard Panel D-15 but of lower purity (chroma 2 Munsell); the test is more sensitive to mild and moderate losses in chromatic discrimination ability. Combination of the results of both tests allows recognition of several degrees of chromatic discrimination loss. © 1978 Dr. W. Junk b.v. Publishers.","author":[{"dropping-particle":"","family":"Lanthony","given":"P.","non-dropping-particle":"","parse-names":false,"suffix":""}],"container-title":"Documenta Ophthalmologica","id":"ITEM-1","issue":"1","issued":{"date-parts":[["1978"]]},"page":"185-189","title":"The desaturated panel D-15","type":"article-journal","volume":"46"},"uris":["http://www.mendeley.com/documents/?uuid=2a9e9c4c-2b95-4900-81c5-67b2ea54b6d6"]}],"mendeley":{"formattedCitation":"(Lanthony, 1978)","plainTextFormattedCitation":"(Lanthony, 1978)","previouslyFormattedCitation":"(Lanthony, 1978)"},"properties":{"noteIndex":0},"schema":"https://github.com/citation-style-language/schema/raw/master/csl-citation.json"}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(Lanthony, 1978)</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3EC5F62E" w14:textId="21DBFC2A"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0.79/1.00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{"citationItems":[{"id":"ITEM-1","itemData":{"DOI":"10.3357/AMHP.5009.2018","ISSN":"23756322","PMID":"30020059","abstract":"INTRODUCTION: The aim of this study was to evaluate the ability of eight color vision tests to screen for and accurately measure hereditary color-deficiency in order to improve color vision assessment methods for aircraft pilots. METHODS: This prospective study included 29 color-deficient subjects and 23 healthy subjects. All performed the following tests: Ishihara plates, Farnsworth D15, Lanthony desaturated 15 Hue, Munsell 100 Hue, Beyne and Fletcher-Evans CAM lanterns, Nagel anomaloscope, and the Color Assessment and Diagnosis (CAD) test. The sensitivity and specificity of color-deficiency diagnosis were evaluated for each test, as well as the test's relevance for assessing aircraft pilots. RESULTS: The Ishihara plate test demonstrated a sensitivity of 0.97 and a specificity of 1.00 for color-deficiency screening. The CAD test and anomaloscope showed both a sensitivity and specificity of 1.00. The Beyne lantern, Fletcher lantern, Farnsworth D15, and the Lanthony 15 Hue tests all showed a specificity of 1.00 and sensitivities of, respectively, 0.69, 0.97, 0.58, and 0.79. During aircraft pilot selection tests, the CAD test classified 10% of color-deficient subjects as safe to fly, the anomaloscope 17%, and the Beyne and Fletcher lantern tests, respectively, 31% and 3%. DISCUSSION: The discrepancy in results confirms that current color vision test protocols need to be reassessed. The CAD test could be an interesting alternative to the series of tests used to assess flight crew, but it seems more selective than current tests.","author":[{"dropping-particle":"","family":"Marechal","given":"Marie","non-dropping-particle":"","parse-names":false,"suffix":""},{"dropping-particle":"","family":"Delbarre","given":"Maxime","non-dropping-particle":"","parse-names":false,"suffix":""},{"dropping-particle":"","family":"Tesson","given":"Joachim","non-dropping-particle":"","parse-names":false,"suffix":""},{"dropping-particle":"","family":"Lacambre","given":"Carole","non-dropping-particle":"","parse-names":false,"suffix":""},{"dropping-particle":"","family":"Lefebvre","given":"Hélène","non-dropping-particle":"","parse-names":false,"suffix":""},{"dropping-particle":"","family":"Froussart-Maille","given":"Françoise","non-dropping-particle":"","parse-names":false,"suffix":""}],"container-title":"Aerospace Medicine and Human Performance","id":"ITEM-1","issue":"8","issued":{"date-parts":[["2018","8"]]},"language":"eng","page":"737-743","publisher-place":"United States","title":"Color vision tests in pilots' medical assessments","type":"article-journal","volume":"89"},"uris":["http://www.mendeley.com/documents/?uuid=759dfcf3-1f58-4458-82f5-a3f456bea4fb"]}],"mendeley":{"formattedCitation":"(Marechal et al., 2018)","plainTextFormattedCitation":"(Marechal et al., 2018)","previouslyFormattedCitation":"(Marechal et al., 2018)"},"properties":{"noteIndex":0},"schema":"https://github.com/citation-style-language/schema/raw/master/csl-citation.json"}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(Marechal et al., 2018)</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4B822B9C"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(CVD=29, CVN=23)</w:t>
            </w:r>
          </w:p>
          <w:p w14:paraId="5BCFE4E6"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518D349A"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1559" w:type="dxa"/>
            <w:tcBorders>
              <w:left w:val="single" w:sz="4" w:space="0" w:color="FFFFFF" w:themeColor="background1"/>
              <w:right w:val="single" w:sz="4" w:space="0" w:color="FFFFFF" w:themeColor="background1"/>
            </w:tcBorders>
            <w:shd w:val="clear" w:color="auto" w:fill="auto"/>
          </w:tcPr>
          <w:p w14:paraId="3127EB1C" w14:textId="79988882"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5 years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{"citationItems":[{"id":"ITEM-1","itemData":{"DOI":"10.1007/BF00174107","ISSN":"00124486","PMID":"310382","abstract":"The Desaturated Panel D-15 is analogous in design to the standard Panel D-15 but of lower purity (chroma 2 Munsell); the test is more sensitive to mild and moderate losses in chromatic discrimination ability. Combination of the results of both tests allows recognition of several degrees of chromatic discrimination loss. © 1978 Dr. W. Junk b.v. Publishers.","author":[{"dropping-particle":"","family":"Lanthony","given":"P.","non-dropping-particle":"","parse-names":false,"suffix":""}],"container-title":"Documenta Ophthalmologica","id":"ITEM-1","issue":"1","issued":{"date-parts":[["1978"]]},"page":"185-189","title":"The desaturated panel D-15","type":"article-journal","volume":"46"},"uris":["http://www.mendeley.com/documents/?uuid=2a9e9c4c-2b95-4900-81c5-67b2ea54b6d6"]}],"mendeley":{"formattedCitation":"(Lanthony, 1978)","plainTextFormattedCitation":"(Lanthony, 1978)","previouslyFormattedCitation":"(Lanthony, 1978)"},"properties":{"noteIndex":0},"schema":"https://github.com/citation-style-language/schema/raw/master/csl-citation.json"}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(Lanthony, 1978)</w:t>
            </w:r>
            <w:r w:rsidRPr="00157E90">
              <w:rPr>
                <w:rFonts w:ascii="Arial" w:hAnsi="Arial" w:cs="Arial"/>
                <w:sz w:val="18"/>
                <w:szCs w:val="18"/>
                <w:lang w:val="en-US"/>
              </w:rPr>
              <w:fldChar w:fldCharType="end"/>
            </w:r>
          </w:p>
        </w:tc>
        <w:tc>
          <w:tcPr>
            <w:tcW w:w="2551" w:type="dxa"/>
            <w:tcBorders>
              <w:left w:val="single" w:sz="4" w:space="0" w:color="FFFFFF" w:themeColor="background1"/>
              <w:right w:val="single" w:sz="4" w:space="0" w:color="FFFFFF" w:themeColor="background1"/>
            </w:tcBorders>
            <w:shd w:val="clear" w:color="auto" w:fill="auto"/>
          </w:tcPr>
          <w:p w14:paraId="637371FA" w14:textId="300859F9"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5EE877BC" w14:textId="77777777" w:rsidR="00B809E7" w:rsidRPr="00157E90" w:rsidRDefault="00B809E7" w:rsidP="006A60F3">
            <w:pPr>
              <w:pStyle w:val="ListParagraph"/>
              <w:spacing w:line="240" w:lineRule="auto"/>
              <w:ind w:left="360"/>
              <w:rPr>
                <w:rFonts w:ascii="Arial" w:hAnsi="Arial" w:cs="Arial"/>
                <w:sz w:val="18"/>
                <w:szCs w:val="18"/>
                <w:lang w:val="en-US"/>
              </w:rPr>
            </w:pPr>
          </w:p>
        </w:tc>
      </w:tr>
      <w:tr w:rsidR="00A720AE" w:rsidRPr="00157E90" w14:paraId="46BBD440"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7D3ACD83" w14:textId="77777777" w:rsidR="00B809E7" w:rsidRPr="00157E90" w:rsidRDefault="00B809E7" w:rsidP="006A60F3">
            <w:pPr>
              <w:spacing w:line="240" w:lineRule="auto"/>
              <w:rPr>
                <w:rFonts w:ascii="Arial" w:hAnsi="Arial" w:cs="Arial"/>
                <w:b/>
                <w:bCs/>
                <w:sz w:val="18"/>
                <w:szCs w:val="18"/>
                <w:lang w:val="en-US"/>
              </w:rPr>
            </w:pPr>
            <w:r w:rsidRPr="00157E90">
              <w:rPr>
                <w:rFonts w:ascii="Arial" w:hAnsi="Arial" w:cs="Arial"/>
                <w:b/>
                <w:bCs/>
                <w:sz w:val="18"/>
                <w:szCs w:val="18"/>
                <w:lang w:val="en-US"/>
              </w:rPr>
              <w:t>Oddity</w:t>
            </w:r>
          </w:p>
        </w:tc>
        <w:tc>
          <w:tcPr>
            <w:tcW w:w="2268" w:type="dxa"/>
            <w:tcBorders>
              <w:left w:val="single" w:sz="4" w:space="0" w:color="FFFFFF" w:themeColor="background1"/>
              <w:right w:val="single" w:sz="4" w:space="0" w:color="FFFFFF" w:themeColor="background1"/>
            </w:tcBorders>
            <w:shd w:val="clear" w:color="auto" w:fill="auto"/>
          </w:tcPr>
          <w:p w14:paraId="53EB1E76" w14:textId="77777777" w:rsidR="00B809E7" w:rsidRPr="00157E90" w:rsidRDefault="00B809E7" w:rsidP="006A60F3">
            <w:pPr>
              <w:spacing w:line="240" w:lineRule="auto"/>
              <w:jc w:val="center"/>
              <w:rPr>
                <w:rFonts w:ascii="Arial" w:hAnsi="Arial" w:cs="Arial"/>
                <w:sz w:val="18"/>
                <w:szCs w:val="18"/>
                <w:lang w:val="en-US"/>
              </w:rPr>
            </w:pPr>
          </w:p>
        </w:tc>
        <w:tc>
          <w:tcPr>
            <w:tcW w:w="1985" w:type="dxa"/>
            <w:tcBorders>
              <w:left w:val="single" w:sz="4" w:space="0" w:color="FFFFFF" w:themeColor="background1"/>
              <w:right w:val="single" w:sz="4" w:space="0" w:color="FFFFFF" w:themeColor="background1"/>
            </w:tcBorders>
          </w:tcPr>
          <w:p w14:paraId="7DFC8914" w14:textId="77777777" w:rsidR="00B809E7" w:rsidRPr="00157E90" w:rsidRDefault="00B809E7" w:rsidP="006A60F3">
            <w:pPr>
              <w:spacing w:line="240" w:lineRule="auto"/>
              <w:jc w:val="center"/>
              <w:rPr>
                <w:rFonts w:ascii="Arial" w:hAnsi="Arial" w:cs="Arial"/>
                <w:sz w:val="18"/>
                <w:szCs w:val="18"/>
                <w:lang w:val="en-US"/>
              </w:rPr>
            </w:pPr>
          </w:p>
        </w:tc>
        <w:tc>
          <w:tcPr>
            <w:tcW w:w="1559" w:type="dxa"/>
            <w:tcBorders>
              <w:left w:val="single" w:sz="4" w:space="0" w:color="FFFFFF" w:themeColor="background1"/>
              <w:right w:val="single" w:sz="4" w:space="0" w:color="FFFFFF" w:themeColor="background1"/>
            </w:tcBorders>
            <w:shd w:val="clear" w:color="auto" w:fill="auto"/>
          </w:tcPr>
          <w:p w14:paraId="5C23B9E7" w14:textId="77777777" w:rsidR="00B809E7" w:rsidRPr="00157E90" w:rsidRDefault="00B809E7" w:rsidP="006A60F3">
            <w:pPr>
              <w:spacing w:line="240" w:lineRule="auto"/>
              <w:jc w:val="center"/>
              <w:rPr>
                <w:rFonts w:ascii="Arial" w:hAnsi="Arial" w:cs="Arial"/>
                <w:sz w:val="18"/>
                <w:szCs w:val="18"/>
                <w:lang w:val="en-US"/>
              </w:rPr>
            </w:pPr>
          </w:p>
        </w:tc>
        <w:tc>
          <w:tcPr>
            <w:tcW w:w="2551" w:type="dxa"/>
            <w:tcBorders>
              <w:left w:val="single" w:sz="4" w:space="0" w:color="FFFFFF" w:themeColor="background1"/>
              <w:right w:val="single" w:sz="4" w:space="0" w:color="FFFFFF" w:themeColor="background1"/>
            </w:tcBorders>
            <w:shd w:val="clear" w:color="auto" w:fill="auto"/>
          </w:tcPr>
          <w:p w14:paraId="619FB3A6" w14:textId="77777777" w:rsidR="00B809E7" w:rsidRPr="00157E90" w:rsidRDefault="00B809E7" w:rsidP="006A60F3">
            <w:pPr>
              <w:spacing w:line="240" w:lineRule="auto"/>
              <w:jc w:val="center"/>
              <w:rPr>
                <w:rFonts w:ascii="Arial" w:hAnsi="Arial" w:cs="Arial"/>
                <w:sz w:val="18"/>
                <w:szCs w:val="18"/>
                <w:lang w:val="en-US"/>
              </w:rPr>
            </w:pPr>
          </w:p>
        </w:tc>
      </w:tr>
      <w:tr w:rsidR="00A720AE" w:rsidRPr="00157E90" w14:paraId="764EEC99"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2ECA7923"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City University Test</w:t>
            </w:r>
          </w:p>
          <w:p w14:paraId="1D3FCD08" w14:textId="66839C41" w:rsidR="00B809E7" w:rsidRPr="00157E90" w:rsidRDefault="00D00BA2" w:rsidP="00E56675">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F37517" w:rsidRPr="00157E90">
              <w:rPr>
                <w:rFonts w:ascii="Arial" w:hAnsi="Arial" w:cs="Arial"/>
                <w:sz w:val="18"/>
                <w:szCs w:val="18"/>
                <w:lang w:val="en-US"/>
              </w:rPr>
              <w:instrText>ADDIN CSL_CITATION {"citationItems":[{"id":"ITEM-1","itemData":{"DOI":"10.1111/j.1475-1313.1984.tb00367.x","ISSN":"14751313","author":[{"dropping-particle":"","family":"Fletcher","given":"R.","non-dropping-particle":"","parse-names":false,"suffix":""}],"container-title":"Ophthalmic and Physiological Optics","id":"ITEM-1","issue":"3","issued":{"date-parts":[["1984","7","1"]]},"note":"doi: 10.1111/j.1475-1313.1984.tb00367.x","page":"279-279","publisher":"John Wiley &amp; Sons, Ltd","title":"The City University Colour Vision Test","type":"article-journal","volume":"4"},"uris":["http://www.mendeley.com/documents/?uuid=65cefafa-ef37-499e-9538-1c9621e3ff02"]}],"mendeley":{"formattedCitation":"(Fletcher, 1984)","plainTextFormattedCitation":"(Fletcher, 1984)","previouslyFormattedCitation":"(Fletcher, 1984)"},"properties":{"noteIndex":0},"schema":"https://github.com/citation-style-language/schema/raw/master/csl-citation.json"}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(Fletcher, 1984)</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33A96800" w14:textId="76ADCD1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0.95/0.83 </w:t>
            </w:r>
            <w:r w:rsidRPr="00157E90">
              <w:rPr>
                <w:rFonts w:ascii="Arial" w:hAnsi="Arial" w:cs="Arial"/>
                <w:sz w:val="18"/>
                <w:szCs w:val="18"/>
                <w:lang w:val="en-US"/>
              </w:rPr>
              <w:fldChar w:fldCharType="begin" w:fldLock="1"/>
            </w:r>
            <w:r w:rsidR="004114CD" w:rsidRPr="00157E90">
              <w:rPr>
                <w:rFonts w:ascii="Arial" w:hAnsi="Arial" w:cs="Arial"/>
                <w:sz w:val="18"/>
                <w:szCs w:val="18"/>
                <w:lang w:val="en-US"/>
              </w:rPr>
              <w:instrText>ADDIN CSL_CITATION {"citationItems":[{"id":"ITEM-1","itemData":{"DOI":"10.1016/S0042-6989(98)00117-5","ISSN":"00426989","PMID":"9893865","abstract":"This study examines the equivalence of the City University color vision test (CUT) to the Farnsworth-Munsell D-15 (D-15). This information is important because a number of occupations require individuals to pass either the D-15 of the CUT. Using two or more major crossings on the D-15 as failure, our results indicate that agreement between tests can be improved if the failing criterion for the CUT is either ≤ 5 total errors, or ≤ 2 errors on the large circles. Our preference is to use the criterion based on the large circles because there is a marginal improvement in agreement between the two tests for protanopes.","author":[{"dropping-particle":"","family":"Oliphant","given":"D.","non-dropping-particle":"","parse-names":false,"suffix":""},{"dropping-particle":"","family":"Hovis","given":"J. K.","non-dropping-particle":"","parse-names":false,"suffix":""}],"container-title":"Vision Research","id":"ITEM-1","issue":"21","issued":{"date-parts":[["1998","11"]]},"language":"eng","page":"3461-3465","publisher-place":"England","title":"Comparison of the D-15 and City University (second) color vision tests","type":"article-journal","volume":"38"},"uris":["http://www.mendeley.com/documents/?uuid=5708412c-56d2-4d21-a84f-bcc0381d9eac"]}],"mendeley":{"formattedCitation":"(Oliphant &amp; Hovis, 1998)","plainTextFormattedCitation":"(Oliphant &amp; Hovis, 1998)","previouslyFormattedCitation":"(Oliphant &amp; Hovis, 1998)"},"properties":{"noteIndex":0},"schema":"https://github.com/citation-style-language/schema/raw/master/csl-citation.json"}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(Oliphant &amp; Hovis, 1998)</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05079568"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(CVD=70, CVN=81)</w:t>
            </w:r>
          </w:p>
          <w:p w14:paraId="0EFB5C40"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5C0EAFD5"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1559" w:type="dxa"/>
            <w:tcBorders>
              <w:left w:val="single" w:sz="4" w:space="0" w:color="FFFFFF" w:themeColor="background1"/>
              <w:right w:val="single" w:sz="4" w:space="0" w:color="FFFFFF" w:themeColor="background1"/>
            </w:tcBorders>
            <w:shd w:val="clear" w:color="auto" w:fill="auto"/>
          </w:tcPr>
          <w:p w14:paraId="3A7C5B24" w14:textId="19C8785B"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4 years </w:t>
            </w:r>
            <w:r w:rsidR="00D00BA2" w:rsidRPr="00157E90">
              <w:rPr>
                <w:rFonts w:ascii="Arial" w:hAnsi="Arial" w:cs="Arial"/>
                <w:sz w:val="18"/>
                <w:szCs w:val="18"/>
                <w:lang w:val="en-US"/>
              </w:rPr>
              <w:fldChar w:fldCharType="begin" w:fldLock="1"/>
            </w:r>
            <w:r w:rsidR="005F01B6" w:rsidRPr="00157E90">
              <w:rPr>
                <w:rFonts w:ascii="Arial" w:hAnsi="Arial" w:cs="Arial"/>
                <w:sz w:val="18"/>
                <w:szCs w:val="18"/>
                <w:lang w:val="en-US"/>
              </w:rPr>
              <w:instrText>ADDIN CSL_CITATION {"citationItems":[{"id":"ITEM-1","itemData":{"DOI":"10.1016/j.oftal.2018.08.006","ISSN":"03656691","PMID":"30361001","abstract":"Introduction: Congenital colour vision deficiencies affect 8% of the male and 0.5% of the female population. The study of colour vision is a complex process due to several factors: the psychophysics of vision itself, the difficulty to establish mathematical models for its analysis, the vague correlation of results between different tests, and the influence of external factors such as lighting, the tests condition, or the experience of the examiner and the patient. In the present document, a simplified review was carried out on the main colour vision tests available in clinical practice. Material and methods: Once a filtered preliminary review was made of the bibliography related to the study of colour vision using the PubMed search tool, the most used tests in clinical practice were selected according to their frequency of use and the purpose for which they were applied. A bibliographic study was then carried out on each particular test according to the design of the shown stimuli, its target population, and its sensitivity and specificity. Results: From the 95 publications found using the PubMed search tool, in 41 of them, colour tests were used by researchers in their methodology. From the 64 colour tests used, 19 of them were different (with 4 of them being different tests adapted by research groups, and 2 of them carried out online). The most used tests were the following: Ishihara test (10.88%), Farnsworth-Munsell (7.04%), Farnsworth-Munsell 100 Hue (6.4%), Cambridge Colour Test (3.84%), Hardy-Rand-Rittler (3.2%), tests developed by the groups (2.56%), the Anomaloscope (1.28%), the online tests (1.28%) and, finally, Colour Assessment and Diagnosis (0.64%), Pflüger Trident Colour Plates (0.64%), Toothguide Training Box (0.64%), Lanthony Desaturated D-15 (0.64%), City University Test (0.64%), Universal Colour Discrimination Test (0.64%), and Rabin Cone Contrast Test (0.64%). Conclusions: The Anomaloscope is the “gold standard” in terms of colour vision testing, despite its incompatibility with daily clinical practice. It is fairly complex to use, difficult to understand for children, and its practice requires having the time available. Nevertheless, it is possible to reach an accurate approximation through the combination of some of the tests listed in this article. The above mentioned tests are a good alternative to determine the presence of dyschromatopsia in settings closer to daily clinical practice or in less controlled settings than a clinical …","author":[{"dropping-particle":"","family":"Fanlo Zarazaga","given":"A.","non-dropping-particle":"","parse-names":false,"suffix":""},{"dropping-particle":"","family":"Gutiérrez Vásquez","given":"J.","non-dropping-particle":"","parse-names":false,"suffix":""},{"dropping-particle":"","family":"Pueyo Royo","given":"V.","non-dropping-particle":"","parse-names":false,"suffix":""}],"container-title":"Archivos de la Sociedad Espanola de Oftalmologia","id":"ITEM-1","issue":"1","issued":{"date-parts":[["2019"]]},"page":"25-32","publisher":"Sociedad Española de Oftalmología","title":"Review of the main colour vision clinical assessment tests","type":"article-journal","volume":"94"},"uris":["http://www.mendeley.com/documents/?uuid=610446eb-ee8b-48f4-95ad-2304578cb5d9"]}],"mendeley":{"formattedCitation":"(Fanlo Zarazaga et al., 2019)","plainTextFormattedCitation":"(Fanlo Zarazaga et al., 2019)","previouslyFormattedCitation":"(Fanlo Zarazaga et al., 2019)"},"properties":{"noteIndex":0},"schema":"https://github.com/citation-style-language/schema/raw/master/csl-citation.json"}</w:instrText>
            </w:r>
            <w:r w:rsidR="00D00BA2" w:rsidRPr="00157E90">
              <w:rPr>
                <w:rFonts w:ascii="Arial" w:hAnsi="Arial" w:cs="Arial"/>
                <w:sz w:val="18"/>
                <w:szCs w:val="18"/>
                <w:lang w:val="en-US"/>
              </w:rPr>
              <w:fldChar w:fldCharType="separate"/>
            </w:r>
            <w:r w:rsidR="005D22AB" w:rsidRPr="00157E90">
              <w:rPr>
                <w:rFonts w:ascii="Arial" w:hAnsi="Arial" w:cs="Arial"/>
                <w:sz w:val="18"/>
                <w:szCs w:val="18"/>
                <w:lang w:val="en-US"/>
              </w:rPr>
              <w:t>(Fanlo Zarazaga et al., 2019)</w:t>
            </w:r>
            <w:r w:rsidR="00D00BA2" w:rsidRPr="00157E90">
              <w:rPr>
                <w:rFonts w:ascii="Arial" w:hAnsi="Arial" w:cs="Arial"/>
                <w:sz w:val="18"/>
                <w:szCs w:val="18"/>
                <w:lang w:val="en-US"/>
              </w:rPr>
              <w:fldChar w:fldCharType="end"/>
            </w:r>
          </w:p>
        </w:tc>
        <w:tc>
          <w:tcPr>
            <w:tcW w:w="2551" w:type="dxa"/>
            <w:tcBorders>
              <w:left w:val="single" w:sz="4" w:space="0" w:color="FFFFFF" w:themeColor="background1"/>
              <w:right w:val="single" w:sz="4" w:space="0" w:color="FFFFFF" w:themeColor="background1"/>
            </w:tcBorders>
            <w:shd w:val="clear" w:color="auto" w:fill="auto"/>
          </w:tcPr>
          <w:p w14:paraId="4FC148F9" w14:textId="346F8095"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45194A94" w14:textId="77777777" w:rsidR="00B809E7" w:rsidRPr="00157E90" w:rsidRDefault="00B809E7" w:rsidP="006A60F3">
            <w:pPr>
              <w:pStyle w:val="NoSpacing"/>
              <w:spacing w:line="240" w:lineRule="auto"/>
              <w:rPr>
                <w:rFonts w:ascii="Arial" w:hAnsi="Arial" w:cs="Arial"/>
                <w:sz w:val="18"/>
                <w:szCs w:val="18"/>
                <w:lang w:val="en-US"/>
              </w:rPr>
            </w:pPr>
            <w:r w:rsidRPr="00157E90">
              <w:rPr>
                <w:rFonts w:ascii="Arial" w:eastAsia="Batang" w:hAnsi="Arial" w:cs="Arial"/>
                <w:sz w:val="18"/>
                <w:szCs w:val="18"/>
                <w:lang w:val="en-US" w:eastAsia="en-US"/>
              </w:rPr>
              <w:t>Requires knowledge of identifying orientation (up, down, left, right) verbally</w:t>
            </w:r>
          </w:p>
        </w:tc>
      </w:tr>
      <w:tr w:rsidR="00A720AE" w:rsidRPr="00157E90" w14:paraId="015C7D4D"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4CD7ABCF" w14:textId="77777777" w:rsidR="00B809E7" w:rsidRPr="00157E90" w:rsidRDefault="00B809E7" w:rsidP="006A60F3">
            <w:pPr>
              <w:spacing w:line="240" w:lineRule="auto"/>
              <w:rPr>
                <w:rFonts w:ascii="Arial" w:hAnsi="Arial" w:cs="Arial"/>
                <w:b/>
                <w:bCs/>
                <w:sz w:val="18"/>
                <w:szCs w:val="18"/>
                <w:lang w:val="en-US"/>
              </w:rPr>
            </w:pPr>
            <w:r w:rsidRPr="00157E90">
              <w:rPr>
                <w:rFonts w:ascii="Arial" w:hAnsi="Arial" w:cs="Arial"/>
                <w:b/>
                <w:bCs/>
                <w:sz w:val="18"/>
                <w:szCs w:val="18"/>
                <w:lang w:val="en-US"/>
              </w:rPr>
              <w:t>Computerized</w:t>
            </w:r>
          </w:p>
        </w:tc>
        <w:tc>
          <w:tcPr>
            <w:tcW w:w="2268" w:type="dxa"/>
            <w:tcBorders>
              <w:left w:val="single" w:sz="4" w:space="0" w:color="FFFFFF" w:themeColor="background1"/>
              <w:right w:val="single" w:sz="4" w:space="0" w:color="FFFFFF" w:themeColor="background1"/>
            </w:tcBorders>
            <w:shd w:val="clear" w:color="auto" w:fill="auto"/>
          </w:tcPr>
          <w:p w14:paraId="08E6F25A" w14:textId="77777777" w:rsidR="00B809E7" w:rsidRPr="00157E90" w:rsidRDefault="00B809E7" w:rsidP="006A60F3">
            <w:pPr>
              <w:spacing w:line="240" w:lineRule="auto"/>
              <w:jc w:val="center"/>
              <w:rPr>
                <w:rFonts w:ascii="Arial" w:hAnsi="Arial" w:cs="Arial"/>
                <w:sz w:val="18"/>
                <w:szCs w:val="18"/>
                <w:lang w:val="en-US"/>
              </w:rPr>
            </w:pPr>
          </w:p>
        </w:tc>
        <w:tc>
          <w:tcPr>
            <w:tcW w:w="1985" w:type="dxa"/>
            <w:tcBorders>
              <w:left w:val="single" w:sz="4" w:space="0" w:color="FFFFFF" w:themeColor="background1"/>
              <w:right w:val="single" w:sz="4" w:space="0" w:color="FFFFFF" w:themeColor="background1"/>
            </w:tcBorders>
          </w:tcPr>
          <w:p w14:paraId="1EEC2B7B" w14:textId="77777777" w:rsidR="00B809E7" w:rsidRPr="00157E90" w:rsidRDefault="00B809E7" w:rsidP="006A60F3">
            <w:pPr>
              <w:spacing w:line="240" w:lineRule="auto"/>
              <w:jc w:val="center"/>
              <w:rPr>
                <w:rFonts w:ascii="Arial" w:hAnsi="Arial" w:cs="Arial"/>
                <w:sz w:val="18"/>
                <w:szCs w:val="18"/>
                <w:lang w:val="en-US"/>
              </w:rPr>
            </w:pPr>
          </w:p>
        </w:tc>
        <w:tc>
          <w:tcPr>
            <w:tcW w:w="1559" w:type="dxa"/>
            <w:tcBorders>
              <w:left w:val="single" w:sz="4" w:space="0" w:color="FFFFFF" w:themeColor="background1"/>
              <w:right w:val="single" w:sz="4" w:space="0" w:color="FFFFFF" w:themeColor="background1"/>
            </w:tcBorders>
            <w:shd w:val="clear" w:color="auto" w:fill="auto"/>
          </w:tcPr>
          <w:p w14:paraId="654CDDC8" w14:textId="77777777" w:rsidR="00B809E7" w:rsidRPr="00157E90" w:rsidRDefault="00B809E7" w:rsidP="006A60F3">
            <w:pPr>
              <w:spacing w:line="240" w:lineRule="auto"/>
              <w:jc w:val="center"/>
              <w:rPr>
                <w:rFonts w:ascii="Arial" w:hAnsi="Arial" w:cs="Arial"/>
                <w:sz w:val="18"/>
                <w:szCs w:val="18"/>
                <w:lang w:val="en-US"/>
              </w:rPr>
            </w:pPr>
          </w:p>
        </w:tc>
        <w:tc>
          <w:tcPr>
            <w:tcW w:w="2551" w:type="dxa"/>
            <w:tcBorders>
              <w:left w:val="single" w:sz="4" w:space="0" w:color="FFFFFF" w:themeColor="background1"/>
              <w:right w:val="single" w:sz="4" w:space="0" w:color="FFFFFF" w:themeColor="background1"/>
            </w:tcBorders>
            <w:shd w:val="clear" w:color="auto" w:fill="auto"/>
          </w:tcPr>
          <w:p w14:paraId="50E5222A" w14:textId="77777777" w:rsidR="00B809E7" w:rsidRPr="00157E90" w:rsidRDefault="00B809E7" w:rsidP="006A60F3">
            <w:pPr>
              <w:spacing w:line="240" w:lineRule="auto"/>
              <w:jc w:val="center"/>
              <w:rPr>
                <w:rFonts w:ascii="Arial" w:hAnsi="Arial" w:cs="Arial"/>
                <w:sz w:val="18"/>
                <w:szCs w:val="18"/>
                <w:lang w:val="en-US"/>
              </w:rPr>
            </w:pPr>
          </w:p>
        </w:tc>
      </w:tr>
      <w:tr w:rsidR="00A720AE" w:rsidRPr="00157E90" w14:paraId="597FC031"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543FB6DB"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Cambridge </w:t>
            </w:r>
            <w:proofErr w:type="spellStart"/>
            <w:r w:rsidRPr="00157E90">
              <w:rPr>
                <w:rFonts w:ascii="Arial" w:hAnsi="Arial" w:cs="Arial"/>
                <w:sz w:val="18"/>
                <w:szCs w:val="18"/>
                <w:lang w:val="en-US"/>
              </w:rPr>
              <w:t>Colour</w:t>
            </w:r>
            <w:proofErr w:type="spellEnd"/>
            <w:r w:rsidRPr="00157E90">
              <w:rPr>
                <w:rFonts w:ascii="Arial" w:hAnsi="Arial" w:cs="Arial"/>
                <w:sz w:val="18"/>
                <w:szCs w:val="18"/>
                <w:lang w:val="en-US"/>
              </w:rPr>
              <w:t xml:space="preserve"> Test</w:t>
            </w:r>
          </w:p>
          <w:p w14:paraId="2B56DF21" w14:textId="0BEC663B" w:rsidR="00B809E7" w:rsidRPr="00157E90" w:rsidRDefault="00D00BA2"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5F01B6" w:rsidRPr="00157E90">
              <w:rPr>
                <w:rFonts w:ascii="Arial" w:hAnsi="Arial" w:cs="Arial"/>
                <w:sz w:val="18"/>
                <w:szCs w:val="18"/>
                <w:lang w:val="en-US"/>
              </w:rPr>
              <w:instrText>ADDIN CSL_CITATION {"citationItems":[{"id":"ITEM-1","itemData":{"DOI":"10.1016/0042-6989(94)90203-8","ISSN":"00426989","PMID":"8023437","abstract":"A computer-controlled test of colour vision is described, in which luminance noise and masking contours are used to ensure that the subject's responses depend on chromatic signals. The test avoids the need-common to most computer-controlled tests-to define equiluminance for the individual subject before the colour test itself can be administered. The test achieves a good separation of protan and deutan subjects and reveals the large range of chromatic sensibilities among anomalous trichromats. As a population, dichromats had higher thresholds on the triton axis of the test than did normals. In an extension of the test, full discrimination ellipses were measured for normal and colour-deficient observers. The nature of anomalous trichromacy is discussed and the possibility is raised that hybrid genes, resulting from genetic recombination, may code for incorrectly labelled or functionally impaired molecules. © 1994.","author":[{"dropping-particle":"","family":"Regan","given":"B. C.","non-dropping-particle":"","parse-names":false,"suffix":""},{"dropping-particle":"","family":"Reffin","given":"J. P.","non-dropping-particle":"","parse-names":false,"suffix":""},{"dropping-particle":"","family":"Mollon","given":"J. D.","non-dropping-particle":"","parse-names":false,"suffix":""}],"container-title":"Vision Research","id":"ITEM-1","issue":"10","issued":{"date-parts":[["1994"]]},"page":"1279-1299","title":"Luminance noise and the rapid determination of discrimination ellipses in colour deficiency","type":"article-journal","volume":"34"},"uris":["http://www.mendeley.com/documents/?uuid=52e3946d-88aa-4e0a-b531-9d292b23a0a0"]}],"mendeley":{"formattedCitation":"(Regan et al., 1994)","plainTextFormattedCitation":"(Regan et al., 1994)","previouslyFormattedCitation":"(Regan et al., 1994)"},"properties":{"noteIndex":0},"schema":"https://github.com/citation-style-language/schema/raw/master/csl-citation.json"}</w:instrText>
            </w:r>
            <w:r w:rsidRPr="00157E90">
              <w:rPr>
                <w:rFonts w:ascii="Arial" w:hAnsi="Arial" w:cs="Arial"/>
                <w:sz w:val="18"/>
                <w:szCs w:val="18"/>
                <w:lang w:val="en-US"/>
              </w:rPr>
              <w:fldChar w:fldCharType="separate"/>
            </w:r>
            <w:r w:rsidR="005D22AB" w:rsidRPr="00157E90">
              <w:rPr>
                <w:rFonts w:ascii="Arial" w:hAnsi="Arial" w:cs="Arial"/>
                <w:sz w:val="18"/>
                <w:szCs w:val="18"/>
                <w:lang w:val="en-US"/>
              </w:rPr>
              <w:t>(Regan et al., 1994)</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3EBAC5B0" w14:textId="5CB1299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0.94/0.92 </w:t>
            </w:r>
            <w:r w:rsidRPr="00157E90">
              <w:rPr>
                <w:rFonts w:ascii="Arial" w:hAnsi="Arial" w:cs="Arial"/>
                <w:sz w:val="18"/>
                <w:szCs w:val="18"/>
                <w:lang w:val="en-US"/>
              </w:rPr>
              <w:fldChar w:fldCharType="begin" w:fldLock="1"/>
            </w:r>
            <w:r w:rsidR="00703531" w:rsidRPr="00157E90">
              <w:rPr>
                <w:rFonts w:ascii="Arial" w:hAnsi="Arial" w:cs="Arial"/>
                <w:sz w:val="18"/>
                <w:szCs w:val="18"/>
                <w:lang w:val="en-US"/>
              </w:rPr>
              <w:instrText>ADDIN CSL_CITATION {"citationItems":[{"id":"ITEM-1","itemData":{"DOI":"10.1364/josaa.33.000a65","ISSN":"1084-7529","PMID":"26974943","abstract":"Age-related changes in chromatic discrimination along dichromatic confusion lines were measured with the Cambridge Colour Test (CCT). One hundred and sixty-two individuals (16 to 88 years old) with normal Rayleigh matches were the major focus of this paper. An additional 32 anomalous trichromats classified by their Rayleigh matches were also tested. All subjects were screened to rule out abnormalities of the anterior and posterior segments. Thresholds on all three chromatic vectors measured with the CCT showed age-related increases. Protan and deutan vector thresholds increased linearly with age while the tritan vector threshold was described with a bilinear model. Analysis and modeling demonstrated that the nominal vectors of the CCT are shifted by senescent changes in ocular media density, and a method for correcting the CCT vectors is demonstrated. A correction for these shifts indicates that classification among individuals of different ages is unaffected. New vector thresholds for elderly observers and for all age groups are suggested based on calculated tolerance limits.","author":[{"dropping-particle":"","family":"Shinomori","given":"Keizo","non-dropping-particle":"","parse-names":false,"suffix":""},{"dropping-particle":"","family":"Panorgias","given":"Athanasios","non-dropping-particle":"","parse-names":false,"suffix":""},{"dropping-particle":"","family":"Werner","given":"John S.","non-dropping-particle":"","parse-names":false,"suffix":""}],"container-title":"Journal of the Optical Society of America A","id":"ITEM-1","issue":"3","issued":{"date-parts":[["2016","3"]]},"language":"eng","page":"A65-76","publisher-place":"United States","title":"Discrimination thresholds of normal and anomalous trichromats: Model of senescent changes in ocular media density on the Cambridge Colour Test","type":"article-journal","volume":"33"},"uris":["http://www.mendeley.com/documents/?uuid=c57aa550-0c11-4afd-84de-49bb28c73080"]}],"mendeley":{"formattedCitation":"(Shinomori et al., 2016)","plainTextFormattedCitation":"(Shinomori et al., 2016)","previouslyFormattedCitation":"(Shinomori et al., 2016)"},"properties":{"noteIndex":0},"schema":"https://github.com/citation-style-language/schema/raw/master/csl-citation.json"}</w:instrText>
            </w:r>
            <w:r w:rsidRPr="00157E90">
              <w:rPr>
                <w:rFonts w:ascii="Arial" w:hAnsi="Arial" w:cs="Arial"/>
                <w:sz w:val="18"/>
                <w:szCs w:val="18"/>
                <w:lang w:val="en-US"/>
              </w:rPr>
              <w:fldChar w:fldCharType="separate"/>
            </w:r>
            <w:r w:rsidR="005D22AB" w:rsidRPr="00157E90">
              <w:rPr>
                <w:rFonts w:ascii="Arial" w:hAnsi="Arial" w:cs="Arial"/>
                <w:sz w:val="18"/>
                <w:szCs w:val="18"/>
                <w:lang w:val="en-US"/>
              </w:rPr>
              <w:t>(Shinomori et al., 2016)</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1E3EBC78"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(CVD=32, CVN=162)</w:t>
            </w:r>
          </w:p>
          <w:p w14:paraId="67D0FEAA"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p w14:paraId="57C6AD01" w14:textId="77777777" w:rsidR="00B809E7" w:rsidRPr="00157E90" w:rsidRDefault="00B809E7" w:rsidP="006A60F3">
            <w:pPr>
              <w:spacing w:line="240" w:lineRule="auto"/>
              <w:jc w:val="center"/>
              <w:rPr>
                <w:rFonts w:ascii="Arial" w:hAnsi="Arial" w:cs="Arial"/>
                <w:sz w:val="18"/>
                <w:szCs w:val="18"/>
                <w:lang w:val="en-US"/>
              </w:rPr>
            </w:pPr>
          </w:p>
        </w:tc>
        <w:tc>
          <w:tcPr>
            <w:tcW w:w="1985" w:type="dxa"/>
            <w:tcBorders>
              <w:left w:val="single" w:sz="4" w:space="0" w:color="FFFFFF" w:themeColor="background1"/>
              <w:right w:val="single" w:sz="4" w:space="0" w:color="FFFFFF" w:themeColor="background1"/>
            </w:tcBorders>
          </w:tcPr>
          <w:p w14:paraId="7BE7D2C1" w14:textId="35A15555"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Modified version tested in 2</w:t>
            </w:r>
            <w:r w:rsidR="00B32BE1" w:rsidRPr="00157E90">
              <w:rPr>
                <w:rFonts w:ascii="Arial" w:hAnsi="Arial" w:cs="Arial"/>
                <w:sz w:val="18"/>
                <w:szCs w:val="18"/>
                <w:lang w:val="en-US"/>
              </w:rPr>
              <w:t>–</w:t>
            </w:r>
            <w:r w:rsidRPr="00157E90">
              <w:rPr>
                <w:rFonts w:ascii="Arial" w:hAnsi="Arial" w:cs="Arial"/>
                <w:sz w:val="18"/>
                <w:szCs w:val="18"/>
                <w:lang w:val="en-US"/>
              </w:rPr>
              <w:t xml:space="preserve">7 year old children </w:t>
            </w:r>
            <w:r w:rsidRPr="00157E90">
              <w:rPr>
                <w:rFonts w:ascii="Arial" w:hAnsi="Arial" w:cs="Arial"/>
                <w:sz w:val="18"/>
                <w:szCs w:val="18"/>
                <w:lang w:val="en-US"/>
              </w:rPr>
              <w:fldChar w:fldCharType="begin" w:fldLock="1"/>
            </w:r>
            <w:r w:rsidR="00F37517" w:rsidRPr="00157E90">
              <w:rPr>
                <w:rFonts w:ascii="Arial" w:hAnsi="Arial" w:cs="Arial"/>
                <w:sz w:val="18"/>
                <w:szCs w:val="18"/>
                <w:lang w:val="en-US"/>
              </w:rPr>
              <w:instrText>ADDIN CSL_CITATION {"citationItems":[{"id":"ITEM-1","itemData":{"DOI":"10.1017/S0952523808080589","ISSN":"09525238","PMID":"18598416","abstract":"The present study aimed at providing conditions for the assessment of color discrimination in children using a modified version of the Cambridge Colour Test (CCT, Cambridge Research Systems Ltd., Rochester, UK). Since the task of indicating the gap of the Landolt C used in that test proved counterintuitive and/or difficult for young children to understand, we changed the target stimulus to a patch of color approximately the size of the Landolt C gap (about 7° of visual angle at 50 cm from the monitor). The modifications were performed for the CCT Trivector test which measures color discrimination for the protan, deutan and tritan confusion lines. Experiment 1 sought to evaluate the correspondence between the CCT and the child-friendly adaptation with adult subjects (n = 29) with normal color vision. Results showed good agreement between the two test versions. Experiment 2 tested the child-friendly software with children 2 to 7 years old (n = 25) using operant training techniques for establishing and maintaining the subjects' performance. Color discrimination thresholds were progressively lower as age increased within the age range tested (2 to 30 years old), and the data - including those obtained for children - fell within the range of thresholds previously obtained for adults with the CCT. The protan and deutan thresholds were consistently lower than tritan thresholds, a pattern repeatedly observed in adults tested with the CCT. The results demonstrate that the test is fit for assessment of color discrimination in young children and may be a useful tool for the establishment of color vision thresholds during development. Copyright © 2008 Cambridge University Press.","author":[{"dropping-particle":"","family":"Goulart","given":"Paulo R.K.","non-dropping-particle":"","parse-names":false,"suffix":""},{"dropping-particle":"","family":"Bandeira","given":"Marcio L.","non-dropping-particle":"","parse-names":false,"suffix":""},{"dropping-particle":"","family":"Tsubota","given":"Daniela","non-dropping-particle":"","parse-names":false,"suffix":""},{"dropping-particle":"","family":"Oiwa","given":"Nestor N.","non-dropping-particle":"","parse-names":false,"suffix":""},{"dropping-particle":"","family":"Costa","given":"Marcelo F.","non-dropping-particle":"","parse-names":false,"suffix":""},{"dropping-particle":"","family":"Ventura","given":"Dora F.","non-dropping-particle":"","parse-names":false,"suffix":""}],"container-title":"Visual Neuroscience","edition":"2008/07/03","id":"ITEM-1","issue":"3","issued":{"date-parts":[["2008"]]},"page":"445-450","publisher":"Cambridge University Press","title":"A computer-controlled color vision test for children based on the Cambridge Colour Test","type":"article-journal","volume":"25"},"uris":["http://www.mendeley.com/documents/?uuid=c67c39d8-2d6a-40ca-86c0-1eb3425f1a4c"]}],"mendeley":{"formattedCitation":"(Goulart et al., 2008)","plainTextFormattedCitation":"(Goulart et al., 2008)","previouslyFormattedCitation":"(Goulart et al., 2008)"},"properties":{"noteIndex":0},"schema":"https://github.com/citation-style-language/schema/raw/master/csl-citation.json"}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(Goulart et al., 2008)</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078D3CB0" w14:textId="77777777" w:rsidR="00B809E7" w:rsidRPr="00157E90" w:rsidRDefault="00B809E7" w:rsidP="006A60F3">
            <w:pPr>
              <w:spacing w:line="240" w:lineRule="auto"/>
              <w:jc w:val="center"/>
              <w:rPr>
                <w:rFonts w:ascii="Arial" w:hAnsi="Arial" w:cs="Arial"/>
                <w:sz w:val="18"/>
                <w:szCs w:val="18"/>
                <w:lang w:val="en-US"/>
              </w:rPr>
            </w:pPr>
          </w:p>
        </w:tc>
        <w:tc>
          <w:tcPr>
            <w:tcW w:w="1559" w:type="dxa"/>
            <w:tcBorders>
              <w:left w:val="single" w:sz="4" w:space="0" w:color="FFFFFF" w:themeColor="background1"/>
              <w:right w:val="single" w:sz="4" w:space="0" w:color="FFFFFF" w:themeColor="background1"/>
            </w:tcBorders>
            <w:shd w:val="clear" w:color="auto" w:fill="auto"/>
          </w:tcPr>
          <w:p w14:paraId="505DE81B" w14:textId="1EE2254D"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 7 years </w:t>
            </w:r>
            <w:r w:rsidRPr="00157E90">
              <w:rPr>
                <w:rFonts w:ascii="Arial" w:hAnsi="Arial" w:cs="Arial"/>
                <w:sz w:val="18"/>
                <w:szCs w:val="18"/>
                <w:lang w:val="en-US"/>
              </w:rPr>
              <w:fldChar w:fldCharType="begin" w:fldLock="1"/>
            </w:r>
            <w:r w:rsidR="00F37517" w:rsidRPr="00157E90">
              <w:rPr>
                <w:rFonts w:ascii="Arial" w:hAnsi="Arial" w:cs="Arial"/>
                <w:sz w:val="18"/>
                <w:szCs w:val="18"/>
                <w:lang w:val="en-US"/>
              </w:rPr>
              <w:instrText>ADDIN CSL_CITATION {"citationItems":[{"id":"ITEM-1","itemData":{"DOI":"10.1017/S0952523808080589","ISSN":"09525238","PMID":"18598416","abstract":"The present study aimed at providing conditions for the assessment of color discrimination in children using a modified version of the Cambridge Colour Test (CCT, Cambridge Research Systems Ltd., Rochester, UK). Since the task of indicating the gap of the Landolt C used in that test proved counterintuitive and/or difficult for young children to understand, we changed the target stimulus to a patch of color approximately the size of the Landolt C gap (about 7° of visual angle at 50 cm from the monitor). The modifications were performed for the CCT Trivector test which measures color discrimination for the protan, deutan and tritan confusion lines. Experiment 1 sought to evaluate the correspondence between the CCT and the child-friendly adaptation with adult subjects (n = 29) with normal color vision. Results showed good agreement between the two test versions. Experiment 2 tested the child-friendly software with children 2 to 7 years old (n = 25) using operant training techniques for establishing and maintaining the subjects' performance. Color discrimination thresholds were progressively lower as age increased within the age range tested (2 to 30 years old), and the data - including those obtained for children - fell within the range of thresholds previously obtained for adults with the CCT. The protan and deutan thresholds were consistently lower than tritan thresholds, a pattern repeatedly observed in adults tested with the CCT. The results demonstrate that the test is fit for assessment of color discrimination in young children and may be a useful tool for the establishment of color vision thresholds during development. Copyright © 2008 Cambridge University Press.","author":[{"dropping-particle":"","family":"Goulart","given":"Paulo R.K.","non-dropping-particle":"","parse-names":false,"suffix":""},{"dropping-particle":"","family":"Bandeira","given":"Marcio L.","non-dropping-particle":"","parse-names":false,"suffix":""},{"dropping-particle":"","family":"Tsubota","given":"Daniela","non-dropping-particle":"","parse-names":false,"suffix":""},{"dropping-particle":"","family":"Oiwa","given":"Nestor N.","non-dropping-particle":"","parse-names":false,"suffix":""},{"dropping-particle":"","family":"Costa","given":"Marcelo F.","non-dropping-particle":"","parse-names":false,"suffix":""},{"dropping-particle":"","family":"Ventura","given":"Dora F.","non-dropping-particle":"","parse-names":false,"suffix":""}],"container-title":"Visual Neuroscience","edition":"2008/07/03","id":"ITEM-1","issue":"3","issued":{"date-parts":[["2008"]]},"page":"445-450","publisher":"Cambridge University Press","title":"A computer-controlled color vision test for children based on the Cambridge Colour Test","type":"article-journal","volume":"25"},"uris":["http://www.mendeley.com/documents/?uuid=c67c39d8-2d6a-40ca-86c0-1eb3425f1a4c"]},{"id":"ITEM-2","itemData":{"author":[{"dropping-particle":"","family":"Ventura","given":"D.","non-dropping-particle":"","parse-names":false,"suffix":""},{"dropping-particle":"","family":"Rodrigues","given":"A.","non-dropping-particle":"","parse-names":false,"suffix":""},{"dropping-particle":"","family":"Moura","given":"A.","non-dropping-particle":"","parse-names":false,"suffix":""},{"dropping-particle":"","family":"Vargas","given":"A.","non-dropping-particle":"","parse-names":false,"suffix":""},{"dropping-particle":"","family":"Costa","given":"M.","non-dropping-particle":"","parse-names":false,"suffix":""},{"dropping-particle":"","family":"Souza","given":"J.","non-dropping-particle":"de","parse-names":false,"suffix":""},{"dropping-particle":"","family":"Silveira","given":"L.","non-dropping-particle":"","parse-names":false,"suffix":""}],"container-title":"Investigative ophthalmology &amp; visual science","id":"ITEM-2","issue":"13","issued":{"date-parts":[["2002"]]},"page":"3796","title":"Color Discrimination Measured by the Cambridge Colour Vision Test (CCVT) in Children and Adults","type":"article-journal","volume":"43"},"uris":["http://www.mendeley.com/documents/?uuid=42ede590-760b-4a50-b1a9-e76e0a5ca7fe"]}],"mendeley":{"formattedCitation":"(Goulart et al., 2008; Ventura et al., 2002)","plainTextFormattedCitation":"(Goulart et al., 2008; Ventura et al., 2002)","previouslyFormattedCitation":"(Goulart et al., 2008; Ventura et al., 2002)"},"properties":{"noteIndex":0},"schema":"https://github.com/citation-style-language/schema/raw/master/csl-citation.json"}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(Goulart et al., 2008; Ventura et al., 2002)</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tc>
        <w:tc>
          <w:tcPr>
            <w:tcW w:w="2551" w:type="dxa"/>
            <w:tcBorders>
              <w:left w:val="single" w:sz="4" w:space="0" w:color="FFFFFF" w:themeColor="background1"/>
              <w:right w:val="single" w:sz="4" w:space="0" w:color="FFFFFF" w:themeColor="background1"/>
            </w:tcBorders>
            <w:shd w:val="clear" w:color="auto" w:fill="auto"/>
          </w:tcPr>
          <w:p w14:paraId="3D9E282E" w14:textId="2CDDF2D4"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7778346A" w14:textId="77777777" w:rsidR="00B809E7" w:rsidRPr="00157E90" w:rsidRDefault="00B809E7" w:rsidP="006A60F3">
            <w:pPr>
              <w:pStyle w:val="NoSpacing"/>
              <w:spacing w:line="240" w:lineRule="auto"/>
              <w:rPr>
                <w:rFonts w:ascii="Arial" w:hAnsi="Arial" w:cs="Arial"/>
                <w:sz w:val="18"/>
                <w:szCs w:val="18"/>
                <w:lang w:val="en-US"/>
              </w:rPr>
            </w:pPr>
            <w:r w:rsidRPr="00157E90">
              <w:rPr>
                <w:rFonts w:ascii="Arial" w:hAnsi="Arial" w:cs="Arial"/>
                <w:sz w:val="18"/>
                <w:szCs w:val="18"/>
                <w:lang w:val="en-US"/>
              </w:rPr>
              <w:t xml:space="preserve">Identifying the orientation of the </w:t>
            </w:r>
            <w:proofErr w:type="spellStart"/>
            <w:r w:rsidRPr="00157E90">
              <w:rPr>
                <w:rFonts w:ascii="Arial" w:hAnsi="Arial" w:cs="Arial"/>
                <w:sz w:val="18"/>
                <w:szCs w:val="18"/>
                <w:lang w:val="en-US"/>
              </w:rPr>
              <w:t>Landolt</w:t>
            </w:r>
            <w:proofErr w:type="spellEnd"/>
            <w:r w:rsidRPr="00157E90">
              <w:rPr>
                <w:rFonts w:ascii="Arial" w:hAnsi="Arial" w:cs="Arial"/>
                <w:sz w:val="18"/>
                <w:szCs w:val="18"/>
                <w:lang w:val="en-US"/>
              </w:rPr>
              <w:t xml:space="preserve"> C stimulus by pressing corresponding keys on a keyboard</w:t>
            </w:r>
          </w:p>
        </w:tc>
      </w:tr>
      <w:tr w:rsidR="00A720AE" w:rsidRPr="00157E90" w14:paraId="1F474DF4"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14FCF10B"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Rabin Cone Contrast Test </w:t>
            </w:r>
          </w:p>
          <w:p w14:paraId="46B7F349" w14:textId="746795AA" w:rsidR="00B809E7" w:rsidRPr="00157E90" w:rsidRDefault="00D00BA2"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{"citationItems":[{"id":"ITEM-1","itemData":{"DOI":"10.1167/iovs.10-6283","ISSN":"01460404","PMID":"21051721","abstract":"Purpose. To describe the design, specificity, and sensitivity of the cone contrast test (CCT), a computer-based, cone-specific (L, M, S) contrast sensitivity test for diagnosing type and severity of color vision deficiency (CVD).Methods. The CCT presents a randomized series of colored letters visible only to L, M or S cones in decreasing steps of cone contrast to determine L, M, and S letter-recognition thresholds. Sensitivity and specificity were determined by retrospective comparison of CCT scores to anomaloscope and pseudoisochromatic plate (PIP) results in 1446 applicants for pilot training. Results. CVD was detected in 49 (3.4%) of 1446 applicants with hereditary red-green (protan or deutan) CVD detected in 47 (3.5%) of 1359 men and blue-yellow (tritan) in 2 of 1446. In agreement with the anomaloscope, the CCT showed 100% sensitivity for detection and categorization of CVD (40 deutan, 7 protan, 2 tritan). PIP testing showed lower sensitivity (80% detected; 20% missed) due in part to the applicant's prior experience and/or pretest preparation. CCT specificity for confirming normal color vision was 100% for L and M cone tests and 99.8% for S cones. Conclusions. The CCT has sensitivity and specificity comparable to anomaloscope testing and exceeds PIP sensitivity in practiced observers. The CCT provides a rapid (6 minutes), clinically expedient, measure of color vision for quantifying normal color performance, diagnosing type and severity of hereditary deficiency, and detection of acquired sensitivity loss due to ocular, neurologic, and/or systemic disease, as well as injury and physiological stressors, such as altitude and fatigue. © 2011 The Association for Research in Vision and Ophthalmology, Inc.","author":[{"dropping-particle":"","family":"Rabin","given":"Jeff","non-dropping-particle":"","parse-names":false,"suffix":""},{"dropping-particle":"","family":"Gooch","given":"John","non-dropping-particle":"","parse-names":false,"suffix":""},{"dropping-particle":"","family":"Ivan","given":"Douglas","non-dropping-particle":"","parse-names":false,"suffix":""}],"container-title":"Investigative Ophthalmology and Visual Science","id":"ITEM-1","issue":"2","issued":{"date-parts":[["2011","2"]]},"language":"eng","page":"816-820","publisher-place":"United States","title":"Rapid quantification of color vision: The cone contrast test","type":"article-journal","volume":"52"},"uris":["http://www.mendeley.com/documents/?uuid=0541db34-e196-4e6d-8bcb-c18646f3f3c2"]}],"mendeley":{"formattedCitation":"(Rabin et al., 2011)","plainTextFormattedCitation":"(Rabin et al., 2011)","previouslyFormattedCitation":"(Rabin et al., 2011)"},"properties":{"noteIndex":0},"schema":"https://github.com/citation-style-language/schema/raw/master/csl-citation.json"}</w:instrText>
            </w:r>
            <w:r w:rsidRPr="00157E90">
              <w:rPr>
                <w:rFonts w:ascii="Arial" w:hAnsi="Arial" w:cs="Arial"/>
                <w:sz w:val="18"/>
                <w:szCs w:val="18"/>
                <w:lang w:val="en-US"/>
              </w:rPr>
              <w:fldChar w:fldCharType="separate"/>
            </w:r>
            <w:r w:rsidRPr="00157E90">
              <w:rPr>
                <w:rFonts w:ascii="Arial" w:hAnsi="Arial" w:cs="Arial"/>
                <w:sz w:val="18"/>
                <w:szCs w:val="18"/>
                <w:lang w:val="en-US"/>
              </w:rPr>
              <w:t>(Rabin et al., 2011)</w:t>
            </w:r>
            <w:r w:rsidRPr="00157E90">
              <w:rPr>
                <w:rFonts w:ascii="Arial" w:hAnsi="Arial" w:cs="Arial"/>
                <w:sz w:val="18"/>
                <w:szCs w:val="18"/>
                <w:lang w:val="en-US"/>
              </w:rPr>
              <w:fldChar w:fldCharType="end"/>
            </w:r>
          </w:p>
        </w:tc>
        <w:tc>
          <w:tcPr>
            <w:tcW w:w="2268" w:type="dxa"/>
            <w:tcBorders>
              <w:left w:val="single" w:sz="4" w:space="0" w:color="FFFFFF" w:themeColor="background1"/>
              <w:right w:val="single" w:sz="4" w:space="0" w:color="FFFFFF" w:themeColor="background1"/>
            </w:tcBorders>
            <w:shd w:val="clear" w:color="auto" w:fill="auto"/>
          </w:tcPr>
          <w:p w14:paraId="19FD0B84" w14:textId="088046AC"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1.00/1.00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{"citationItems":[{"id":"ITEM-1","itemData":{"DOI":"10.1167/iovs.10-6283","ISSN":"01460404","PMID":"21051721","abstract":"Purpose. To describe the design, specificity, and sensitivity of the cone contrast test (CCT), a computer-based, cone-specific (L, M, S) contrast sensitivity test for diagnosing type and severity of color vision deficiency (CVD).Methods. The CCT presents a randomized series of colored letters visible only to L, M or S cones in decreasing steps of cone contrast to determine L, M, and S letter-recognition thresholds. Sensitivity and specificity were determined by retrospective comparison of CCT scores to anomaloscope and pseudoisochromatic plate (PIP) results in 1446 applicants for pilot training. Results. CVD was detected in 49 (3.4%) of 1446 applicants with hereditary red-green (protan or deutan) CVD detected in 47 (3.5%) of 1359 men and blue-yellow (tritan) in 2 of 1446. In agreement with the anomaloscope, the CCT showed 100% sensitivity for detection and categorization of CVD (40 deutan, 7 protan, 2 tritan). PIP testing showed lower sensitivity (80% detected; 20% missed) due in part to the applicant's prior experience and/or pretest preparation. CCT specificity for confirming normal color vision was 100% for L and M cone tests and 99.8% for S cones. Conclusions. The CCT has sensitivity and specificity comparable to anomaloscope testing and exceeds PIP sensitivity in practiced observers. The CCT provides a rapid (6 minutes), clinically expedient, measure of color vision for quantifying normal color performance, diagnosing type and severity of hereditary deficiency, and detection of acquired sensitivity loss due to ocular, neurologic, and/or systemic disease, as well as injury and physiological stressors, such as altitude and fatigue. © 2011 The Association for Research in Vision and Ophthalmology, Inc.","author":[{"dropping-particle":"","family":"Rabin","given":"Jeff","non-dropping-particle":"","parse-names":false,"suffix":""},{"dropping-particle":"","family":"Gooch","given":"John","non-dropping-particle":"","parse-names":false,"suffix":""},{"dropping-particle":"","family":"Ivan","given":"Douglas","non-dropping-particle":"","parse-names":false,"suffix":""}],"container-title":"Investigative Ophthalmology and Visual Science","id":"ITEM-1","issue":"2","issued":{"date-parts":[["2011","2"]]},"language":"eng","page":"816-820","publisher-place":"United States","title":"Rapid quantification of color vision: The cone contrast test","type":"article-journal","volume":"52"},"uris":["http://www.mendeley.com/documents/?uuid=0541db34-e196-4e6d-8bcb-c18646f3f3c2"]}],"mendeley":{"formattedCitation":"(Rabin et al., 2011)","plainTextFormattedCitation":"(Rabin et al., 2011)","previouslyFormattedCitation":"(Rabin et al., 2011)"},"properties":{"noteIndex":0},"schema":"https://github.com/citation-style-language/schema/raw/master/csl-citation.json"}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(Rabin et al., 2011)</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1BAF922F"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(CVD=49, CVN=92)</w:t>
            </w:r>
          </w:p>
          <w:p w14:paraId="3987D6A3"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2B420295"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1559" w:type="dxa"/>
            <w:tcBorders>
              <w:left w:val="single" w:sz="4" w:space="0" w:color="FFFFFF" w:themeColor="background1"/>
              <w:right w:val="single" w:sz="4" w:space="0" w:color="FFFFFF" w:themeColor="background1"/>
            </w:tcBorders>
            <w:shd w:val="clear" w:color="auto" w:fill="auto"/>
          </w:tcPr>
          <w:p w14:paraId="1E69E007"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2551" w:type="dxa"/>
            <w:tcBorders>
              <w:left w:val="single" w:sz="4" w:space="0" w:color="FFFFFF" w:themeColor="background1"/>
              <w:right w:val="single" w:sz="4" w:space="0" w:color="FFFFFF" w:themeColor="background1"/>
            </w:tcBorders>
            <w:shd w:val="clear" w:color="auto" w:fill="auto"/>
          </w:tcPr>
          <w:p w14:paraId="5EC43479" w14:textId="3A2F147C"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281DEE2F" w14:textId="77777777" w:rsidR="00B809E7" w:rsidRPr="00157E90" w:rsidRDefault="00B809E7" w:rsidP="006A60F3">
            <w:pPr>
              <w:spacing w:line="240" w:lineRule="auto"/>
              <w:jc w:val="both"/>
              <w:rPr>
                <w:rFonts w:ascii="Arial" w:hAnsi="Arial" w:cs="Arial"/>
                <w:sz w:val="18"/>
                <w:szCs w:val="18"/>
                <w:lang w:val="en-US"/>
              </w:rPr>
            </w:pPr>
            <w:r w:rsidRPr="00157E90">
              <w:rPr>
                <w:rFonts w:ascii="Arial" w:hAnsi="Arial" w:cs="Arial"/>
                <w:sz w:val="18"/>
                <w:szCs w:val="18"/>
                <w:lang w:val="en-US"/>
              </w:rPr>
              <w:t xml:space="preserve">Requires knowledge of letters </w:t>
            </w:r>
          </w:p>
        </w:tc>
      </w:tr>
      <w:tr w:rsidR="00A720AE" w:rsidRPr="00157E90" w14:paraId="49BDCB16" w14:textId="77777777" w:rsidTr="006A60F3">
        <w:trPr>
          <w:jc w:val="center"/>
        </w:trPr>
        <w:tc>
          <w:tcPr>
            <w:tcW w:w="1838" w:type="dxa"/>
            <w:tcBorders>
              <w:left w:val="single" w:sz="4" w:space="0" w:color="FFFFFF" w:themeColor="background1"/>
              <w:right w:val="single" w:sz="4" w:space="0" w:color="FFFFFF" w:themeColor="background1"/>
            </w:tcBorders>
            <w:shd w:val="clear" w:color="auto" w:fill="auto"/>
          </w:tcPr>
          <w:p w14:paraId="0D864B0E" w14:textId="7F07A93D"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lastRenderedPageBreak/>
              <w:t>Colour</w:t>
            </w:r>
            <w:proofErr w:type="spellEnd"/>
            <w:r w:rsidRPr="00157E90">
              <w:rPr>
                <w:rFonts w:ascii="Arial" w:hAnsi="Arial" w:cs="Arial"/>
                <w:sz w:val="18"/>
                <w:szCs w:val="18"/>
                <w:lang w:val="en-US"/>
              </w:rPr>
              <w:t xml:space="preserve"> Assessment and Diagnosis (CAD)</w:t>
            </w:r>
          </w:p>
          <w:p w14:paraId="63F47821" w14:textId="1964A7FC" w:rsidR="00D00BA2" w:rsidRPr="00157E90" w:rsidRDefault="00D00BA2" w:rsidP="006A60F3">
            <w:pPr>
              <w:spacing w:line="240" w:lineRule="auto"/>
              <w:jc w:val="center"/>
              <w:rPr>
                <w:rFonts w:ascii="Arial" w:hAnsi="Arial" w:cs="Arial"/>
                <w:sz w:val="18"/>
                <w:szCs w:val="18"/>
                <w:lang w:val="en-US"/>
              </w:rPr>
            </w:pPr>
            <w:r w:rsidRPr="00157E90">
              <w:rPr>
                <w:rFonts w:ascii="Arial" w:hAnsi="Arial" w:cs="Arial"/>
                <w:sz w:val="18"/>
                <w:szCs w:val="18"/>
                <w:lang w:val="en-US"/>
              </w:rPr>
              <w:fldChar w:fldCharType="begin" w:fldLock="1"/>
            </w:r>
            <w:r w:rsidR="005D22AB" w:rsidRPr="00157E90">
              <w:rPr>
                <w:rFonts w:ascii="Arial" w:hAnsi="Arial" w:cs="Arial"/>
                <w:sz w:val="18"/>
                <w:szCs w:val="18"/>
                <w:lang w:val="en-US"/>
              </w:rPr>
              <w:instrText>ADDIN CSL_CITATION {"citationItems":[{"id":"ITEM-1","itemData":{"DOI":"10.1017/CBO9781107337930.009","ISBN":"9781107043237","abstract":"\"We perceive color everywhere and on everything that we encounter in daily life. Color science has progressed to the point where a great deal is known about the mechanics, evolution, and development of color vision, but less is known about the relation between color vision and psychology. However, color psychology is now a burgeoning, exciting area and this Handbook provides comprehensive coverage of emerging theory and research. Top scholars in the field provide rigorous overviews of work on color categorization, color symbolism and association, color preference, reciprocal relations between color perception and psychological functioning, and variations and deficiencies in color perception. The Handbook of Color Psychology seeks to facilitate cross-fertilization among researchers, both within and across disciplines and areas of research, and is an essential resource for anyone interested in color psychology in both theoretical and applied areas of study\"--Publisher's website. Part I. Introduction -- 1. Introduction and overview / Andrew J. Elliot, Mark D. Fairchild and Anna Franklin -- Part II. Foundations: basics of color science -- 2. Color models and systems / Mark D. Fairchild -- 3. Fundamentals of color vision I: color processing in the eye / Andrew Stockman and David H. Brainard -- 4. Fundamentals of color vision II: higher-order color processing / Karl R. Gegenfurtner and Robert Ennis -- 5. Evolution of color vision and its reflections in contemporary mammals / Gerald H. Jacobs -- 6. Some philosophical questions about color / Don Dedrick -- Part III. Development of and differences in color vision -- 7. Emergence and early development of color vision and color perception / Marc H. Bornstein -- 8. Color vision changes in normal aging / John L. Barbur and Marisa Rodriguez-Carmona -- 9. Individual differences in color vision / Michael A. Webster -- 10. Color vision deficiencies / Neil R.A. Parry -- Part IV. Color categorization -- 11. Universality of color categorization / Paul Kay -- 12. Color categorization across cultures / Jules Davidoff -- 13. Development of color categorization / Anna Franklin -- 14. The meaning of color words in a cross-linguistic perspective / Anna Wierzbicka -- Part V. Color symbolism and association -- 15. Early color symbolism / Ian Watts -- 16. Symbolic use of color in ritual, tradition, and folklore / John B. Hutchings -- 17. Color in camouflage, mimicry, and warning signals / Martin Stevens, Lina Maria Arenas and Alice…","author":[{"dropping-particle":"","family":"Barbur","given":"John","non-dropping-particle":"","parse-names":false,"suffix":""},{"dropping-particle":"","family":"Rodriguez-Carmona","given":"Marisa","non-dropping-particle":"","parse-names":false,"suffix":""}],"container-title":"Handbook of Color Psychology","editor":[{"dropping-particle":"","family":"Elliott","given":"A. J.","non-dropping-particle":"","parse-names":false,"suffix":""},{"dropping-particle":"","family":"Fairchild","given":"M. D.","non-dropping-particle":"","parse-names":false,"suffix":""},{"dropping-particle":"","family":"Franklin","given":"A.","non-dropping-particle":"","parse-names":false,"suffix":""}],"id":"ITEM-1","issued":{"date-parts":[["2015"]]},"page":"180-196","publisher":"Cambridge University Press.","publisher-place":"Cambridge","title":"Color vision changes in normal aging","type":"chapter"},"uris":["http://www.mendeley.com/documents/?uuid=ae794b79-5da6-442f-85f2-cd185238bdbb"]}],"mendeley":{"formattedCitation":"(Barbur &amp; Rodriguez-Carmona, 2015)","plainTextFormattedCitation":"(Barbur &amp; Rodriguez-Carmona, 2015)","previouslyFormattedCitation":"(Barbur &amp; Rodriguez-Carmona, 2015)"},"properties":{"noteIndex":0},"schema":"https://github.com/citation-style-language/schema/raw/master/csl-citation.json"}</w:instrText>
            </w:r>
            <w:r w:rsidRPr="00157E90">
              <w:rPr>
                <w:rFonts w:ascii="Arial" w:hAnsi="Arial" w:cs="Arial"/>
                <w:sz w:val="18"/>
                <w:szCs w:val="18"/>
                <w:lang w:val="en-US"/>
              </w:rPr>
              <w:fldChar w:fldCharType="separate"/>
            </w:r>
            <w:r w:rsidR="00AA517B" w:rsidRPr="00157E90">
              <w:rPr>
                <w:rFonts w:ascii="Arial" w:hAnsi="Arial" w:cs="Arial"/>
                <w:sz w:val="18"/>
                <w:szCs w:val="18"/>
                <w:lang w:val="en-US"/>
              </w:rPr>
              <w:t>(Barbur &amp; Rodriguez-Carmona, 2015)</w:t>
            </w:r>
            <w:r w:rsidRPr="00157E90">
              <w:rPr>
                <w:rFonts w:ascii="Arial" w:hAnsi="Arial" w:cs="Arial"/>
                <w:sz w:val="18"/>
                <w:szCs w:val="18"/>
                <w:lang w:val="en-US"/>
              </w:rPr>
              <w:fldChar w:fldCharType="end"/>
            </w:r>
          </w:p>
          <w:p w14:paraId="73FA2183" w14:textId="655EF043" w:rsidR="00B809E7" w:rsidRPr="00157E90" w:rsidRDefault="00B809E7" w:rsidP="006A60F3">
            <w:pPr>
              <w:spacing w:line="240" w:lineRule="auto"/>
              <w:jc w:val="center"/>
              <w:rPr>
                <w:rFonts w:ascii="Arial" w:hAnsi="Arial" w:cs="Arial"/>
                <w:sz w:val="18"/>
                <w:szCs w:val="18"/>
                <w:lang w:val="en-US"/>
              </w:rPr>
            </w:pPr>
          </w:p>
        </w:tc>
        <w:tc>
          <w:tcPr>
            <w:tcW w:w="2268" w:type="dxa"/>
            <w:tcBorders>
              <w:left w:val="single" w:sz="4" w:space="0" w:color="FFFFFF" w:themeColor="background1"/>
              <w:right w:val="single" w:sz="4" w:space="0" w:color="FFFFFF" w:themeColor="background1"/>
            </w:tcBorders>
            <w:shd w:val="clear" w:color="auto" w:fill="auto"/>
          </w:tcPr>
          <w:p w14:paraId="5DE49F17" w14:textId="2E359FD5"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0.93/1.00 </w:t>
            </w:r>
            <w:r w:rsidRPr="00157E90">
              <w:rPr>
                <w:rFonts w:ascii="Arial" w:hAnsi="Arial" w:cs="Arial"/>
                <w:sz w:val="18"/>
                <w:szCs w:val="18"/>
                <w:lang w:val="en-US"/>
              </w:rPr>
              <w:fldChar w:fldCharType="begin" w:fldLock="1"/>
            </w:r>
            <w:r w:rsidR="000716CF" w:rsidRPr="00157E90">
              <w:rPr>
                <w:rFonts w:ascii="Arial" w:hAnsi="Arial" w:cs="Arial"/>
                <w:sz w:val="18"/>
                <w:szCs w:val="18"/>
                <w:lang w:val="en-US"/>
              </w:rPr>
              <w:instrText>ADDIN CSL_CITATION {"citationItems":[{"id":"ITEM-1","itemData":{"DOI":"10.1097/01.opx.0000182211.48498.4e","ISSN":"10405488","PMID":"16276319","abstract":"Purpose. The purpose of the study was to determine the sensitivity, specificity, and repeatability of the web-based Colour Assessment and Diagnosis (CAD) test in comparison to current tests of color vision. Methods. Thirty color normals and 30 color deficients, identified and diagnosed by the Nagel anomaloscope, were tested. The results of the CAD test were compared with standard tests like Nagel anomaloscope, Ishihara (concise version, 2001), Hardy, Rand and Rittler (HRR; 4th ed) pseudoisochromatic test, and the Farnsworth Munsell 100 (FM-100) hue test. Results. Using the Nagel anomaloscope as the \"gold standard,\" the sensitivity with the CAD test was 93.33%, Ishihara 96%, HRR 100%, and the FM-100 hue 100%. The specificity was 100% with CAD and the Ishihara color plates, whereas it was 33% with the HRR and 83% with the FM-100 hue test The concurrent validity of the CAD test for color normals was 93.75%. The concurrent validity of CAD test for color deficiency was 100%. Thus, anyone failing the CAD test has a color defect. The coefficient of agreement for the Nagel anomaloscope and the CAD test was 0.93, with Ishihara it was 0.96, with the HRR it was 0.33, and with FM-100 hue it was 0.83. Conclusion. These results showed that the CAD test is a valid test for identifying congenital red-green color deficiency. Further testing is required in a larger population of anomalous trichromats. Copyright © 2005 American Academy of Optometry.","author":[{"dropping-particle":"","family":"Seshadri","given":"Jayasree","non-dropping-particle":"","parse-names":false,"suffix":""},{"dropping-particle":"","family":"Christensen","given":"Jerry","non-dropping-particle":"","parse-names":false,"suffix":""},{"dropping-particle":"","family":"Lakshminarayanan","given":"Vasudevan","non-dropping-particle":"","parse-names":false,"suffix":""},{"dropping-particle":"","family":"Bassi","given":"Carl J.","non-dropping-particle":"","parse-names":false,"suffix":""}],"container-title":"Optometry and Vision Science","id":"ITEM-1","issue":"10","issued":{"date-parts":[["2005"]]},"page":"882-885","title":"Evaluation of the new web-based \"Colour Assessment and Diagnosis\" test","type":"article-journal","volume":"82"},"uris":["http://www.mendeley.com/documents/?uuid=212a6f43-678c-420e-92b3-3ca0820ba56d"]}],"mendeley":{"formattedCitation":"(Seshadri et al., 2005)","plainTextFormattedCitation":"(Seshadri et al., 2005)","previouslyFormattedCitation":"(Seshadri et al., 2005)"},"properties":{"noteIndex":0},"schema":"https://github.com/citation-style-language/schema/raw/master/csl-citation.json"}</w:instrText>
            </w:r>
            <w:r w:rsidRPr="00157E90">
              <w:rPr>
                <w:rFonts w:ascii="Arial" w:hAnsi="Arial" w:cs="Arial"/>
                <w:sz w:val="18"/>
                <w:szCs w:val="18"/>
                <w:lang w:val="en-US"/>
              </w:rPr>
              <w:fldChar w:fldCharType="separate"/>
            </w:r>
            <w:r w:rsidR="008656E6" w:rsidRPr="00157E90">
              <w:rPr>
                <w:rFonts w:ascii="Arial" w:hAnsi="Arial" w:cs="Arial"/>
                <w:sz w:val="18"/>
                <w:szCs w:val="18"/>
                <w:lang w:val="en-US"/>
              </w:rPr>
              <w:t>(Seshadri et al., 2005)</w:t>
            </w:r>
            <w:r w:rsidRPr="00157E90">
              <w:rPr>
                <w:rFonts w:ascii="Arial" w:hAnsi="Arial" w:cs="Arial"/>
                <w:sz w:val="18"/>
                <w:szCs w:val="18"/>
                <w:lang w:val="en-US"/>
              </w:rPr>
              <w:fldChar w:fldCharType="end"/>
            </w:r>
            <w:r w:rsidR="00E56675" w:rsidRPr="00157E90">
              <w:rPr>
                <w:rFonts w:ascii="Arial" w:hAnsi="Arial" w:cs="Arial"/>
                <w:sz w:val="18"/>
                <w:szCs w:val="18"/>
                <w:lang w:val="en-US"/>
              </w:rPr>
              <w:t xml:space="preserve"> </w:t>
            </w:r>
          </w:p>
          <w:p w14:paraId="26B822FA"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(CVD=30, CVN=30)</w:t>
            </w:r>
          </w:p>
          <w:p w14:paraId="0122A0B3" w14:textId="77777777" w:rsidR="00B809E7" w:rsidRPr="00157E90" w:rsidRDefault="00B809E7" w:rsidP="006A60F3">
            <w:pPr>
              <w:spacing w:line="240" w:lineRule="auto"/>
              <w:jc w:val="center"/>
              <w:rPr>
                <w:rFonts w:ascii="Arial" w:hAnsi="Arial" w:cs="Arial"/>
                <w:sz w:val="18"/>
                <w:szCs w:val="18"/>
                <w:lang w:val="en-US"/>
              </w:rPr>
            </w:pPr>
            <w:proofErr w:type="spellStart"/>
            <w:r w:rsidRPr="00157E90">
              <w:rPr>
                <w:rFonts w:ascii="Arial" w:hAnsi="Arial" w:cs="Arial"/>
                <w:sz w:val="18"/>
                <w:szCs w:val="18"/>
                <w:lang w:val="en-US"/>
              </w:rPr>
              <w:t>Anomaloscope</w:t>
            </w:r>
            <w:proofErr w:type="spellEnd"/>
          </w:p>
        </w:tc>
        <w:tc>
          <w:tcPr>
            <w:tcW w:w="1985" w:type="dxa"/>
            <w:tcBorders>
              <w:left w:val="single" w:sz="4" w:space="0" w:color="FFFFFF" w:themeColor="background1"/>
              <w:right w:val="single" w:sz="4" w:space="0" w:color="FFFFFF" w:themeColor="background1"/>
            </w:tcBorders>
          </w:tcPr>
          <w:p w14:paraId="287B9845" w14:textId="77777777"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N/A</w:t>
            </w:r>
          </w:p>
        </w:tc>
        <w:tc>
          <w:tcPr>
            <w:tcW w:w="1559" w:type="dxa"/>
            <w:tcBorders>
              <w:left w:val="single" w:sz="4" w:space="0" w:color="FFFFFF" w:themeColor="background1"/>
              <w:right w:val="single" w:sz="4" w:space="0" w:color="FFFFFF" w:themeColor="background1"/>
            </w:tcBorders>
            <w:shd w:val="clear" w:color="auto" w:fill="auto"/>
          </w:tcPr>
          <w:p w14:paraId="288D4D1C" w14:textId="7D0A92A4" w:rsidR="00B809E7" w:rsidRPr="00157E90" w:rsidRDefault="00B809E7" w:rsidP="006A60F3">
            <w:pPr>
              <w:spacing w:line="240" w:lineRule="auto"/>
              <w:jc w:val="center"/>
              <w:rPr>
                <w:rFonts w:ascii="Arial" w:hAnsi="Arial" w:cs="Arial"/>
                <w:sz w:val="18"/>
                <w:szCs w:val="18"/>
                <w:lang w:val="en-US"/>
              </w:rPr>
            </w:pPr>
            <w:r w:rsidRPr="00157E90">
              <w:rPr>
                <w:rFonts w:ascii="Arial" w:hAnsi="Arial" w:cs="Arial"/>
                <w:sz w:val="18"/>
                <w:szCs w:val="18"/>
                <w:lang w:val="en-US"/>
              </w:rPr>
              <w:t xml:space="preserve">4 years </w:t>
            </w:r>
            <w:r w:rsidR="00D00BA2" w:rsidRPr="00157E90">
              <w:rPr>
                <w:rFonts w:ascii="Arial" w:hAnsi="Arial" w:cs="Arial"/>
                <w:sz w:val="18"/>
                <w:szCs w:val="18"/>
                <w:lang w:val="en-US"/>
              </w:rPr>
              <w:fldChar w:fldCharType="begin" w:fldLock="1"/>
            </w:r>
            <w:r w:rsidR="005D22AB" w:rsidRPr="00157E90">
              <w:rPr>
                <w:rFonts w:ascii="Arial" w:hAnsi="Arial" w:cs="Arial"/>
                <w:sz w:val="18"/>
                <w:szCs w:val="18"/>
                <w:lang w:val="en-US"/>
              </w:rPr>
              <w:instrText>ADDIN CSL_CITATION {"citationItems":[{"id":"ITEM-1","itemData":{"DOI":"10.1017/CBO9781107337930.009","ISBN":"9781107043237","abstract":"\"We perceive color everywhere and on everything that we encounter in daily life. Color science has progressed to the point where a great deal is known about the mechanics, evolution, and development of color vision, but less is known about the relation between color vision and psychology. However, color psychology is now a burgeoning, exciting area and this Handbook provides comprehensive coverage of emerging theory and research. Top scholars in the field provide rigorous overviews of work on color categorization, color symbolism and association, color preference, reciprocal relations between color perception and psychological functioning, and variations and deficiencies in color perception. The Handbook of Color Psychology seeks to facilitate cross-fertilization among researchers, both within and across disciplines and areas of research, and is an essential resource for anyone interested in color psychology in both theoretical and applied areas of study\"--Publisher's website. Part I. Introduction -- 1. Introduction and overview / Andrew J. Elliot, Mark D. Fairchild and Anna Franklin -- Part II. Foundations: basics of color science -- 2. Color models and systems / Mark D. Fairchild -- 3. Fundamentals of color vision I: color processing in the eye / Andrew Stockman and David H. Brainard -- 4. Fundamentals of color vision II: higher-order color processing / Karl R. Gegenfurtner and Robert Ennis -- 5. Evolution of color vision and its reflections in contemporary mammals / Gerald H. Jacobs -- 6. Some philosophical questions about color / Don Dedrick -- Part III. Development of and differences in color vision -- 7. Emergence and early development of color vision and color perception / Marc H. Bornstein -- 8. Color vision changes in normal aging / John L. Barbur and Marisa Rodriguez-Carmona -- 9. Individual differences in color vision / Michael A. Webster -- 10. Color vision deficiencies / Neil R.A. Parry -- Part IV. Color categorization -- 11. Universality of color categorization / Paul Kay -- 12. Color categorization across cultures / Jules Davidoff -- 13. Development of color categorization / Anna Franklin -- 14. The meaning of color words in a cross-linguistic perspective / Anna Wierzbicka -- Part V. Color symbolism and association -- 15. Early color symbolism / Ian Watts -- 16. Symbolic use of color in ritual, tradition, and folklore / John B. Hutchings -- 17. Color in camouflage, mimicry, and warning signals / Martin Stevens, Lina Maria Arenas and Alice…","author":[{"dropping-particle":"","family":"Barbur","given":"John","non-dropping-particle":"","parse-names":false,"suffix":""},{"dropping-particle":"","family":"Rodriguez-Carmona","given":"Marisa","non-dropping-particle":"","parse-names":false,"suffix":""}],"container-title":"Handbook of Color Psychology","editor":[{"dropping-particle":"","family":"Elliott","given":"A. J.","non-dropping-particle":"","parse-names":false,"suffix":""},{"dropping-particle":"","family":"Fairchild","given":"M. D.","non-dropping-particle":"","parse-names":false,"suffix":""},{"dropping-particle":"","family":"Franklin","given":"A.","non-dropping-particle":"","parse-names":false,"suffix":""}],"id":"ITEM-1","issued":{"date-parts":[["2015"]]},"page":"180-196","publisher":"Cambridge University Press.","publisher-place":"Cambridge","title":"Color vision changes in normal aging","type":"chapter"},"uris":["http://www.mendeley.com/documents/?uuid=ae794b79-5da6-442f-85f2-cd185238bdbb"]}],"mendeley":{"formattedCitation":"(Barbur &amp; Rodriguez-Carmona, 2015)","plainTextFormattedCitation":"(Barbur &amp; Rodriguez-Carmona, 2015)","previouslyFormattedCitation":"(Barbur &amp; Rodriguez-Carmona, 2015)"},"properties":{"noteIndex":0},"schema":"https://github.com/citation-style-language/schema/raw/master/csl-citation.json"}</w:instrText>
            </w:r>
            <w:r w:rsidR="00D00BA2" w:rsidRPr="00157E90">
              <w:rPr>
                <w:rFonts w:ascii="Arial" w:hAnsi="Arial" w:cs="Arial"/>
                <w:sz w:val="18"/>
                <w:szCs w:val="18"/>
                <w:lang w:val="en-US"/>
              </w:rPr>
              <w:fldChar w:fldCharType="separate"/>
            </w:r>
            <w:r w:rsidR="00AA517B" w:rsidRPr="00157E90">
              <w:rPr>
                <w:rFonts w:ascii="Arial" w:hAnsi="Arial" w:cs="Arial"/>
                <w:sz w:val="18"/>
                <w:szCs w:val="18"/>
                <w:lang w:val="en-US"/>
              </w:rPr>
              <w:t>(Barbur &amp; Rodriguez-Carmona, 2015)</w:t>
            </w:r>
            <w:r w:rsidR="00D00BA2" w:rsidRPr="00157E90">
              <w:rPr>
                <w:rFonts w:ascii="Arial" w:hAnsi="Arial" w:cs="Arial"/>
                <w:sz w:val="18"/>
                <w:szCs w:val="18"/>
                <w:lang w:val="en-US"/>
              </w:rPr>
              <w:fldChar w:fldCharType="end"/>
            </w:r>
          </w:p>
        </w:tc>
        <w:tc>
          <w:tcPr>
            <w:tcW w:w="2551" w:type="dxa"/>
            <w:tcBorders>
              <w:left w:val="single" w:sz="4" w:space="0" w:color="FFFFFF" w:themeColor="background1"/>
              <w:right w:val="single" w:sz="4" w:space="0" w:color="FFFFFF" w:themeColor="background1"/>
            </w:tcBorders>
            <w:shd w:val="clear" w:color="auto" w:fill="auto"/>
          </w:tcPr>
          <w:p w14:paraId="4FD3F96F" w14:textId="3B31BCB4" w:rsidR="00B809E7" w:rsidRPr="00157E90" w:rsidRDefault="00B809E7" w:rsidP="006A60F3">
            <w:pPr>
              <w:pStyle w:val="NoSpacing"/>
              <w:spacing w:line="240" w:lineRule="auto"/>
              <w:rPr>
                <w:rFonts w:ascii="Arial" w:hAnsi="Arial" w:cs="Arial"/>
                <w:sz w:val="18"/>
                <w:szCs w:val="18"/>
                <w:lang w:val="en-US"/>
              </w:rPr>
            </w:pPr>
            <w:r w:rsidRPr="00157E90">
              <w:rPr>
                <w:rFonts w:ascii="Arial" w:hAnsi="Arial" w:cs="Arial"/>
                <w:sz w:val="18"/>
                <w:szCs w:val="18"/>
                <w:lang w:val="en-US"/>
              </w:rPr>
              <w:t>†,</w:t>
            </w:r>
            <w:r w:rsidR="0074376F" w:rsidRPr="00157E90">
              <w:rPr>
                <w:rFonts w:ascii="Arial" w:hAnsi="Arial" w:cs="Arial"/>
                <w:sz w:val="18"/>
                <w:szCs w:val="18"/>
                <w:lang w:val="en-US"/>
              </w:rPr>
              <w:t xml:space="preserve"> </w:t>
            </w:r>
            <w:r w:rsidRPr="00157E90">
              <w:rPr>
                <w:rFonts w:ascii="Arial" w:hAnsi="Arial" w:cs="Arial"/>
                <w:sz w:val="18"/>
                <w:szCs w:val="18"/>
                <w:lang w:val="en-US"/>
              </w:rPr>
              <w:t>‡</w:t>
            </w:r>
          </w:p>
          <w:p w14:paraId="1214F9BF" w14:textId="77777777" w:rsidR="00B809E7" w:rsidRPr="00157E90" w:rsidRDefault="00B809E7" w:rsidP="006A60F3">
            <w:pPr>
              <w:pStyle w:val="NoSpacing"/>
              <w:spacing w:line="240" w:lineRule="auto"/>
              <w:rPr>
                <w:rFonts w:ascii="Arial" w:hAnsi="Arial" w:cs="Arial"/>
                <w:sz w:val="18"/>
                <w:szCs w:val="18"/>
                <w:lang w:val="en-US"/>
              </w:rPr>
            </w:pPr>
          </w:p>
        </w:tc>
      </w:tr>
    </w:tbl>
    <w:p w14:paraId="70F3BBFC" w14:textId="5FF138DD" w:rsidR="00D41B1C" w:rsidRPr="00F6318C" w:rsidRDefault="00B809E7" w:rsidP="00D41B1C">
      <w:pPr>
        <w:rPr>
          <w:rFonts w:ascii="Arial" w:hAnsi="Arial" w:cs="Arial"/>
          <w:sz w:val="18"/>
          <w:szCs w:val="18"/>
          <w:lang w:val="en-US"/>
        </w:rPr>
      </w:pPr>
      <w:r w:rsidRPr="00157E90">
        <w:rPr>
          <w:rFonts w:ascii="Arial" w:hAnsi="Arial" w:cs="Arial"/>
          <w:b/>
          <w:bCs/>
          <w:i/>
          <w:sz w:val="18"/>
          <w:szCs w:val="18"/>
          <w:lang w:val="en-US"/>
        </w:rPr>
        <w:t>Note.</w:t>
      </w:r>
      <w:r w:rsidRPr="00157E90">
        <w:rPr>
          <w:rFonts w:ascii="Arial" w:hAnsi="Arial" w:cs="Arial"/>
          <w:b/>
          <w:bCs/>
          <w:sz w:val="18"/>
          <w:szCs w:val="18"/>
          <w:lang w:val="en-US"/>
        </w:rPr>
        <w:t xml:space="preserve"> </w:t>
      </w:r>
      <w:proofErr w:type="gramStart"/>
      <w:r w:rsidRPr="00157E90">
        <w:rPr>
          <w:rFonts w:ascii="Arial" w:hAnsi="Arial" w:cs="Arial"/>
          <w:b/>
          <w:bCs/>
          <w:sz w:val="18"/>
          <w:szCs w:val="18"/>
          <w:lang w:val="en-US"/>
        </w:rPr>
        <w:t>Definitions.</w:t>
      </w:r>
      <w:proofErr w:type="gramEnd"/>
      <w:r w:rsidRPr="00157E90">
        <w:rPr>
          <w:rFonts w:ascii="Arial" w:hAnsi="Arial" w:cs="Arial"/>
          <w:b/>
          <w:bCs/>
          <w:sz w:val="18"/>
          <w:szCs w:val="18"/>
          <w:lang w:val="en-US"/>
        </w:rPr>
        <w:t xml:space="preserve"> </w:t>
      </w:r>
      <w:proofErr w:type="spellStart"/>
      <w:r w:rsidRPr="00157E90">
        <w:rPr>
          <w:rFonts w:ascii="Arial" w:hAnsi="Arial" w:cs="Arial"/>
          <w:b/>
          <w:bCs/>
          <w:sz w:val="18"/>
          <w:szCs w:val="18"/>
          <w:lang w:val="en-US"/>
        </w:rPr>
        <w:t>Anomaloscope</w:t>
      </w:r>
      <w:proofErr w:type="spellEnd"/>
      <w:r w:rsidRPr="00157E90">
        <w:rPr>
          <w:rFonts w:ascii="Arial" w:hAnsi="Arial" w:cs="Arial"/>
          <w:sz w:val="18"/>
          <w:szCs w:val="18"/>
          <w:lang w:val="en-US"/>
        </w:rPr>
        <w:t xml:space="preserve">: The </w:t>
      </w:r>
      <w:proofErr w:type="spellStart"/>
      <w:r w:rsidRPr="00157E90">
        <w:rPr>
          <w:rFonts w:ascii="Arial" w:hAnsi="Arial" w:cs="Arial"/>
          <w:sz w:val="18"/>
          <w:szCs w:val="18"/>
          <w:lang w:val="en-US"/>
        </w:rPr>
        <w:t>anomaloscope</w:t>
      </w:r>
      <w:proofErr w:type="spellEnd"/>
      <w:r w:rsidRPr="00157E90">
        <w:rPr>
          <w:rFonts w:ascii="Arial" w:hAnsi="Arial" w:cs="Arial"/>
          <w:sz w:val="18"/>
          <w:szCs w:val="18"/>
          <w:lang w:val="en-US"/>
        </w:rPr>
        <w:t xml:space="preserve"> is an optical instrument where individuals are asked to match different mixtures of </w:t>
      </w:r>
      <w:r w:rsidRPr="00F6318C">
        <w:rPr>
          <w:rFonts w:ascii="Arial" w:hAnsi="Arial" w:cs="Arial"/>
          <w:sz w:val="18"/>
          <w:szCs w:val="18"/>
          <w:lang w:val="en-US"/>
        </w:rPr>
        <w:t xml:space="preserve">red and green monochromatic light to different luminance levels of a yellow monochromatic light. It is the gold standard for assessing color vision; </w:t>
      </w:r>
      <w:r w:rsidR="00932AE1" w:rsidRPr="00F6318C">
        <w:rPr>
          <w:rFonts w:ascii="Arial" w:hAnsi="Arial" w:cs="Arial"/>
          <w:b/>
          <w:bCs/>
          <w:sz w:val="18"/>
          <w:szCs w:val="18"/>
          <w:lang w:val="en-US"/>
        </w:rPr>
        <w:t>CVD:</w:t>
      </w:r>
      <w:r w:rsidR="00932AE1" w:rsidRPr="00F6318C">
        <w:rPr>
          <w:rFonts w:ascii="Arial" w:hAnsi="Arial" w:cs="Arial"/>
          <w:sz w:val="18"/>
          <w:szCs w:val="18"/>
          <w:lang w:val="en-US"/>
        </w:rPr>
        <w:t xml:space="preserve"> </w:t>
      </w:r>
      <w:r w:rsidR="00284A44" w:rsidRPr="00F6318C">
        <w:rPr>
          <w:rFonts w:ascii="Arial" w:hAnsi="Arial" w:cs="Arial"/>
          <w:sz w:val="18"/>
          <w:szCs w:val="18"/>
          <w:lang w:val="en-US"/>
        </w:rPr>
        <w:t>Participants with c</w:t>
      </w:r>
      <w:r w:rsidR="00932AE1" w:rsidRPr="00F6318C">
        <w:rPr>
          <w:rFonts w:ascii="Arial" w:hAnsi="Arial" w:cs="Arial"/>
          <w:sz w:val="18"/>
          <w:szCs w:val="18"/>
          <w:lang w:val="en-US"/>
        </w:rPr>
        <w:t xml:space="preserve">olor vision deficiency (any CVD type, e.g. anomalous </w:t>
      </w:r>
      <w:proofErr w:type="spellStart"/>
      <w:r w:rsidR="00932AE1" w:rsidRPr="00F6318C">
        <w:rPr>
          <w:rFonts w:ascii="Arial" w:hAnsi="Arial" w:cs="Arial"/>
          <w:sz w:val="18"/>
          <w:szCs w:val="18"/>
          <w:lang w:val="en-US"/>
        </w:rPr>
        <w:t>trichromacy</w:t>
      </w:r>
      <w:proofErr w:type="spellEnd"/>
      <w:r w:rsidR="00932AE1" w:rsidRPr="00F6318C">
        <w:rPr>
          <w:rFonts w:ascii="Arial" w:hAnsi="Arial" w:cs="Arial"/>
          <w:sz w:val="18"/>
          <w:szCs w:val="18"/>
          <w:lang w:val="en-US"/>
        </w:rPr>
        <w:t xml:space="preserve">, </w:t>
      </w:r>
      <w:proofErr w:type="spellStart"/>
      <w:r w:rsidR="00932AE1" w:rsidRPr="00F6318C">
        <w:rPr>
          <w:rFonts w:ascii="Arial" w:hAnsi="Arial" w:cs="Arial"/>
          <w:sz w:val="18"/>
          <w:szCs w:val="18"/>
          <w:lang w:val="en-US"/>
        </w:rPr>
        <w:t>dichromacy</w:t>
      </w:r>
      <w:proofErr w:type="spellEnd"/>
      <w:r w:rsidR="00932AE1" w:rsidRPr="00F6318C">
        <w:rPr>
          <w:rFonts w:ascii="Arial" w:hAnsi="Arial" w:cs="Arial"/>
          <w:sz w:val="18"/>
          <w:szCs w:val="18"/>
          <w:lang w:val="en-US"/>
        </w:rPr>
        <w:t xml:space="preserve">); </w:t>
      </w:r>
      <w:r w:rsidR="00932AE1" w:rsidRPr="00F6318C">
        <w:rPr>
          <w:rFonts w:ascii="Arial" w:hAnsi="Arial" w:cs="Arial"/>
          <w:b/>
          <w:bCs/>
          <w:sz w:val="18"/>
          <w:szCs w:val="18"/>
          <w:lang w:val="en-US"/>
        </w:rPr>
        <w:t>CVN:</w:t>
      </w:r>
      <w:r w:rsidR="00932AE1" w:rsidRPr="00F6318C">
        <w:rPr>
          <w:rFonts w:ascii="Arial" w:hAnsi="Arial" w:cs="Arial"/>
          <w:sz w:val="18"/>
          <w:szCs w:val="18"/>
          <w:lang w:val="en-US"/>
        </w:rPr>
        <w:t xml:space="preserve"> </w:t>
      </w:r>
      <w:r w:rsidR="00284A44" w:rsidRPr="00F6318C">
        <w:rPr>
          <w:rFonts w:ascii="Arial" w:hAnsi="Arial" w:cs="Arial"/>
          <w:sz w:val="18"/>
          <w:szCs w:val="18"/>
          <w:lang w:val="en-US"/>
        </w:rPr>
        <w:t>Participants with normal c</w:t>
      </w:r>
      <w:r w:rsidR="00932AE1" w:rsidRPr="00F6318C">
        <w:rPr>
          <w:rFonts w:ascii="Arial" w:hAnsi="Arial" w:cs="Arial"/>
          <w:sz w:val="18"/>
          <w:szCs w:val="18"/>
          <w:lang w:val="en-US"/>
        </w:rPr>
        <w:t xml:space="preserve">olor vision; </w:t>
      </w:r>
      <w:r w:rsidR="00932AE1" w:rsidRPr="00F6318C">
        <w:rPr>
          <w:rFonts w:ascii="Arial" w:hAnsi="Arial" w:cs="Arial"/>
          <w:b/>
          <w:bCs/>
          <w:sz w:val="18"/>
          <w:szCs w:val="18"/>
          <w:lang w:val="en-US"/>
        </w:rPr>
        <w:t>N/A:</w:t>
      </w:r>
      <w:r w:rsidR="00932AE1" w:rsidRPr="00F6318C">
        <w:rPr>
          <w:rFonts w:ascii="Arial" w:hAnsi="Arial" w:cs="Arial"/>
          <w:sz w:val="18"/>
          <w:szCs w:val="18"/>
          <w:lang w:val="en-US"/>
        </w:rPr>
        <w:t xml:space="preserve"> Not available; </w:t>
      </w:r>
      <w:r w:rsidRPr="00F6318C">
        <w:rPr>
          <w:rFonts w:ascii="Arial" w:hAnsi="Arial" w:cs="Arial"/>
          <w:b/>
          <w:bCs/>
          <w:sz w:val="18"/>
          <w:szCs w:val="18"/>
          <w:lang w:val="en-US"/>
        </w:rPr>
        <w:t>Pseudo-isochromatic tests</w:t>
      </w:r>
      <w:r w:rsidRPr="00F6318C">
        <w:rPr>
          <w:rFonts w:ascii="Arial" w:hAnsi="Arial" w:cs="Arial"/>
          <w:sz w:val="18"/>
          <w:szCs w:val="18"/>
          <w:lang w:val="en-US"/>
        </w:rPr>
        <w:t xml:space="preserve">: These tests </w:t>
      </w:r>
      <w:r w:rsidRPr="00F6318C">
        <w:rPr>
          <w:rFonts w:ascii="Arial" w:hAnsi="Arial" w:cs="Arial"/>
          <w:sz w:val="18"/>
          <w:szCs w:val="18"/>
          <w:lang w:val="en-US" w:eastAsia="ko-KR"/>
        </w:rPr>
        <w:t xml:space="preserve">have an array of colored dots that form a figure (digits, pathways, letters, animals or </w:t>
      </w:r>
      <w:r w:rsidR="00D861C3" w:rsidRPr="00F6318C">
        <w:rPr>
          <w:rFonts w:ascii="Arial" w:hAnsi="Arial" w:cs="Arial"/>
          <w:sz w:val="18"/>
          <w:szCs w:val="18"/>
          <w:lang w:val="en-US" w:eastAsia="ko-KR"/>
        </w:rPr>
        <w:t>shapes</w:t>
      </w:r>
      <w:r w:rsidRPr="00F6318C">
        <w:rPr>
          <w:rFonts w:ascii="Arial" w:hAnsi="Arial" w:cs="Arial"/>
          <w:sz w:val="18"/>
          <w:szCs w:val="18"/>
          <w:lang w:val="en-US" w:eastAsia="ko-KR"/>
        </w:rPr>
        <w:t xml:space="preserve">) against an </w:t>
      </w:r>
      <w:proofErr w:type="spellStart"/>
      <w:r w:rsidRPr="00F6318C">
        <w:rPr>
          <w:rFonts w:ascii="Arial" w:hAnsi="Arial" w:cs="Arial"/>
          <w:sz w:val="18"/>
          <w:szCs w:val="18"/>
          <w:lang w:val="en-US" w:eastAsia="ko-KR"/>
        </w:rPr>
        <w:t>isoluminant</w:t>
      </w:r>
      <w:proofErr w:type="spellEnd"/>
      <w:r w:rsidRPr="00F6318C">
        <w:rPr>
          <w:rFonts w:ascii="Arial" w:hAnsi="Arial" w:cs="Arial"/>
          <w:sz w:val="18"/>
          <w:szCs w:val="18"/>
          <w:lang w:val="en-US" w:eastAsia="ko-KR"/>
        </w:rPr>
        <w:t xml:space="preserve"> background which individuals are asked to identify; </w:t>
      </w:r>
      <w:r w:rsidRPr="00F6318C">
        <w:rPr>
          <w:rFonts w:ascii="Arial" w:hAnsi="Arial" w:cs="Arial"/>
          <w:b/>
          <w:bCs/>
          <w:sz w:val="18"/>
          <w:szCs w:val="18"/>
          <w:lang w:val="en-US"/>
        </w:rPr>
        <w:t>Arrangement tests</w:t>
      </w:r>
      <w:r w:rsidRPr="00F6318C">
        <w:rPr>
          <w:rFonts w:ascii="Arial" w:hAnsi="Arial" w:cs="Arial"/>
          <w:sz w:val="18"/>
          <w:szCs w:val="18"/>
          <w:lang w:val="en-US"/>
        </w:rPr>
        <w:t xml:space="preserve">: </w:t>
      </w:r>
      <w:r w:rsidRPr="00F6318C">
        <w:rPr>
          <w:rFonts w:ascii="Arial" w:hAnsi="Arial" w:cs="Arial"/>
          <w:sz w:val="18"/>
          <w:szCs w:val="18"/>
          <w:lang w:val="en-US" w:eastAsia="ko-KR"/>
        </w:rPr>
        <w:t xml:space="preserve">Individuals are required to sort a set of colored stimuli by hue or saturation; </w:t>
      </w:r>
      <w:r w:rsidRPr="00F6318C">
        <w:rPr>
          <w:rFonts w:ascii="Arial" w:hAnsi="Arial" w:cs="Arial"/>
          <w:b/>
          <w:bCs/>
          <w:sz w:val="18"/>
          <w:szCs w:val="18"/>
          <w:lang w:val="en-US"/>
        </w:rPr>
        <w:t>Oddity</w:t>
      </w:r>
      <w:r w:rsidRPr="00F6318C">
        <w:rPr>
          <w:rFonts w:ascii="Arial" w:hAnsi="Arial" w:cs="Arial"/>
          <w:sz w:val="18"/>
          <w:szCs w:val="18"/>
          <w:lang w:val="en-US"/>
        </w:rPr>
        <w:t xml:space="preserve"> </w:t>
      </w:r>
      <w:r w:rsidRPr="00F6318C">
        <w:rPr>
          <w:rFonts w:ascii="Arial" w:hAnsi="Arial" w:cs="Arial"/>
          <w:b/>
          <w:bCs/>
          <w:sz w:val="18"/>
          <w:szCs w:val="18"/>
          <w:lang w:val="en-US"/>
        </w:rPr>
        <w:t>tests</w:t>
      </w:r>
      <w:r w:rsidRPr="00F6318C">
        <w:rPr>
          <w:rFonts w:ascii="Arial" w:hAnsi="Arial" w:cs="Arial"/>
          <w:sz w:val="18"/>
          <w:szCs w:val="18"/>
          <w:lang w:val="en-US"/>
        </w:rPr>
        <w:t xml:space="preserve">: An odd-one-out task where individuals are asked to identify a colored target amongst other </w:t>
      </w:r>
      <w:r w:rsidR="00D861C3" w:rsidRPr="00F6318C">
        <w:rPr>
          <w:rFonts w:ascii="Arial" w:hAnsi="Arial" w:cs="Arial"/>
          <w:sz w:val="18"/>
          <w:szCs w:val="18"/>
          <w:lang w:val="en-US"/>
        </w:rPr>
        <w:t>distractors</w:t>
      </w:r>
      <w:r w:rsidRPr="00F6318C">
        <w:rPr>
          <w:rFonts w:ascii="Arial" w:hAnsi="Arial" w:cs="Arial"/>
          <w:sz w:val="18"/>
          <w:szCs w:val="18"/>
          <w:lang w:val="en-US"/>
        </w:rPr>
        <w:t xml:space="preserve">; </w:t>
      </w:r>
      <w:r w:rsidR="00D41B1C" w:rsidRPr="00F6318C">
        <w:rPr>
          <w:rFonts w:ascii="Arial" w:hAnsi="Arial" w:cs="Arial"/>
          <w:b/>
          <w:bCs/>
          <w:sz w:val="18"/>
          <w:szCs w:val="18"/>
          <w:lang w:val="en-US"/>
        </w:rPr>
        <w:t>Sensitivity</w:t>
      </w:r>
      <w:r w:rsidR="00D41B1C" w:rsidRPr="00F6318C">
        <w:rPr>
          <w:rFonts w:ascii="Arial" w:hAnsi="Arial" w:cs="Arial"/>
          <w:sz w:val="18"/>
          <w:szCs w:val="18"/>
          <w:lang w:val="en-US"/>
        </w:rPr>
        <w:t xml:space="preserve">: The rate at which a diagnostic test identifies true positives (i.e. individuals with a condition are correctly identified). For example, in the table, against the </w:t>
      </w:r>
      <w:r w:rsidR="00A720AE" w:rsidRPr="00F6318C">
        <w:rPr>
          <w:rFonts w:ascii="Arial" w:hAnsi="Arial" w:cs="Arial"/>
          <w:sz w:val="18"/>
          <w:szCs w:val="18"/>
          <w:lang w:val="en-US"/>
        </w:rPr>
        <w:t>comparison</w:t>
      </w:r>
      <w:r w:rsidR="00D41B1C" w:rsidRPr="00F6318C">
        <w:rPr>
          <w:rFonts w:ascii="Arial" w:hAnsi="Arial" w:cs="Arial"/>
          <w:sz w:val="18"/>
          <w:szCs w:val="18"/>
          <w:lang w:val="en-US"/>
        </w:rPr>
        <w:t xml:space="preserve"> test (in this example, the </w:t>
      </w:r>
      <w:proofErr w:type="spellStart"/>
      <w:r w:rsidR="00D41B1C" w:rsidRPr="00F6318C">
        <w:rPr>
          <w:rFonts w:ascii="Arial" w:hAnsi="Arial" w:cs="Arial"/>
          <w:sz w:val="18"/>
          <w:szCs w:val="18"/>
          <w:lang w:val="en-US"/>
        </w:rPr>
        <w:t>anomaloscope</w:t>
      </w:r>
      <w:proofErr w:type="spellEnd"/>
      <w:r w:rsidR="00D41B1C" w:rsidRPr="00F6318C">
        <w:rPr>
          <w:rFonts w:ascii="Arial" w:hAnsi="Arial" w:cs="Arial"/>
          <w:sz w:val="18"/>
          <w:szCs w:val="18"/>
          <w:lang w:val="en-US"/>
        </w:rPr>
        <w:t xml:space="preserve">), the Ishihara has a sensitivity of 0.99, indicating that 99% of individuals are correctly diagnosed as having a CVD (of any type) and 1% are false negatives (i.e., the Ishihara diagnosed the individual as having normal </w:t>
      </w:r>
      <w:r w:rsidR="00BC5250" w:rsidRPr="00F6318C">
        <w:rPr>
          <w:rFonts w:ascii="Arial" w:hAnsi="Arial" w:cs="Arial"/>
          <w:sz w:val="18"/>
          <w:szCs w:val="18"/>
          <w:lang w:val="en-US"/>
        </w:rPr>
        <w:t xml:space="preserve">color </w:t>
      </w:r>
      <w:r w:rsidR="00D41B1C" w:rsidRPr="00F6318C">
        <w:rPr>
          <w:rFonts w:ascii="Arial" w:hAnsi="Arial" w:cs="Arial"/>
          <w:sz w:val="18"/>
          <w:szCs w:val="18"/>
          <w:lang w:val="en-US"/>
        </w:rPr>
        <w:t xml:space="preserve">vision (CVN) but the </w:t>
      </w:r>
      <w:proofErr w:type="spellStart"/>
      <w:r w:rsidR="00D41B1C" w:rsidRPr="00F6318C">
        <w:rPr>
          <w:rFonts w:ascii="Arial" w:hAnsi="Arial" w:cs="Arial"/>
          <w:sz w:val="18"/>
          <w:szCs w:val="18"/>
          <w:lang w:val="en-US"/>
        </w:rPr>
        <w:t>anomaloscope</w:t>
      </w:r>
      <w:proofErr w:type="spellEnd"/>
      <w:r w:rsidR="00D41B1C" w:rsidRPr="00F6318C">
        <w:rPr>
          <w:rFonts w:ascii="Arial" w:hAnsi="Arial" w:cs="Arial"/>
          <w:sz w:val="18"/>
          <w:szCs w:val="18"/>
          <w:lang w:val="en-US"/>
        </w:rPr>
        <w:t xml:space="preserve"> diagnosed the same individual as CVD); </w:t>
      </w:r>
      <w:r w:rsidR="00D41B1C" w:rsidRPr="00F6318C">
        <w:rPr>
          <w:rFonts w:ascii="Arial" w:hAnsi="Arial" w:cs="Arial"/>
          <w:b/>
          <w:bCs/>
          <w:sz w:val="18"/>
          <w:szCs w:val="18"/>
          <w:lang w:val="en-US"/>
        </w:rPr>
        <w:t>Specificity</w:t>
      </w:r>
      <w:r w:rsidR="00D41B1C" w:rsidRPr="00F6318C">
        <w:rPr>
          <w:rFonts w:ascii="Arial" w:hAnsi="Arial" w:cs="Arial"/>
          <w:sz w:val="18"/>
          <w:szCs w:val="18"/>
          <w:lang w:val="en-US"/>
        </w:rPr>
        <w:t xml:space="preserve">: The rate at which a diagnostic test identifies true negatives (i.e. correctly identifies individuals </w:t>
      </w:r>
      <w:r w:rsidR="000C6D86" w:rsidRPr="00F6318C">
        <w:rPr>
          <w:rFonts w:ascii="Arial" w:hAnsi="Arial" w:cs="Arial"/>
          <w:sz w:val="18"/>
          <w:szCs w:val="18"/>
          <w:lang w:val="en-US"/>
        </w:rPr>
        <w:t xml:space="preserve">with </w:t>
      </w:r>
      <w:r w:rsidR="00A720AE" w:rsidRPr="00F6318C">
        <w:rPr>
          <w:rFonts w:ascii="Arial" w:hAnsi="Arial" w:cs="Arial"/>
          <w:sz w:val="18"/>
          <w:szCs w:val="18"/>
          <w:lang w:val="en-US"/>
        </w:rPr>
        <w:t>absence of</w:t>
      </w:r>
      <w:r w:rsidR="00D41B1C" w:rsidRPr="00F6318C">
        <w:rPr>
          <w:rFonts w:ascii="Arial" w:hAnsi="Arial" w:cs="Arial"/>
          <w:sz w:val="18"/>
          <w:szCs w:val="18"/>
          <w:lang w:val="en-US"/>
        </w:rPr>
        <w:t xml:space="preserve"> a condition). For example, in the above table, when compared with the </w:t>
      </w:r>
      <w:r w:rsidR="00A720AE" w:rsidRPr="00F6318C">
        <w:rPr>
          <w:rFonts w:ascii="Arial" w:hAnsi="Arial" w:cs="Arial"/>
          <w:sz w:val="18"/>
          <w:szCs w:val="18"/>
          <w:lang w:val="en-US"/>
        </w:rPr>
        <w:t>comparison</w:t>
      </w:r>
      <w:r w:rsidR="00D41B1C" w:rsidRPr="00F6318C">
        <w:rPr>
          <w:rFonts w:ascii="Arial" w:hAnsi="Arial" w:cs="Arial"/>
          <w:sz w:val="18"/>
          <w:szCs w:val="18"/>
          <w:lang w:val="en-US"/>
        </w:rPr>
        <w:t xml:space="preserve"> test (in this example, the Ishihara 1989 edition), the Ishihara test has a specificity of 0.94, indicating that 94% of individuals of CVN individuals were correctly categori</w:t>
      </w:r>
      <w:r w:rsidR="003300C9" w:rsidRPr="00F6318C">
        <w:rPr>
          <w:rFonts w:ascii="Arial" w:hAnsi="Arial" w:cs="Arial"/>
          <w:sz w:val="18"/>
          <w:szCs w:val="18"/>
          <w:lang w:val="en-US"/>
        </w:rPr>
        <w:t>z</w:t>
      </w:r>
      <w:r w:rsidR="00D41B1C" w:rsidRPr="00F6318C">
        <w:rPr>
          <w:rFonts w:ascii="Arial" w:hAnsi="Arial" w:cs="Arial"/>
          <w:sz w:val="18"/>
          <w:szCs w:val="18"/>
          <w:lang w:val="en-US"/>
        </w:rPr>
        <w:t xml:space="preserve">ed </w:t>
      </w:r>
      <w:r w:rsidR="00D41B1C" w:rsidRPr="00157E90">
        <w:rPr>
          <w:rFonts w:ascii="Arial" w:hAnsi="Arial" w:cs="Arial"/>
          <w:sz w:val="18"/>
          <w:szCs w:val="18"/>
          <w:lang w:val="en-US"/>
        </w:rPr>
        <w:t xml:space="preserve">as CVN, and 6% of individuals were false positives (i.e., where the Ishihara Unlettered diagnosed the individual as CVD but the Ishihara diagnosed </w:t>
      </w:r>
      <w:r w:rsidR="00D41B1C" w:rsidRPr="00F6318C">
        <w:rPr>
          <w:rFonts w:ascii="Arial" w:hAnsi="Arial" w:cs="Arial"/>
          <w:sz w:val="18"/>
          <w:szCs w:val="18"/>
          <w:lang w:val="en-US"/>
        </w:rPr>
        <w:t>the same individual as CVN).</w:t>
      </w:r>
    </w:p>
    <w:p w14:paraId="4D1B6BB1" w14:textId="0090EA75" w:rsidR="00B809E7" w:rsidRPr="00157E90" w:rsidRDefault="00B809E7" w:rsidP="00B809E7">
      <w:pPr>
        <w:rPr>
          <w:rFonts w:ascii="Arial" w:hAnsi="Arial" w:cs="Arial"/>
          <w:sz w:val="18"/>
          <w:szCs w:val="18"/>
          <w:lang w:val="en-US"/>
        </w:rPr>
      </w:pPr>
      <w:proofErr w:type="gramStart"/>
      <w:r w:rsidRPr="00F6318C">
        <w:rPr>
          <w:rFonts w:ascii="Arial" w:hAnsi="Arial" w:cs="Arial"/>
          <w:b/>
          <w:bCs/>
          <w:sz w:val="18"/>
          <w:szCs w:val="18"/>
          <w:lang w:val="en-US"/>
        </w:rPr>
        <w:t>Symbols.</w:t>
      </w:r>
      <w:proofErr w:type="gramEnd"/>
      <w:r w:rsidRPr="00F6318C">
        <w:rPr>
          <w:rFonts w:ascii="Arial" w:hAnsi="Arial" w:cs="Arial"/>
          <w:sz w:val="18"/>
          <w:szCs w:val="18"/>
          <w:lang w:val="en-US"/>
        </w:rPr>
        <w:t xml:space="preserve"> </w:t>
      </w:r>
      <w:r w:rsidRPr="00F6318C">
        <w:rPr>
          <w:rFonts w:ascii="Arial" w:hAnsi="Arial" w:cs="Arial"/>
          <w:b/>
          <w:bCs/>
          <w:sz w:val="18"/>
          <w:szCs w:val="18"/>
          <w:lang w:val="en-US"/>
        </w:rPr>
        <w:t>†</w:t>
      </w:r>
      <w:r w:rsidRPr="00F6318C">
        <w:rPr>
          <w:rFonts w:ascii="Arial" w:hAnsi="Arial" w:cs="Arial"/>
          <w:sz w:val="18"/>
          <w:szCs w:val="18"/>
          <w:lang w:val="en-US"/>
        </w:rPr>
        <w:t xml:space="preserve"> </w:t>
      </w:r>
      <w:r w:rsidRPr="00F6318C">
        <w:rPr>
          <w:rFonts w:ascii="Arial" w:hAnsi="Arial" w:cs="Arial"/>
          <w:b/>
          <w:bCs/>
          <w:sz w:val="18"/>
          <w:szCs w:val="18"/>
          <w:lang w:val="en-US"/>
        </w:rPr>
        <w:t xml:space="preserve">Inaccessibility. </w:t>
      </w:r>
      <w:r w:rsidRPr="00F6318C">
        <w:rPr>
          <w:rFonts w:ascii="Arial" w:hAnsi="Arial" w:cs="Arial"/>
          <w:sz w:val="18"/>
          <w:szCs w:val="18"/>
          <w:lang w:val="en-US"/>
        </w:rPr>
        <w:t>The test</w:t>
      </w:r>
      <w:r w:rsidR="005944E7" w:rsidRPr="00F6318C">
        <w:rPr>
          <w:rFonts w:ascii="Arial" w:hAnsi="Arial" w:cs="Arial"/>
          <w:sz w:val="18"/>
          <w:szCs w:val="18"/>
          <w:lang w:val="en-US"/>
        </w:rPr>
        <w:t xml:space="preserve"> is </w:t>
      </w:r>
      <w:r w:rsidRPr="00F6318C">
        <w:rPr>
          <w:rFonts w:ascii="Arial" w:hAnsi="Arial" w:cs="Arial"/>
          <w:sz w:val="18"/>
          <w:szCs w:val="18"/>
          <w:lang w:val="en-US"/>
        </w:rPr>
        <w:t xml:space="preserve">inaccessible for the </w:t>
      </w:r>
      <w:r w:rsidR="003300C9" w:rsidRPr="00F6318C">
        <w:rPr>
          <w:rFonts w:ascii="Arial" w:hAnsi="Arial" w:cs="Arial"/>
          <w:sz w:val="18"/>
          <w:szCs w:val="18"/>
          <w:lang w:val="en-US"/>
        </w:rPr>
        <w:t>public</w:t>
      </w:r>
      <w:r w:rsidRPr="00F6318C">
        <w:rPr>
          <w:rFonts w:ascii="Arial" w:hAnsi="Arial" w:cs="Arial"/>
          <w:sz w:val="18"/>
          <w:szCs w:val="18"/>
          <w:lang w:val="en-US"/>
        </w:rPr>
        <w:t xml:space="preserve"> and/or require</w:t>
      </w:r>
      <w:r w:rsidR="00A720AE" w:rsidRPr="00F6318C">
        <w:rPr>
          <w:rFonts w:ascii="Arial" w:hAnsi="Arial" w:cs="Arial"/>
          <w:sz w:val="18"/>
          <w:szCs w:val="18"/>
          <w:lang w:val="en-US"/>
        </w:rPr>
        <w:t>s</w:t>
      </w:r>
      <w:r w:rsidRPr="00F6318C">
        <w:rPr>
          <w:rFonts w:ascii="Arial" w:hAnsi="Arial" w:cs="Arial"/>
          <w:sz w:val="18"/>
          <w:szCs w:val="18"/>
          <w:lang w:val="en-US"/>
        </w:rPr>
        <w:t xml:space="preserve"> speciali</w:t>
      </w:r>
      <w:r w:rsidR="003300C9" w:rsidRPr="00F6318C">
        <w:rPr>
          <w:rFonts w:ascii="Arial" w:hAnsi="Arial" w:cs="Arial"/>
          <w:sz w:val="18"/>
          <w:szCs w:val="18"/>
          <w:lang w:val="en-US"/>
        </w:rPr>
        <w:t>z</w:t>
      </w:r>
      <w:r w:rsidRPr="00F6318C">
        <w:rPr>
          <w:rFonts w:ascii="Arial" w:hAnsi="Arial" w:cs="Arial"/>
          <w:sz w:val="18"/>
          <w:szCs w:val="18"/>
          <w:lang w:val="en-US"/>
        </w:rPr>
        <w:t xml:space="preserve">ed equipment and/or resources and/or a trained specialist administrator. </w:t>
      </w:r>
      <w:r w:rsidRPr="00F6318C">
        <w:rPr>
          <w:rFonts w:ascii="Arial" w:hAnsi="Arial" w:cs="Arial"/>
          <w:b/>
          <w:bCs/>
          <w:sz w:val="18"/>
          <w:szCs w:val="18"/>
          <w:lang w:val="en-US"/>
        </w:rPr>
        <w:t>‡</w:t>
      </w:r>
      <w:r w:rsidRPr="00F6318C">
        <w:rPr>
          <w:rFonts w:ascii="Arial" w:hAnsi="Arial" w:cs="Arial"/>
          <w:sz w:val="18"/>
          <w:szCs w:val="18"/>
          <w:lang w:val="en-US"/>
        </w:rPr>
        <w:t xml:space="preserve"> </w:t>
      </w:r>
      <w:r w:rsidRPr="00F6318C">
        <w:rPr>
          <w:rFonts w:ascii="Arial" w:hAnsi="Arial" w:cs="Arial"/>
          <w:b/>
          <w:bCs/>
          <w:sz w:val="18"/>
          <w:szCs w:val="18"/>
          <w:lang w:val="en-US"/>
        </w:rPr>
        <w:t>Unknown validity</w:t>
      </w:r>
      <w:r w:rsidRPr="00F6318C">
        <w:rPr>
          <w:rFonts w:ascii="Arial" w:hAnsi="Arial" w:cs="Arial"/>
          <w:sz w:val="18"/>
          <w:szCs w:val="18"/>
          <w:lang w:val="en-US"/>
        </w:rPr>
        <w:t xml:space="preserve">. The sensitivity and specificity values </w:t>
      </w:r>
      <w:r w:rsidRPr="00157E90">
        <w:rPr>
          <w:rFonts w:ascii="Arial" w:hAnsi="Arial" w:cs="Arial"/>
          <w:sz w:val="18"/>
          <w:szCs w:val="18"/>
          <w:lang w:val="en-US"/>
        </w:rPr>
        <w:t>of the tests are unknown in children</w:t>
      </w:r>
      <w:r w:rsidR="000C6D86" w:rsidRPr="00157E90">
        <w:rPr>
          <w:rFonts w:ascii="Arial" w:hAnsi="Arial" w:cs="Arial"/>
          <w:sz w:val="18"/>
          <w:szCs w:val="18"/>
          <w:lang w:val="en-US"/>
        </w:rPr>
        <w:t>.</w:t>
      </w:r>
      <w:r w:rsidRPr="00157E90">
        <w:rPr>
          <w:rFonts w:ascii="Arial" w:hAnsi="Arial" w:cs="Arial"/>
          <w:sz w:val="18"/>
          <w:szCs w:val="18"/>
          <w:lang w:val="en-US"/>
        </w:rPr>
        <w:t xml:space="preserve"> </w:t>
      </w:r>
      <w:r w:rsidRPr="00157E90">
        <w:rPr>
          <w:rFonts w:ascii="Arial" w:hAnsi="Arial" w:cs="Arial"/>
          <w:b/>
          <w:bCs/>
          <w:sz w:val="18"/>
          <w:szCs w:val="18"/>
          <w:lang w:val="en-US"/>
        </w:rPr>
        <w:t>§</w:t>
      </w:r>
      <w:r w:rsidRPr="00157E90">
        <w:rPr>
          <w:rFonts w:ascii="Arial" w:hAnsi="Arial" w:cs="Arial"/>
          <w:sz w:val="18"/>
          <w:szCs w:val="18"/>
          <w:lang w:val="en-US"/>
        </w:rPr>
        <w:t xml:space="preserve"> </w:t>
      </w:r>
      <w:r w:rsidRPr="00157E90">
        <w:rPr>
          <w:rFonts w:ascii="Arial" w:hAnsi="Arial" w:cs="Arial"/>
          <w:b/>
          <w:bCs/>
          <w:sz w:val="18"/>
          <w:szCs w:val="18"/>
          <w:lang w:val="en-US"/>
        </w:rPr>
        <w:t xml:space="preserve">Unsuitability. </w:t>
      </w:r>
      <w:r w:rsidRPr="00157E90">
        <w:rPr>
          <w:rFonts w:ascii="Arial" w:hAnsi="Arial" w:cs="Arial"/>
          <w:sz w:val="18"/>
          <w:szCs w:val="18"/>
          <w:lang w:val="en-US"/>
        </w:rPr>
        <w:t xml:space="preserve">The test requires an understanding of numbers, </w:t>
      </w:r>
      <w:r w:rsidR="00A26F6C" w:rsidRPr="00157E90">
        <w:rPr>
          <w:rFonts w:ascii="Arial" w:hAnsi="Arial" w:cs="Arial"/>
          <w:sz w:val="18"/>
          <w:szCs w:val="18"/>
          <w:lang w:val="en-US"/>
        </w:rPr>
        <w:t xml:space="preserve">orientation, </w:t>
      </w:r>
      <w:r w:rsidRPr="00157E90">
        <w:rPr>
          <w:rFonts w:ascii="Arial" w:hAnsi="Arial" w:cs="Arial"/>
          <w:sz w:val="18"/>
          <w:szCs w:val="18"/>
          <w:lang w:val="en-US"/>
        </w:rPr>
        <w:t>shapes</w:t>
      </w:r>
      <w:r w:rsidR="003300C9" w:rsidRPr="00157E90">
        <w:rPr>
          <w:rFonts w:ascii="Arial" w:hAnsi="Arial" w:cs="Arial"/>
          <w:sz w:val="18"/>
          <w:szCs w:val="18"/>
          <w:lang w:val="en-US"/>
        </w:rPr>
        <w:t>,</w:t>
      </w:r>
      <w:r w:rsidRPr="00157E90">
        <w:rPr>
          <w:rFonts w:ascii="Arial" w:hAnsi="Arial" w:cs="Arial"/>
          <w:sz w:val="18"/>
          <w:szCs w:val="18"/>
          <w:lang w:val="en-US"/>
        </w:rPr>
        <w:t xml:space="preserve"> and/or animals or the task is so demanding that it is unsuitable for young children and children with additional educational needs</w:t>
      </w:r>
      <w:r w:rsidR="000C6D86" w:rsidRPr="00157E90">
        <w:rPr>
          <w:rFonts w:ascii="Arial" w:hAnsi="Arial" w:cs="Arial"/>
          <w:sz w:val="18"/>
          <w:szCs w:val="18"/>
          <w:lang w:val="en-US"/>
        </w:rPr>
        <w:t>.</w:t>
      </w:r>
      <w:r w:rsidRPr="00157E90">
        <w:rPr>
          <w:rFonts w:ascii="Arial" w:hAnsi="Arial" w:cs="Arial"/>
          <w:sz w:val="18"/>
          <w:szCs w:val="18"/>
          <w:lang w:val="en-US"/>
        </w:rPr>
        <w:t xml:space="preserve"> </w:t>
      </w:r>
      <w:proofErr w:type="gramStart"/>
      <w:r w:rsidRPr="00157E90">
        <w:rPr>
          <w:rFonts w:ascii="Arial" w:hAnsi="Arial" w:cs="Arial"/>
          <w:b/>
          <w:bCs/>
          <w:sz w:val="18"/>
          <w:szCs w:val="18"/>
          <w:lang w:val="en-US"/>
        </w:rPr>
        <w:t>||</w:t>
      </w:r>
      <w:r w:rsidRPr="00157E90">
        <w:rPr>
          <w:rFonts w:ascii="Arial" w:hAnsi="Arial" w:cs="Arial"/>
          <w:sz w:val="18"/>
          <w:szCs w:val="18"/>
          <w:lang w:val="en-US"/>
        </w:rPr>
        <w:t xml:space="preserve"> </w:t>
      </w:r>
      <w:r w:rsidR="00846B36" w:rsidRPr="00157E90">
        <w:rPr>
          <w:rFonts w:ascii="Arial" w:hAnsi="Arial" w:cs="Arial"/>
          <w:b/>
          <w:bCs/>
          <w:sz w:val="18"/>
          <w:szCs w:val="18"/>
          <w:lang w:val="en-US"/>
        </w:rPr>
        <w:t>Technical Limitations</w:t>
      </w:r>
      <w:r w:rsidRPr="00157E90">
        <w:rPr>
          <w:rFonts w:ascii="Arial" w:hAnsi="Arial" w:cs="Arial"/>
          <w:b/>
          <w:bCs/>
          <w:sz w:val="18"/>
          <w:szCs w:val="18"/>
          <w:lang w:val="en-US"/>
        </w:rPr>
        <w:t>.</w:t>
      </w:r>
      <w:proofErr w:type="gramEnd"/>
      <w:r w:rsidRPr="00157E90">
        <w:rPr>
          <w:rFonts w:ascii="Arial" w:hAnsi="Arial" w:cs="Arial"/>
          <w:b/>
          <w:bCs/>
          <w:sz w:val="18"/>
          <w:szCs w:val="18"/>
          <w:lang w:val="en-US"/>
        </w:rPr>
        <w:t xml:space="preserve"> </w:t>
      </w:r>
      <w:r w:rsidRPr="00157E90">
        <w:rPr>
          <w:rFonts w:ascii="Arial" w:hAnsi="Arial" w:cs="Arial"/>
          <w:sz w:val="18"/>
          <w:szCs w:val="18"/>
          <w:lang w:val="en-US"/>
        </w:rPr>
        <w:t xml:space="preserve">The test design or instructions do not address general and non-visual task demands that could make it difficult for young children to complete, for example, test duration is longer than 5 minutes, no </w:t>
      </w:r>
      <w:proofErr w:type="spellStart"/>
      <w:r w:rsidRPr="00157E90">
        <w:rPr>
          <w:rFonts w:ascii="Arial" w:hAnsi="Arial" w:cs="Arial"/>
          <w:sz w:val="18"/>
          <w:szCs w:val="18"/>
          <w:lang w:val="en-US"/>
        </w:rPr>
        <w:t>gamification</w:t>
      </w:r>
      <w:proofErr w:type="spellEnd"/>
      <w:r w:rsidRPr="00157E90">
        <w:rPr>
          <w:rFonts w:ascii="Arial" w:hAnsi="Arial" w:cs="Arial"/>
          <w:sz w:val="18"/>
          <w:szCs w:val="18"/>
          <w:lang w:val="en-US"/>
        </w:rPr>
        <w:t xml:space="preserve"> and no adaptive staircase procedure.</w:t>
      </w:r>
    </w:p>
    <w:p w14:paraId="0B0D00F0" w14:textId="77777777" w:rsidR="00474D3B" w:rsidRPr="00157E90" w:rsidRDefault="00474D3B" w:rsidP="00474D3B">
      <w:pPr>
        <w:rPr>
          <w:rFonts w:ascii="Arial" w:hAnsi="Arial" w:cs="Arial"/>
          <w:b/>
          <w:bCs/>
          <w:sz w:val="22"/>
          <w:szCs w:val="22"/>
          <w:lang w:val="en-US"/>
        </w:rPr>
      </w:pPr>
    </w:p>
    <w:p w14:paraId="0CE9B335" w14:textId="77777777" w:rsidR="00474D3B" w:rsidRPr="00157E90" w:rsidRDefault="00474D3B" w:rsidP="00474D3B">
      <w:pPr>
        <w:rPr>
          <w:rFonts w:ascii="Arial" w:hAnsi="Arial" w:cs="Arial"/>
          <w:b/>
          <w:bCs/>
          <w:sz w:val="22"/>
          <w:szCs w:val="22"/>
          <w:lang w:val="en-US"/>
        </w:rPr>
      </w:pPr>
      <w:r w:rsidRPr="00157E90">
        <w:rPr>
          <w:rFonts w:ascii="Arial" w:hAnsi="Arial" w:cs="Arial"/>
          <w:b/>
          <w:bCs/>
          <w:sz w:val="22"/>
          <w:szCs w:val="22"/>
          <w:lang w:val="en-US"/>
        </w:rPr>
        <w:t>Distribution of errors on the Ishihara test for Unlettered Persons</w:t>
      </w:r>
    </w:p>
    <w:p w14:paraId="7C8CBEAF" w14:textId="7451B0AF" w:rsidR="00474D3B" w:rsidRPr="00157E90" w:rsidRDefault="00C150F8" w:rsidP="00474D3B">
      <w:pPr>
        <w:rPr>
          <w:rFonts w:ascii="Arial" w:hAnsi="Arial" w:cs="Arial"/>
          <w:bCs/>
          <w:sz w:val="22"/>
          <w:szCs w:val="22"/>
          <w:lang w:val="en-US"/>
        </w:rPr>
      </w:pPr>
      <w:r w:rsidRPr="00157E90">
        <w:rPr>
          <w:rFonts w:ascii="Arial" w:hAnsi="Arial" w:cs="Arial"/>
          <w:bCs/>
          <w:sz w:val="22"/>
          <w:szCs w:val="22"/>
          <w:lang w:val="en-US"/>
        </w:rPr>
        <w:lastRenderedPageBreak/>
        <w:t>Fig</w:t>
      </w:r>
      <w:r w:rsidR="00FC36BB">
        <w:rPr>
          <w:rFonts w:ascii="Arial" w:hAnsi="Arial" w:cs="Arial"/>
          <w:bCs/>
          <w:sz w:val="22"/>
          <w:szCs w:val="22"/>
          <w:lang w:val="en-US"/>
        </w:rPr>
        <w:t>ure</w:t>
      </w:r>
      <w:r w:rsidR="00474D3B" w:rsidRPr="00157E90">
        <w:rPr>
          <w:rFonts w:ascii="Arial" w:hAnsi="Arial" w:cs="Arial"/>
          <w:bCs/>
          <w:sz w:val="22"/>
          <w:szCs w:val="22"/>
          <w:lang w:val="en-US"/>
        </w:rPr>
        <w:t xml:space="preserve"> S1 shows the distribution of </w:t>
      </w:r>
      <w:r w:rsidR="00474D3B" w:rsidRPr="00F6318C">
        <w:rPr>
          <w:rFonts w:ascii="Arial" w:hAnsi="Arial" w:cs="Arial"/>
          <w:bCs/>
          <w:sz w:val="22"/>
          <w:szCs w:val="22"/>
          <w:lang w:val="en-US"/>
        </w:rPr>
        <w:t>errors (</w:t>
      </w:r>
      <w:r w:rsidR="003501F0" w:rsidRPr="00F6318C">
        <w:rPr>
          <w:rFonts w:ascii="Arial" w:hAnsi="Arial" w:cs="Arial"/>
          <w:shd w:val="clear" w:color="auto" w:fill="FFFFFF"/>
          <w:lang w:val="en-US"/>
        </w:rPr>
        <w:t>≥</w:t>
      </w:r>
      <w:r w:rsidR="00474D3B" w:rsidRPr="00F6318C">
        <w:rPr>
          <w:rFonts w:ascii="Arial" w:hAnsi="Arial" w:cs="Arial"/>
          <w:bCs/>
          <w:sz w:val="22"/>
          <w:szCs w:val="22"/>
          <w:lang w:val="en-US"/>
        </w:rPr>
        <w:t xml:space="preserve">1) on the </w:t>
      </w:r>
      <w:r w:rsidR="00474D3B" w:rsidRPr="00157E90">
        <w:rPr>
          <w:rFonts w:ascii="Arial" w:hAnsi="Arial" w:cs="Arial"/>
          <w:bCs/>
          <w:sz w:val="22"/>
          <w:szCs w:val="22"/>
          <w:lang w:val="en-US"/>
        </w:rPr>
        <w:t>Ishihara Unlettered test for participants in the discovery and validation cohorts. The distribution for participants that have at least one error looks bimodal, with a peak in errors at 4, but a second peak at 1. Participants with 1 or 2 errors were assigned to an ‘Inconclusive’ group and retested at a later date whenever practicable (</w:t>
      </w:r>
      <w:r w:rsidR="00474D3B" w:rsidRPr="00157E90">
        <w:rPr>
          <w:rFonts w:ascii="Arial" w:hAnsi="Arial" w:cs="Arial"/>
          <w:bCs/>
          <w:i/>
          <w:iCs/>
          <w:sz w:val="22"/>
          <w:szCs w:val="22"/>
          <w:lang w:val="en-US"/>
        </w:rPr>
        <w:t>n</w:t>
      </w:r>
      <w:r w:rsidR="00474D3B" w:rsidRPr="00157E90">
        <w:rPr>
          <w:rFonts w:ascii="Arial" w:hAnsi="Arial" w:cs="Arial"/>
          <w:bCs/>
          <w:sz w:val="22"/>
          <w:szCs w:val="22"/>
          <w:lang w:val="en-US"/>
        </w:rPr>
        <w:t xml:space="preserve">=6). </w:t>
      </w:r>
    </w:p>
    <w:p w14:paraId="524FDDCA" w14:textId="7EA61C27" w:rsidR="00C150F8" w:rsidRPr="00157E90" w:rsidRDefault="006F0ECF" w:rsidP="00C150F8">
      <w:pPr>
        <w:jc w:val="center"/>
        <w:rPr>
          <w:rFonts w:ascii="Arial" w:hAnsi="Arial" w:cs="Arial"/>
          <w:bCs/>
          <w:sz w:val="22"/>
          <w:szCs w:val="22"/>
          <w:lang w:val="en-US"/>
        </w:rPr>
      </w:pPr>
      <w:r w:rsidRPr="00157E90">
        <w:rPr>
          <w:rFonts w:ascii="Arial" w:hAnsi="Arial" w:cs="Arial"/>
          <w:bCs/>
          <w:noProof/>
          <w:sz w:val="22"/>
          <w:szCs w:val="22"/>
          <w:lang w:val="en-US" w:eastAsia="en-US"/>
        </w:rPr>
        <w:drawing>
          <wp:inline distT="0" distB="0" distL="0" distR="0" wp14:anchorId="5C96FECF" wp14:editId="2D36EAC5">
            <wp:extent cx="4699000" cy="2819400"/>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9000" cy="2819400"/>
                    </a:xfrm>
                    <a:prstGeom prst="rect">
                      <a:avLst/>
                    </a:prstGeom>
                  </pic:spPr>
                </pic:pic>
              </a:graphicData>
            </a:graphic>
          </wp:inline>
        </w:drawing>
      </w:r>
    </w:p>
    <w:p w14:paraId="5CFC6021" w14:textId="3D722EEF" w:rsidR="00C150F8" w:rsidRPr="00157E90" w:rsidRDefault="00C150F8" w:rsidP="00C150F8">
      <w:pPr>
        <w:ind w:left="720"/>
        <w:rPr>
          <w:rFonts w:ascii="Arial" w:hAnsi="Arial" w:cs="Arial"/>
          <w:sz w:val="20"/>
          <w:szCs w:val="20"/>
          <w:lang w:val="en-US"/>
        </w:rPr>
      </w:pPr>
      <w:proofErr w:type="gramStart"/>
      <w:r w:rsidRPr="00CD012B">
        <w:rPr>
          <w:rFonts w:ascii="Arial" w:hAnsi="Arial" w:cs="Arial"/>
          <w:b/>
          <w:bCs/>
          <w:sz w:val="20"/>
          <w:szCs w:val="20"/>
          <w:lang w:val="en-US"/>
        </w:rPr>
        <w:t>Fig.</w:t>
      </w:r>
      <w:proofErr w:type="gramEnd"/>
      <w:r w:rsidRPr="00CD012B">
        <w:rPr>
          <w:rFonts w:ascii="Arial" w:hAnsi="Arial" w:cs="Arial"/>
          <w:b/>
          <w:bCs/>
          <w:sz w:val="20"/>
          <w:szCs w:val="20"/>
          <w:lang w:val="en-US"/>
        </w:rPr>
        <w:t xml:space="preserve"> S1</w:t>
      </w:r>
      <w:r w:rsidRPr="00157E90">
        <w:rPr>
          <w:rFonts w:ascii="Arial" w:hAnsi="Arial" w:cs="Arial"/>
          <w:sz w:val="20"/>
          <w:szCs w:val="20"/>
          <w:lang w:val="en-US"/>
        </w:rPr>
        <w:t xml:space="preserve"> Percentages of participants who made errors on the Ishihara Unlettered test in the discovery cohort (</w:t>
      </w:r>
      <w:r w:rsidRPr="00CD012B">
        <w:rPr>
          <w:rFonts w:ascii="Arial" w:hAnsi="Arial" w:cs="Arial"/>
          <w:i/>
          <w:sz w:val="20"/>
          <w:szCs w:val="20"/>
          <w:lang w:val="en-US"/>
        </w:rPr>
        <w:t>N</w:t>
      </w:r>
      <w:r w:rsidRPr="00157E90">
        <w:rPr>
          <w:rFonts w:ascii="Arial" w:hAnsi="Arial" w:cs="Arial"/>
          <w:sz w:val="20"/>
          <w:szCs w:val="20"/>
          <w:lang w:val="en-US"/>
        </w:rPr>
        <w:t>=236) and the validation cohort (</w:t>
      </w:r>
      <w:r w:rsidRPr="00CD012B">
        <w:rPr>
          <w:rFonts w:ascii="Arial" w:hAnsi="Arial" w:cs="Arial"/>
          <w:i/>
          <w:sz w:val="20"/>
          <w:szCs w:val="20"/>
          <w:lang w:val="en-US"/>
        </w:rPr>
        <w:t>N</w:t>
      </w:r>
      <w:r w:rsidRPr="00157E90">
        <w:rPr>
          <w:rFonts w:ascii="Arial" w:hAnsi="Arial" w:cs="Arial"/>
          <w:sz w:val="20"/>
          <w:szCs w:val="20"/>
          <w:lang w:val="en-US"/>
        </w:rPr>
        <w:t>=536)</w:t>
      </w:r>
    </w:p>
    <w:p w14:paraId="3E7C35E3" w14:textId="77777777" w:rsidR="00474D3B" w:rsidRPr="00157E90" w:rsidRDefault="00474D3B" w:rsidP="00474D3B">
      <w:pPr>
        <w:rPr>
          <w:rFonts w:ascii="Arial" w:hAnsi="Arial" w:cs="Arial"/>
          <w:bCs/>
          <w:sz w:val="22"/>
          <w:szCs w:val="22"/>
          <w:lang w:val="en-US"/>
        </w:rPr>
      </w:pPr>
    </w:p>
    <w:p w14:paraId="3E2C181C" w14:textId="4832FFDC" w:rsidR="00474D3B" w:rsidRPr="00157E90" w:rsidRDefault="00474D3B" w:rsidP="00474D3B">
      <w:pPr>
        <w:rPr>
          <w:rFonts w:ascii="Arial" w:hAnsi="Arial" w:cs="Arial"/>
          <w:bCs/>
          <w:sz w:val="22"/>
          <w:szCs w:val="22"/>
          <w:lang w:val="en-US"/>
        </w:rPr>
      </w:pPr>
      <w:r w:rsidRPr="00157E90">
        <w:rPr>
          <w:rFonts w:ascii="Arial" w:hAnsi="Arial" w:cs="Arial"/>
          <w:sz w:val="22"/>
          <w:szCs w:val="22"/>
          <w:lang w:val="en-US"/>
        </w:rPr>
        <w:t xml:space="preserve">Of the </w:t>
      </w:r>
      <w:r w:rsidR="00B32BE1" w:rsidRPr="00157E90">
        <w:rPr>
          <w:rFonts w:ascii="Arial" w:hAnsi="Arial" w:cs="Arial"/>
          <w:sz w:val="22"/>
          <w:szCs w:val="22"/>
          <w:lang w:val="en-US"/>
        </w:rPr>
        <w:t xml:space="preserve">six </w:t>
      </w:r>
      <w:r w:rsidRPr="00157E90">
        <w:rPr>
          <w:rFonts w:ascii="Arial" w:hAnsi="Arial" w:cs="Arial"/>
          <w:sz w:val="22"/>
          <w:szCs w:val="22"/>
          <w:lang w:val="en-US"/>
        </w:rPr>
        <w:t xml:space="preserve">children in the discovery cohort retested, </w:t>
      </w:r>
      <w:r w:rsidR="00B32BE1" w:rsidRPr="00157E90">
        <w:rPr>
          <w:rFonts w:ascii="Arial" w:hAnsi="Arial" w:cs="Arial"/>
          <w:sz w:val="22"/>
          <w:szCs w:val="22"/>
          <w:lang w:val="en-US"/>
        </w:rPr>
        <w:t xml:space="preserve">four </w:t>
      </w:r>
      <w:r w:rsidRPr="00157E90">
        <w:rPr>
          <w:rFonts w:ascii="Arial" w:hAnsi="Arial" w:cs="Arial"/>
          <w:sz w:val="22"/>
          <w:szCs w:val="22"/>
          <w:lang w:val="en-US"/>
        </w:rPr>
        <w:t xml:space="preserve">children who made </w:t>
      </w:r>
      <w:r w:rsidR="00B32BE1" w:rsidRPr="00157E90">
        <w:rPr>
          <w:rFonts w:ascii="Arial" w:hAnsi="Arial" w:cs="Arial"/>
          <w:sz w:val="22"/>
          <w:szCs w:val="22"/>
          <w:lang w:val="en-US"/>
        </w:rPr>
        <w:t xml:space="preserve">one </w:t>
      </w:r>
      <w:r w:rsidRPr="00157E90">
        <w:rPr>
          <w:rFonts w:ascii="Arial" w:hAnsi="Arial" w:cs="Arial"/>
          <w:sz w:val="22"/>
          <w:szCs w:val="22"/>
          <w:lang w:val="en-US"/>
        </w:rPr>
        <w:t xml:space="preserve">or </w:t>
      </w:r>
      <w:r w:rsidR="00B32BE1" w:rsidRPr="00157E90">
        <w:rPr>
          <w:rFonts w:ascii="Arial" w:hAnsi="Arial" w:cs="Arial"/>
          <w:sz w:val="22"/>
          <w:szCs w:val="22"/>
          <w:lang w:val="en-US"/>
        </w:rPr>
        <w:t xml:space="preserve">two </w:t>
      </w:r>
      <w:r w:rsidRPr="00157E90">
        <w:rPr>
          <w:rFonts w:ascii="Arial" w:hAnsi="Arial" w:cs="Arial"/>
          <w:sz w:val="22"/>
          <w:szCs w:val="22"/>
          <w:lang w:val="en-US"/>
        </w:rPr>
        <w:t>errors on their first attempt later passed without error and were reassigned to the control group</w:t>
      </w:r>
      <w:r w:rsidR="00B32BE1" w:rsidRPr="00157E90">
        <w:rPr>
          <w:rFonts w:ascii="Arial" w:hAnsi="Arial" w:cs="Arial"/>
          <w:sz w:val="22"/>
          <w:szCs w:val="22"/>
          <w:lang w:val="en-US"/>
        </w:rPr>
        <w:t>,</w:t>
      </w:r>
      <w:r w:rsidRPr="00157E90">
        <w:rPr>
          <w:rFonts w:ascii="Arial" w:hAnsi="Arial" w:cs="Arial"/>
          <w:sz w:val="22"/>
          <w:szCs w:val="22"/>
          <w:lang w:val="en-US"/>
        </w:rPr>
        <w:t xml:space="preserve"> and </w:t>
      </w:r>
      <w:r w:rsidR="00B32BE1" w:rsidRPr="00157E90">
        <w:rPr>
          <w:rFonts w:ascii="Arial" w:hAnsi="Arial" w:cs="Arial"/>
          <w:sz w:val="22"/>
          <w:szCs w:val="22"/>
          <w:lang w:val="en-US"/>
        </w:rPr>
        <w:t xml:space="preserve">two </w:t>
      </w:r>
      <w:r w:rsidRPr="00157E90">
        <w:rPr>
          <w:rFonts w:ascii="Arial" w:hAnsi="Arial" w:cs="Arial"/>
          <w:sz w:val="22"/>
          <w:szCs w:val="22"/>
          <w:lang w:val="en-US"/>
        </w:rPr>
        <w:t xml:space="preserve">children who again made </w:t>
      </w:r>
      <w:r w:rsidR="00B32BE1" w:rsidRPr="00157E90">
        <w:rPr>
          <w:rFonts w:ascii="Arial" w:hAnsi="Arial" w:cs="Arial"/>
          <w:sz w:val="22"/>
          <w:szCs w:val="22"/>
          <w:lang w:val="en-US"/>
        </w:rPr>
        <w:t xml:space="preserve">one </w:t>
      </w:r>
      <w:r w:rsidRPr="00157E90">
        <w:rPr>
          <w:rFonts w:ascii="Arial" w:hAnsi="Arial" w:cs="Arial"/>
          <w:sz w:val="22"/>
          <w:szCs w:val="22"/>
          <w:lang w:val="en-US"/>
        </w:rPr>
        <w:t xml:space="preserve">or </w:t>
      </w:r>
      <w:r w:rsidR="00B32BE1" w:rsidRPr="00157E90">
        <w:rPr>
          <w:rFonts w:ascii="Arial" w:hAnsi="Arial" w:cs="Arial"/>
          <w:sz w:val="22"/>
          <w:szCs w:val="22"/>
          <w:lang w:val="en-US"/>
        </w:rPr>
        <w:t xml:space="preserve">two </w:t>
      </w:r>
      <w:r w:rsidRPr="00157E90">
        <w:rPr>
          <w:rFonts w:ascii="Arial" w:hAnsi="Arial" w:cs="Arial"/>
          <w:sz w:val="22"/>
          <w:szCs w:val="22"/>
          <w:lang w:val="en-US"/>
        </w:rPr>
        <w:t xml:space="preserve">errors remained in the Inconclusive group. </w:t>
      </w:r>
    </w:p>
    <w:p w14:paraId="3E2AB4A9" w14:textId="77777777" w:rsidR="00474D3B" w:rsidRPr="00157E90" w:rsidRDefault="00474D3B" w:rsidP="00474D3B">
      <w:pPr>
        <w:ind w:left="720"/>
        <w:rPr>
          <w:rFonts w:ascii="Arial" w:hAnsi="Arial" w:cs="Arial"/>
          <w:sz w:val="22"/>
          <w:szCs w:val="22"/>
          <w:lang w:val="en-US"/>
        </w:rPr>
      </w:pPr>
    </w:p>
    <w:p w14:paraId="07617BF5" w14:textId="77777777" w:rsidR="00474D3B" w:rsidRPr="00157E90" w:rsidRDefault="00474D3B" w:rsidP="00474D3B">
      <w:pPr>
        <w:rPr>
          <w:rFonts w:ascii="Arial" w:hAnsi="Arial" w:cs="Arial"/>
          <w:b/>
          <w:sz w:val="22"/>
          <w:szCs w:val="22"/>
          <w:lang w:val="en-US"/>
        </w:rPr>
      </w:pPr>
      <w:r w:rsidRPr="00157E90">
        <w:rPr>
          <w:rFonts w:ascii="Arial" w:hAnsi="Arial" w:cs="Arial"/>
          <w:b/>
          <w:sz w:val="22"/>
          <w:szCs w:val="22"/>
          <w:lang w:val="en-US"/>
        </w:rPr>
        <w:t>Calibration</w:t>
      </w:r>
    </w:p>
    <w:p w14:paraId="41DD2133" w14:textId="4BAEC913"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 xml:space="preserve">We investigated whether the </w:t>
      </w:r>
      <w:proofErr w:type="spellStart"/>
      <w:r w:rsidRPr="00157E90">
        <w:rPr>
          <w:rFonts w:ascii="Arial" w:hAnsi="Arial" w:cs="Arial"/>
          <w:sz w:val="22"/>
          <w:szCs w:val="22"/>
          <w:lang w:val="en-US"/>
        </w:rPr>
        <w:t>protan</w:t>
      </w:r>
      <w:proofErr w:type="spellEnd"/>
      <w:r w:rsidRPr="00157E90">
        <w:rPr>
          <w:rFonts w:ascii="Arial" w:hAnsi="Arial" w:cs="Arial"/>
          <w:sz w:val="22"/>
          <w:szCs w:val="22"/>
          <w:lang w:val="en-US"/>
        </w:rPr>
        <w:t xml:space="preserve">, </w:t>
      </w:r>
      <w:proofErr w:type="spellStart"/>
      <w:r w:rsidRPr="00157E90">
        <w:rPr>
          <w:rFonts w:ascii="Arial" w:hAnsi="Arial" w:cs="Arial"/>
          <w:sz w:val="22"/>
          <w:szCs w:val="22"/>
          <w:lang w:val="en-US"/>
        </w:rPr>
        <w:t>deutan</w:t>
      </w:r>
      <w:proofErr w:type="spellEnd"/>
      <w:r w:rsidRPr="00157E90">
        <w:rPr>
          <w:rFonts w:ascii="Arial" w:hAnsi="Arial" w:cs="Arial"/>
          <w:sz w:val="22"/>
          <w:szCs w:val="22"/>
          <w:lang w:val="en-US"/>
        </w:rPr>
        <w:t xml:space="preserve"> and </w:t>
      </w:r>
      <w:proofErr w:type="spellStart"/>
      <w:r w:rsidRPr="00157E90">
        <w:rPr>
          <w:rFonts w:ascii="Arial" w:hAnsi="Arial" w:cs="Arial"/>
          <w:sz w:val="22"/>
          <w:szCs w:val="22"/>
          <w:lang w:val="en-US"/>
        </w:rPr>
        <w:t>tritan</w:t>
      </w:r>
      <w:proofErr w:type="spellEnd"/>
      <w:r w:rsidRPr="00157E90">
        <w:rPr>
          <w:rFonts w:ascii="Arial" w:hAnsi="Arial" w:cs="Arial"/>
          <w:sz w:val="22"/>
          <w:szCs w:val="22"/>
          <w:lang w:val="en-US"/>
        </w:rPr>
        <w:t xml:space="preserve"> thresholds measured from our participants differed between different </w:t>
      </w:r>
      <w:proofErr w:type="spellStart"/>
      <w:r w:rsidRPr="00157E90">
        <w:rPr>
          <w:rFonts w:ascii="Arial" w:hAnsi="Arial" w:cs="Arial"/>
          <w:sz w:val="22"/>
          <w:szCs w:val="22"/>
          <w:lang w:val="en-US"/>
        </w:rPr>
        <w:t>iPad</w:t>
      </w:r>
      <w:proofErr w:type="spellEnd"/>
      <w:r w:rsidRPr="00157E90">
        <w:rPr>
          <w:rFonts w:ascii="Arial" w:hAnsi="Arial" w:cs="Arial"/>
          <w:sz w:val="22"/>
          <w:szCs w:val="22"/>
          <w:lang w:val="en-US"/>
        </w:rPr>
        <w:t xml:space="preserve"> models. </w:t>
      </w:r>
      <w:proofErr w:type="spellStart"/>
      <w:r w:rsidRPr="00157E90">
        <w:rPr>
          <w:rFonts w:ascii="Arial" w:hAnsi="Arial" w:cs="Arial"/>
          <w:sz w:val="22"/>
          <w:szCs w:val="22"/>
          <w:lang w:val="en-US"/>
        </w:rPr>
        <w:t>Mauchly’s</w:t>
      </w:r>
      <w:proofErr w:type="spellEnd"/>
      <w:r w:rsidRPr="00157E90">
        <w:rPr>
          <w:rFonts w:ascii="Arial" w:hAnsi="Arial" w:cs="Arial"/>
          <w:sz w:val="22"/>
          <w:szCs w:val="22"/>
          <w:lang w:val="en-US"/>
        </w:rPr>
        <w:t xml:space="preserve"> test of </w:t>
      </w:r>
      <w:proofErr w:type="spellStart"/>
      <w:r w:rsidRPr="00157E90">
        <w:rPr>
          <w:rFonts w:ascii="Arial" w:hAnsi="Arial" w:cs="Arial"/>
          <w:sz w:val="22"/>
          <w:szCs w:val="22"/>
          <w:lang w:val="en-US"/>
        </w:rPr>
        <w:t>sphericity</w:t>
      </w:r>
      <w:proofErr w:type="spellEnd"/>
      <w:r w:rsidRPr="00157E90">
        <w:rPr>
          <w:rFonts w:ascii="Arial" w:hAnsi="Arial" w:cs="Arial"/>
          <w:sz w:val="22"/>
          <w:szCs w:val="22"/>
          <w:lang w:val="en-US"/>
        </w:rPr>
        <w:t xml:space="preserve"> indicated the assumption of </w:t>
      </w:r>
      <w:proofErr w:type="spellStart"/>
      <w:r w:rsidRPr="00157E90">
        <w:rPr>
          <w:rFonts w:ascii="Arial" w:hAnsi="Arial" w:cs="Arial"/>
          <w:sz w:val="22"/>
          <w:szCs w:val="22"/>
          <w:lang w:val="en-US"/>
        </w:rPr>
        <w:t>sphericity</w:t>
      </w:r>
      <w:proofErr w:type="spellEnd"/>
      <w:r w:rsidRPr="00157E90">
        <w:rPr>
          <w:rFonts w:ascii="Arial" w:hAnsi="Arial" w:cs="Arial"/>
          <w:sz w:val="22"/>
          <w:szCs w:val="22"/>
          <w:lang w:val="en-US"/>
        </w:rPr>
        <w:t xml:space="preserve"> had been violated, (</w:t>
      </w:r>
      <w:proofErr w:type="gramStart"/>
      <w:r w:rsidRPr="00157E90">
        <w:rPr>
          <w:rFonts w:ascii="Arial" w:hAnsi="Arial" w:cs="Arial"/>
          <w:i/>
          <w:iCs/>
          <w:sz w:val="22"/>
          <w:szCs w:val="22"/>
          <w:lang w:val="en-US"/>
        </w:rPr>
        <w:t>χ</w:t>
      </w:r>
      <w:r w:rsidRPr="00157E90">
        <w:rPr>
          <w:rFonts w:ascii="Arial" w:hAnsi="Arial" w:cs="Arial"/>
          <w:sz w:val="22"/>
          <w:szCs w:val="22"/>
          <w:vertAlign w:val="superscript"/>
          <w:lang w:val="en-US"/>
        </w:rPr>
        <w:t>2</w:t>
      </w:r>
      <w:r w:rsidRPr="00157E90">
        <w:rPr>
          <w:rFonts w:ascii="Arial" w:hAnsi="Arial" w:cs="Arial"/>
          <w:sz w:val="22"/>
          <w:szCs w:val="22"/>
          <w:lang w:val="en-US"/>
        </w:rPr>
        <w:t>(</w:t>
      </w:r>
      <w:proofErr w:type="gramEnd"/>
      <w:r w:rsidRPr="00157E90">
        <w:rPr>
          <w:rFonts w:ascii="Arial" w:hAnsi="Arial" w:cs="Arial"/>
          <w:sz w:val="22"/>
          <w:szCs w:val="22"/>
          <w:lang w:val="en-US"/>
        </w:rPr>
        <w:t xml:space="preserve">2) = 0.54, </w:t>
      </w:r>
      <w:r w:rsidR="00FB613E" w:rsidRPr="00157E90">
        <w:rPr>
          <w:rFonts w:ascii="Arial" w:hAnsi="Arial" w:cs="Arial"/>
          <w:i/>
          <w:iCs/>
          <w:sz w:val="22"/>
          <w:szCs w:val="22"/>
          <w:lang w:val="en-US"/>
        </w:rPr>
        <w:t>p</w:t>
      </w:r>
      <w:r w:rsidRPr="00157E90">
        <w:rPr>
          <w:rFonts w:ascii="Arial" w:hAnsi="Arial" w:cs="Arial"/>
          <w:sz w:val="22"/>
          <w:szCs w:val="22"/>
          <w:lang w:val="en-US"/>
        </w:rPr>
        <w:t xml:space="preserve"> &lt;</w:t>
      </w:r>
      <w:r w:rsidR="00FB613E" w:rsidRPr="00157E90">
        <w:rPr>
          <w:rFonts w:ascii="Arial" w:hAnsi="Arial" w:cs="Arial"/>
          <w:sz w:val="22"/>
          <w:szCs w:val="22"/>
          <w:lang w:val="en-US"/>
        </w:rPr>
        <w:t xml:space="preserve"> 0</w:t>
      </w:r>
      <w:r w:rsidRPr="00157E90">
        <w:rPr>
          <w:rFonts w:ascii="Arial" w:hAnsi="Arial" w:cs="Arial"/>
          <w:sz w:val="22"/>
          <w:szCs w:val="22"/>
          <w:lang w:val="en-US"/>
        </w:rPr>
        <w:t xml:space="preserve">.001), and therefore a </w:t>
      </w:r>
      <w:r w:rsidRPr="00157E90">
        <w:rPr>
          <w:rFonts w:ascii="Arial" w:hAnsi="Arial" w:cs="Arial"/>
          <w:sz w:val="22"/>
          <w:szCs w:val="22"/>
          <w:lang w:val="en-US"/>
        </w:rPr>
        <w:lastRenderedPageBreak/>
        <w:t>Greenhouse-</w:t>
      </w:r>
      <w:proofErr w:type="spellStart"/>
      <w:r w:rsidRPr="00157E90">
        <w:rPr>
          <w:rFonts w:ascii="Arial" w:hAnsi="Arial" w:cs="Arial"/>
          <w:sz w:val="22"/>
          <w:szCs w:val="22"/>
          <w:lang w:val="en-US"/>
        </w:rPr>
        <w:t>Geisser</w:t>
      </w:r>
      <w:proofErr w:type="spellEnd"/>
      <w:r w:rsidRPr="00157E90">
        <w:rPr>
          <w:rFonts w:ascii="Arial" w:hAnsi="Arial" w:cs="Arial"/>
          <w:sz w:val="22"/>
          <w:szCs w:val="22"/>
          <w:lang w:val="en-US"/>
        </w:rPr>
        <w:t xml:space="preserve"> correction was used. A mixed ANOVA (within-subjects factors: color confusion axis (</w:t>
      </w:r>
      <w:proofErr w:type="spellStart"/>
      <w:r w:rsidRPr="00157E90">
        <w:rPr>
          <w:rFonts w:ascii="Arial" w:hAnsi="Arial" w:cs="Arial"/>
          <w:sz w:val="22"/>
          <w:szCs w:val="22"/>
          <w:lang w:val="en-US"/>
        </w:rPr>
        <w:t>protan</w:t>
      </w:r>
      <w:proofErr w:type="spellEnd"/>
      <w:r w:rsidRPr="00157E90">
        <w:rPr>
          <w:rFonts w:ascii="Arial" w:hAnsi="Arial" w:cs="Arial"/>
          <w:sz w:val="22"/>
          <w:szCs w:val="22"/>
          <w:lang w:val="en-US"/>
        </w:rPr>
        <w:t xml:space="preserve">, </w:t>
      </w:r>
      <w:proofErr w:type="spellStart"/>
      <w:r w:rsidRPr="00157E90">
        <w:rPr>
          <w:rFonts w:ascii="Arial" w:hAnsi="Arial" w:cs="Arial"/>
          <w:sz w:val="22"/>
          <w:szCs w:val="22"/>
          <w:lang w:val="en-US"/>
        </w:rPr>
        <w:t>deutan</w:t>
      </w:r>
      <w:proofErr w:type="spellEnd"/>
      <w:r w:rsidRPr="00157E90">
        <w:rPr>
          <w:rFonts w:ascii="Arial" w:hAnsi="Arial" w:cs="Arial"/>
          <w:sz w:val="22"/>
          <w:szCs w:val="22"/>
          <w:lang w:val="en-US"/>
        </w:rPr>
        <w:t xml:space="preserve">, </w:t>
      </w:r>
      <w:proofErr w:type="spellStart"/>
      <w:r w:rsidRPr="00157E90">
        <w:rPr>
          <w:rFonts w:ascii="Arial" w:hAnsi="Arial" w:cs="Arial"/>
          <w:sz w:val="22"/>
          <w:szCs w:val="22"/>
          <w:lang w:val="en-US"/>
        </w:rPr>
        <w:t>tritan</w:t>
      </w:r>
      <w:proofErr w:type="spellEnd"/>
      <w:r w:rsidRPr="00157E90">
        <w:rPr>
          <w:rFonts w:ascii="Arial" w:hAnsi="Arial" w:cs="Arial"/>
          <w:sz w:val="22"/>
          <w:szCs w:val="22"/>
          <w:lang w:val="en-US"/>
        </w:rPr>
        <w:t xml:space="preserve">)); between-subjects factor: </w:t>
      </w:r>
      <w:proofErr w:type="spellStart"/>
      <w:r w:rsidRPr="00157E90">
        <w:rPr>
          <w:rFonts w:ascii="Arial" w:hAnsi="Arial" w:cs="Arial"/>
          <w:sz w:val="22"/>
          <w:szCs w:val="22"/>
          <w:lang w:val="en-US"/>
        </w:rPr>
        <w:t>iPad</w:t>
      </w:r>
      <w:proofErr w:type="spellEnd"/>
      <w:r w:rsidRPr="00157E90">
        <w:rPr>
          <w:rFonts w:ascii="Arial" w:hAnsi="Arial" w:cs="Arial"/>
          <w:sz w:val="22"/>
          <w:szCs w:val="22"/>
          <w:lang w:val="en-US"/>
        </w:rPr>
        <w:t xml:space="preserve"> models (</w:t>
      </w:r>
      <w:proofErr w:type="spellStart"/>
      <w:r w:rsidRPr="00157E90">
        <w:rPr>
          <w:rFonts w:ascii="Arial" w:hAnsi="Arial" w:cs="Arial"/>
          <w:sz w:val="22"/>
          <w:szCs w:val="22"/>
          <w:lang w:val="en-US"/>
        </w:rPr>
        <w:t>iPad</w:t>
      </w:r>
      <w:proofErr w:type="spellEnd"/>
      <w:r w:rsidRPr="00157E90">
        <w:rPr>
          <w:rFonts w:ascii="Arial" w:hAnsi="Arial" w:cs="Arial"/>
          <w:sz w:val="22"/>
          <w:szCs w:val="22"/>
          <w:lang w:val="en-US"/>
        </w:rPr>
        <w:t xml:space="preserve"> Air 2, 2014; </w:t>
      </w:r>
      <w:proofErr w:type="spellStart"/>
      <w:r w:rsidRPr="00F6318C">
        <w:rPr>
          <w:rFonts w:ascii="Arial" w:hAnsi="Arial" w:cs="Arial"/>
          <w:sz w:val="22"/>
          <w:szCs w:val="22"/>
          <w:lang w:val="en-US"/>
        </w:rPr>
        <w:t>iPad</w:t>
      </w:r>
      <w:proofErr w:type="spellEnd"/>
      <w:r w:rsidRPr="00F6318C">
        <w:rPr>
          <w:rFonts w:ascii="Arial" w:hAnsi="Arial" w:cs="Arial"/>
          <w:sz w:val="22"/>
          <w:szCs w:val="22"/>
          <w:lang w:val="en-US"/>
        </w:rPr>
        <w:t xml:space="preserve"> Pro</w:t>
      </w:r>
      <w:r w:rsidR="002E25CC" w:rsidRPr="00F6318C">
        <w:rPr>
          <w:rFonts w:ascii="Arial" w:hAnsi="Arial" w:cs="Arial"/>
          <w:sz w:val="22"/>
          <w:szCs w:val="22"/>
          <w:lang w:val="en-US"/>
        </w:rPr>
        <w:t xml:space="preserve"> 9.7”</w:t>
      </w:r>
      <w:r w:rsidRPr="00F6318C">
        <w:rPr>
          <w:rFonts w:ascii="Arial" w:hAnsi="Arial" w:cs="Arial"/>
          <w:sz w:val="22"/>
          <w:szCs w:val="22"/>
          <w:lang w:val="en-US"/>
        </w:rPr>
        <w:t xml:space="preserve">, 2016; </w:t>
      </w:r>
      <w:proofErr w:type="spellStart"/>
      <w:r w:rsidRPr="00F6318C">
        <w:rPr>
          <w:rFonts w:ascii="Arial" w:hAnsi="Arial" w:cs="Arial"/>
          <w:sz w:val="22"/>
          <w:szCs w:val="22"/>
          <w:lang w:val="en-US"/>
        </w:rPr>
        <w:t>iPad</w:t>
      </w:r>
      <w:proofErr w:type="spellEnd"/>
      <w:r w:rsidR="002E25CC" w:rsidRPr="00F6318C">
        <w:rPr>
          <w:rFonts w:ascii="Arial" w:hAnsi="Arial" w:cs="Arial"/>
          <w:sz w:val="22"/>
          <w:szCs w:val="22"/>
          <w:lang w:val="en-US"/>
        </w:rPr>
        <w:t xml:space="preserve"> (5</w:t>
      </w:r>
      <w:r w:rsidR="002E25CC" w:rsidRPr="00F6318C">
        <w:rPr>
          <w:rFonts w:ascii="Arial" w:hAnsi="Arial" w:cs="Arial"/>
          <w:sz w:val="22"/>
          <w:szCs w:val="22"/>
          <w:vertAlign w:val="superscript"/>
          <w:lang w:val="en-US"/>
        </w:rPr>
        <w:t>th</w:t>
      </w:r>
      <w:r w:rsidR="002E25CC" w:rsidRPr="00F6318C">
        <w:rPr>
          <w:rFonts w:ascii="Arial" w:hAnsi="Arial" w:cs="Arial"/>
          <w:sz w:val="22"/>
          <w:szCs w:val="22"/>
          <w:lang w:val="en-US"/>
        </w:rPr>
        <w:t xml:space="preserve"> Generation)</w:t>
      </w:r>
      <w:r w:rsidRPr="00F6318C">
        <w:rPr>
          <w:rFonts w:ascii="Arial" w:hAnsi="Arial" w:cs="Arial"/>
          <w:sz w:val="22"/>
          <w:szCs w:val="22"/>
          <w:lang w:val="en-US"/>
        </w:rPr>
        <w:t xml:space="preserve">, 2017) showed </w:t>
      </w:r>
      <w:r w:rsidRPr="00157E90">
        <w:rPr>
          <w:rFonts w:ascii="Arial" w:hAnsi="Arial" w:cs="Arial"/>
          <w:sz w:val="22"/>
          <w:szCs w:val="22"/>
          <w:lang w:val="en-US"/>
        </w:rPr>
        <w:t xml:space="preserve">no significant interaction </w:t>
      </w:r>
      <w:bookmarkStart w:id="0" w:name="_GoBack"/>
      <w:bookmarkEnd w:id="0"/>
      <w:r w:rsidRPr="00157E90">
        <w:rPr>
          <w:rFonts w:ascii="Arial" w:hAnsi="Arial" w:cs="Arial"/>
          <w:sz w:val="22"/>
          <w:szCs w:val="22"/>
          <w:lang w:val="en-US"/>
        </w:rPr>
        <w:t xml:space="preserve">between the color confusion axes and </w:t>
      </w:r>
      <w:proofErr w:type="spellStart"/>
      <w:r w:rsidRPr="00157E90">
        <w:rPr>
          <w:rFonts w:ascii="Arial" w:hAnsi="Arial" w:cs="Arial"/>
          <w:sz w:val="22"/>
          <w:szCs w:val="22"/>
          <w:lang w:val="en-US"/>
        </w:rPr>
        <w:t>iPad</w:t>
      </w:r>
      <w:proofErr w:type="spellEnd"/>
      <w:r w:rsidRPr="00157E90">
        <w:rPr>
          <w:rFonts w:ascii="Arial" w:hAnsi="Arial" w:cs="Arial"/>
          <w:sz w:val="22"/>
          <w:szCs w:val="22"/>
          <w:lang w:val="en-US"/>
        </w:rPr>
        <w:t xml:space="preserve"> model (</w:t>
      </w:r>
      <w:r w:rsidRPr="00157E90">
        <w:rPr>
          <w:rFonts w:ascii="Arial" w:hAnsi="Arial" w:cs="Arial"/>
          <w:i/>
          <w:iCs/>
          <w:sz w:val="22"/>
          <w:szCs w:val="22"/>
          <w:lang w:val="en-US"/>
        </w:rPr>
        <w:t>F</w:t>
      </w:r>
      <w:r w:rsidRPr="00157E90">
        <w:rPr>
          <w:rFonts w:ascii="Arial" w:hAnsi="Arial" w:cs="Arial"/>
          <w:sz w:val="22"/>
          <w:szCs w:val="22"/>
          <w:vertAlign w:val="subscript"/>
          <w:lang w:val="en-US"/>
        </w:rPr>
        <w:t>2.74, 371.16</w:t>
      </w:r>
      <w:r w:rsidR="00157E90">
        <w:rPr>
          <w:rFonts w:ascii="Arial" w:hAnsi="Arial" w:cs="Arial"/>
          <w:sz w:val="22"/>
          <w:szCs w:val="22"/>
          <w:lang w:val="en-US"/>
        </w:rPr>
        <w:t xml:space="preserve"> </w:t>
      </w:r>
      <w:r w:rsidRPr="00157E90">
        <w:rPr>
          <w:rFonts w:ascii="Arial" w:hAnsi="Arial" w:cs="Arial"/>
          <w:sz w:val="22"/>
          <w:szCs w:val="22"/>
          <w:lang w:val="en-US"/>
        </w:rPr>
        <w:t xml:space="preserve">= 0.18, </w:t>
      </w:r>
      <w:r w:rsidR="00FB613E" w:rsidRPr="00157E90">
        <w:rPr>
          <w:rFonts w:ascii="Arial" w:hAnsi="Arial" w:cs="Arial"/>
          <w:i/>
          <w:iCs/>
          <w:sz w:val="22"/>
          <w:szCs w:val="22"/>
          <w:lang w:val="en-US"/>
        </w:rPr>
        <w:t xml:space="preserve">p </w:t>
      </w:r>
      <w:r w:rsidRPr="00157E90">
        <w:rPr>
          <w:rFonts w:ascii="Arial" w:hAnsi="Arial" w:cs="Arial"/>
          <w:sz w:val="22"/>
          <w:szCs w:val="22"/>
          <w:lang w:val="en-US"/>
        </w:rPr>
        <w:t>=</w:t>
      </w:r>
      <w:r w:rsidR="00FB613E" w:rsidRPr="00157E90">
        <w:rPr>
          <w:rFonts w:ascii="Arial" w:hAnsi="Arial" w:cs="Arial"/>
          <w:sz w:val="22"/>
          <w:szCs w:val="22"/>
          <w:lang w:val="en-US"/>
        </w:rPr>
        <w:t xml:space="preserve"> 0</w:t>
      </w:r>
      <w:r w:rsidRPr="00157E90">
        <w:rPr>
          <w:rFonts w:ascii="Arial" w:hAnsi="Arial" w:cs="Arial"/>
          <w:sz w:val="22"/>
          <w:szCs w:val="22"/>
          <w:lang w:val="en-US"/>
        </w:rPr>
        <w:t xml:space="preserve">.90) on thresholds, suggesting that </w:t>
      </w:r>
      <w:proofErr w:type="spellStart"/>
      <w:r w:rsidRPr="00157E90">
        <w:rPr>
          <w:rFonts w:ascii="Arial" w:hAnsi="Arial" w:cs="Arial"/>
          <w:sz w:val="22"/>
          <w:szCs w:val="22"/>
          <w:lang w:val="en-US"/>
        </w:rPr>
        <w:t>protan</w:t>
      </w:r>
      <w:proofErr w:type="spellEnd"/>
      <w:r w:rsidRPr="00157E90">
        <w:rPr>
          <w:rFonts w:ascii="Arial" w:hAnsi="Arial" w:cs="Arial"/>
          <w:sz w:val="22"/>
          <w:szCs w:val="22"/>
          <w:lang w:val="en-US"/>
        </w:rPr>
        <w:t xml:space="preserve">, </w:t>
      </w:r>
      <w:proofErr w:type="spellStart"/>
      <w:r w:rsidRPr="00157E90">
        <w:rPr>
          <w:rFonts w:ascii="Arial" w:hAnsi="Arial" w:cs="Arial"/>
          <w:sz w:val="22"/>
          <w:szCs w:val="22"/>
          <w:lang w:val="en-US"/>
        </w:rPr>
        <w:t>deutan</w:t>
      </w:r>
      <w:proofErr w:type="spellEnd"/>
      <w:r w:rsidRPr="00157E90">
        <w:rPr>
          <w:rFonts w:ascii="Arial" w:hAnsi="Arial" w:cs="Arial"/>
          <w:sz w:val="22"/>
          <w:szCs w:val="22"/>
          <w:lang w:val="en-US"/>
        </w:rPr>
        <w:t xml:space="preserve"> and </w:t>
      </w:r>
      <w:proofErr w:type="spellStart"/>
      <w:r w:rsidRPr="00157E90">
        <w:rPr>
          <w:rFonts w:ascii="Arial" w:hAnsi="Arial" w:cs="Arial"/>
          <w:sz w:val="22"/>
          <w:szCs w:val="22"/>
          <w:lang w:val="en-US"/>
        </w:rPr>
        <w:t>tritan</w:t>
      </w:r>
      <w:proofErr w:type="spellEnd"/>
      <w:r w:rsidRPr="00157E90">
        <w:rPr>
          <w:rFonts w:ascii="Arial" w:hAnsi="Arial" w:cs="Arial"/>
          <w:sz w:val="22"/>
          <w:szCs w:val="22"/>
          <w:lang w:val="en-US"/>
        </w:rPr>
        <w:t xml:space="preserve"> thresholds do not significantly differ between </w:t>
      </w:r>
      <w:proofErr w:type="spellStart"/>
      <w:r w:rsidRPr="00157E90">
        <w:rPr>
          <w:rFonts w:ascii="Arial" w:hAnsi="Arial" w:cs="Arial"/>
          <w:sz w:val="22"/>
          <w:szCs w:val="22"/>
          <w:lang w:val="en-US"/>
        </w:rPr>
        <w:t>iPad</w:t>
      </w:r>
      <w:proofErr w:type="spellEnd"/>
      <w:r w:rsidRPr="00157E90">
        <w:rPr>
          <w:rFonts w:ascii="Arial" w:hAnsi="Arial" w:cs="Arial"/>
          <w:sz w:val="22"/>
          <w:szCs w:val="22"/>
          <w:lang w:val="en-US"/>
        </w:rPr>
        <w:t xml:space="preserve"> models.</w:t>
      </w:r>
    </w:p>
    <w:p w14:paraId="5B4F6809" w14:textId="77777777" w:rsidR="00474D3B" w:rsidRPr="00157E90" w:rsidRDefault="00474D3B" w:rsidP="00474D3B">
      <w:pPr>
        <w:rPr>
          <w:rFonts w:ascii="Arial" w:hAnsi="Arial" w:cs="Arial"/>
          <w:sz w:val="22"/>
          <w:szCs w:val="22"/>
          <w:lang w:val="en-US"/>
        </w:rPr>
      </w:pPr>
    </w:p>
    <w:p w14:paraId="1056F831" w14:textId="61A331AC" w:rsidR="00474D3B" w:rsidRPr="00157E90" w:rsidRDefault="00474D3B" w:rsidP="00474D3B">
      <w:pPr>
        <w:rPr>
          <w:rFonts w:ascii="Arial" w:hAnsi="Arial" w:cs="Arial"/>
          <w:b/>
          <w:sz w:val="22"/>
          <w:szCs w:val="22"/>
          <w:lang w:val="en-US"/>
        </w:rPr>
      </w:pPr>
      <w:proofErr w:type="gramStart"/>
      <w:r w:rsidRPr="00157E90">
        <w:rPr>
          <w:rFonts w:ascii="Arial" w:hAnsi="Arial" w:cs="Arial"/>
          <w:b/>
          <w:sz w:val="22"/>
          <w:szCs w:val="22"/>
          <w:lang w:val="en-US"/>
        </w:rPr>
        <w:t>Optimi</w:t>
      </w:r>
      <w:r w:rsidR="005B0AB1" w:rsidRPr="00157E90">
        <w:rPr>
          <w:rFonts w:ascii="Arial" w:hAnsi="Arial" w:cs="Arial"/>
          <w:b/>
          <w:sz w:val="22"/>
          <w:szCs w:val="22"/>
          <w:lang w:val="en-US"/>
        </w:rPr>
        <w:t>z</w:t>
      </w:r>
      <w:r w:rsidRPr="00157E90">
        <w:rPr>
          <w:rFonts w:ascii="Arial" w:hAnsi="Arial" w:cs="Arial"/>
          <w:b/>
          <w:sz w:val="22"/>
          <w:szCs w:val="22"/>
          <w:lang w:val="en-US"/>
        </w:rPr>
        <w:t>ation of fit parameters for categori</w:t>
      </w:r>
      <w:r w:rsidR="00157E90">
        <w:rPr>
          <w:rFonts w:ascii="Arial" w:hAnsi="Arial" w:cs="Arial"/>
          <w:b/>
          <w:sz w:val="22"/>
          <w:szCs w:val="22"/>
          <w:lang w:val="en-US"/>
        </w:rPr>
        <w:t>z</w:t>
      </w:r>
      <w:r w:rsidRPr="00157E90">
        <w:rPr>
          <w:rFonts w:ascii="Arial" w:hAnsi="Arial" w:cs="Arial"/>
          <w:b/>
          <w:sz w:val="22"/>
          <w:szCs w:val="22"/>
          <w:lang w:val="en-US"/>
        </w:rPr>
        <w:t xml:space="preserve">ing CVD versus normal </w:t>
      </w:r>
      <w:r w:rsidR="00140970" w:rsidRPr="00157E90">
        <w:rPr>
          <w:rFonts w:ascii="Arial" w:hAnsi="Arial" w:cs="Arial"/>
          <w:b/>
          <w:sz w:val="22"/>
          <w:szCs w:val="22"/>
          <w:lang w:val="en-US"/>
        </w:rPr>
        <w:t xml:space="preserve">color vision </w:t>
      </w:r>
      <w:r w:rsidRPr="00157E90">
        <w:rPr>
          <w:rFonts w:ascii="Arial" w:hAnsi="Arial" w:cs="Arial"/>
          <w:b/>
          <w:sz w:val="22"/>
          <w:szCs w:val="22"/>
          <w:lang w:val="en-US"/>
        </w:rPr>
        <w:t>in the discovery cohort.</w:t>
      </w:r>
      <w:proofErr w:type="gramEnd"/>
    </w:p>
    <w:p w14:paraId="737C17E2" w14:textId="6760B8A0"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 xml:space="preserve">We did a systematic </w:t>
      </w:r>
      <w:r w:rsidRPr="00F6318C">
        <w:rPr>
          <w:rFonts w:ascii="Arial" w:hAnsi="Arial" w:cs="Arial"/>
          <w:sz w:val="22"/>
          <w:szCs w:val="22"/>
          <w:lang w:val="en-US"/>
        </w:rPr>
        <w:t>search of the optimal bandwidth and percentage correct criterion for defining threshold, which maximi</w:t>
      </w:r>
      <w:r w:rsidR="003300C9" w:rsidRPr="00F6318C">
        <w:rPr>
          <w:rFonts w:ascii="Arial" w:hAnsi="Arial" w:cs="Arial"/>
          <w:sz w:val="22"/>
          <w:szCs w:val="22"/>
          <w:lang w:val="en-US"/>
        </w:rPr>
        <w:t>z</w:t>
      </w:r>
      <w:r w:rsidRPr="00F6318C">
        <w:rPr>
          <w:rFonts w:ascii="Arial" w:hAnsi="Arial" w:cs="Arial"/>
          <w:sz w:val="22"/>
          <w:szCs w:val="22"/>
          <w:lang w:val="en-US"/>
        </w:rPr>
        <w:t xml:space="preserve">ed the </w:t>
      </w:r>
      <w:r w:rsidRPr="00157E90">
        <w:rPr>
          <w:rFonts w:ascii="Arial" w:hAnsi="Arial" w:cs="Arial"/>
          <w:sz w:val="22"/>
          <w:szCs w:val="22"/>
          <w:lang w:val="en-US"/>
        </w:rPr>
        <w:t>distance in threshold ratio between the CVD and control groups for the discovery cohort (</w:t>
      </w:r>
      <w:r w:rsidR="00C150F8" w:rsidRPr="00157E90">
        <w:rPr>
          <w:rFonts w:ascii="Arial" w:hAnsi="Arial" w:cs="Arial"/>
          <w:sz w:val="22"/>
          <w:szCs w:val="22"/>
          <w:lang w:val="en-US"/>
        </w:rPr>
        <w:t>Fig.</w:t>
      </w:r>
      <w:r w:rsidRPr="00157E90">
        <w:rPr>
          <w:rFonts w:ascii="Arial" w:hAnsi="Arial" w:cs="Arial"/>
          <w:sz w:val="22"/>
          <w:szCs w:val="22"/>
          <w:lang w:val="en-US"/>
        </w:rPr>
        <w:t xml:space="preserve"> 5). The optimal parameters were determined as having a fixed bandwidth of 0.70 for the </w:t>
      </w:r>
      <w:r w:rsidR="00B32BE1" w:rsidRPr="00157E90">
        <w:rPr>
          <w:rFonts w:ascii="Arial" w:hAnsi="Arial" w:cs="Arial"/>
          <w:sz w:val="22"/>
          <w:szCs w:val="22"/>
          <w:lang w:val="en-US"/>
        </w:rPr>
        <w:t>m</w:t>
      </w:r>
      <w:r w:rsidRPr="00157E90">
        <w:rPr>
          <w:rFonts w:ascii="Arial" w:hAnsi="Arial" w:cs="Arial"/>
          <w:sz w:val="22"/>
          <w:szCs w:val="22"/>
          <w:lang w:val="en-US"/>
        </w:rPr>
        <w:t>odel-free</w:t>
      </w:r>
      <w:r w:rsidR="00D00BA2" w:rsidRPr="00157E90">
        <w:rPr>
          <w:rFonts w:ascii="Arial" w:hAnsi="Arial" w:cs="Arial"/>
          <w:sz w:val="22"/>
          <w:szCs w:val="22"/>
          <w:lang w:val="en-US"/>
        </w:rPr>
        <w:t xml:space="preserve"> </w:t>
      </w:r>
      <w:r w:rsidR="00D00BA2" w:rsidRPr="00157E90">
        <w:rPr>
          <w:rFonts w:ascii="Arial" w:hAnsi="Arial" w:cs="Arial"/>
          <w:sz w:val="22"/>
          <w:szCs w:val="22"/>
          <w:lang w:val="en-US"/>
        </w:rPr>
        <w:fldChar w:fldCharType="begin" w:fldLock="1"/>
      </w:r>
      <w:r w:rsidR="005F01B6" w:rsidRPr="00157E90">
        <w:rPr>
          <w:rFonts w:ascii="Arial" w:hAnsi="Arial" w:cs="Arial"/>
          <w:sz w:val="22"/>
          <w:szCs w:val="22"/>
          <w:lang w:val="en-US"/>
        </w:rPr>
        <w:instrText>ADDIN CSL_CITATION {"citationItems":[{"id":"ITEM-1","itemData":{"DOI":"10.3758/APP.71.6.1414","ISSN":"19433921","PMID":"19633355","abstract":"A subject's response to the strength of a stimulus is described by the psychometric function, from which summary measures, such as a threshold or a slope, may be derived. Traditionally, this function is estimated by fitting a parametric model to the experimental data, usually the proportion of successful trials at each stimulus level. Common models include the Gaussian and Weibull cumulative distribution functions. This approach works well if the model is correct, but it can mislead if not. In practice, the correct model is rarely known. Here, a nonparametric approach based on local linear fitting is advocated. No assumption is made about the true model underlying the data, except that the function is smooth. The critical role of the bandwidth is identified, and its optimum value is estimated by a cross-validation procedure. As a demonstration, seven vision and hearing data sets were fitted by the local linear method and by several parametric models. The local linear method frequently performed better and never worse than the parametric ones. Supplemental materials for this article can be downloaded from app.psychonomic-journals.org/content/supplemental. © 2009 The Psychonomic Society, Inc.","author":[{"dropping-particle":"","family":"Żychaluk","given":"Kamilazy","non-dropping-particle":"","parse-names":false,"suffix":""},{"dropping-particle":"","family":"Foster","given":"David H.","non-dropping-particle":"","parse-names":false,"suffix":""}],"container-title":"Attention, Perception, and Psychophysics","id":"ITEM-1","issue":"6","issued":{"date-parts":[["2009"]]},"page":"1414-1425","title":"Model-free estimation of the psychometric function","type":"article-journal","volume":"71"},"uris":["http://www.mendeley.com/documents/?uuid=e8237163-7af9-404e-986c-495dfe496fb3"]}],"mendeley":{"formattedCitation":"(Żychaluk &amp; Foster, 2009)","plainTextFormattedCitation":"(Żychaluk &amp; Foster, 2009)","previouslyFormattedCitation":"(Żychaluk &amp; Foster, 2009)"},"properties":{"noteIndex":0},"schema":"https://github.com/citation-style-language/schema/raw/master/csl-citation.json"}</w:instrText>
      </w:r>
      <w:r w:rsidR="00D00BA2" w:rsidRPr="00157E90">
        <w:rPr>
          <w:rFonts w:ascii="Arial" w:hAnsi="Arial" w:cs="Arial"/>
          <w:sz w:val="22"/>
          <w:szCs w:val="22"/>
          <w:lang w:val="en-US"/>
        </w:rPr>
        <w:fldChar w:fldCharType="separate"/>
      </w:r>
      <w:r w:rsidR="000716CF" w:rsidRPr="00157E90">
        <w:rPr>
          <w:rFonts w:ascii="Arial" w:hAnsi="Arial" w:cs="Arial"/>
          <w:sz w:val="22"/>
          <w:szCs w:val="22"/>
          <w:lang w:val="en-US"/>
        </w:rPr>
        <w:t>(</w:t>
      </w:r>
      <w:r w:rsidR="0063476B" w:rsidRPr="00157E90">
        <w:rPr>
          <w:rFonts w:ascii="Arial" w:hAnsi="Arial" w:cs="Arial"/>
          <w:sz w:val="22"/>
          <w:szCs w:val="22"/>
          <w:lang w:val="en-US"/>
        </w:rPr>
        <w:t>Żychaluk</w:t>
      </w:r>
      <w:r w:rsidR="000716CF" w:rsidRPr="00157E90">
        <w:rPr>
          <w:rFonts w:ascii="Arial" w:hAnsi="Arial" w:cs="Arial"/>
          <w:sz w:val="22"/>
          <w:szCs w:val="22"/>
          <w:lang w:val="en-US"/>
        </w:rPr>
        <w:t xml:space="preserve"> &amp; Foster, 2009)</w:t>
      </w:r>
      <w:r w:rsidR="00D00BA2" w:rsidRPr="00157E90">
        <w:rPr>
          <w:rFonts w:ascii="Arial" w:hAnsi="Arial" w:cs="Arial"/>
          <w:sz w:val="22"/>
          <w:szCs w:val="22"/>
          <w:lang w:val="en-US"/>
        </w:rPr>
        <w:fldChar w:fldCharType="end"/>
      </w:r>
      <w:r w:rsidR="00EE1645" w:rsidRPr="00157E90">
        <w:rPr>
          <w:rFonts w:ascii="Arial" w:hAnsi="Arial" w:cs="Arial"/>
          <w:sz w:val="22"/>
          <w:szCs w:val="22"/>
          <w:lang w:val="en-US"/>
        </w:rPr>
        <w:t xml:space="preserve"> </w:t>
      </w:r>
      <w:r w:rsidRPr="00157E90">
        <w:rPr>
          <w:rFonts w:ascii="Arial" w:hAnsi="Arial" w:cs="Arial"/>
          <w:sz w:val="22"/>
          <w:szCs w:val="22"/>
          <w:lang w:val="en-US"/>
        </w:rPr>
        <w:t xml:space="preserve">local linear fit, and a performance level of 0.21 (21%) on which to base threshold estimates. </w:t>
      </w:r>
      <w:r w:rsidR="00C150F8" w:rsidRPr="00157E90">
        <w:rPr>
          <w:rFonts w:ascii="Arial" w:hAnsi="Arial" w:cs="Arial"/>
          <w:sz w:val="22"/>
          <w:szCs w:val="22"/>
          <w:lang w:val="en-US"/>
        </w:rPr>
        <w:t>Fig</w:t>
      </w:r>
      <w:r w:rsidR="00FC36BB">
        <w:rPr>
          <w:rFonts w:ascii="Arial" w:hAnsi="Arial" w:cs="Arial"/>
          <w:sz w:val="22"/>
          <w:szCs w:val="22"/>
          <w:lang w:val="en-US"/>
        </w:rPr>
        <w:t>ure</w:t>
      </w:r>
      <w:r w:rsidRPr="00157E90">
        <w:rPr>
          <w:rFonts w:ascii="Arial" w:hAnsi="Arial" w:cs="Arial"/>
          <w:sz w:val="22"/>
          <w:szCs w:val="22"/>
          <w:lang w:val="en-US"/>
        </w:rPr>
        <w:t xml:space="preserve"> S2 shows the separation between groups in threshold ratio (Z) against the two parameters (X and Y). </w:t>
      </w:r>
    </w:p>
    <w:p w14:paraId="7AAD401E" w14:textId="0B4C94D7" w:rsidR="00474D3B" w:rsidRPr="00157E90" w:rsidRDefault="00CD3C27" w:rsidP="00474D3B">
      <w:pPr>
        <w:jc w:val="center"/>
        <w:rPr>
          <w:rFonts w:ascii="Arial" w:hAnsi="Arial" w:cs="Arial"/>
          <w:b/>
          <w:bCs/>
          <w:sz w:val="22"/>
          <w:szCs w:val="22"/>
          <w:lang w:val="en-US"/>
        </w:rPr>
      </w:pPr>
      <w:r w:rsidRPr="00157E90">
        <w:rPr>
          <w:noProof/>
          <w:lang w:val="en-US" w:eastAsia="en-US"/>
        </w:rPr>
        <w:drawing>
          <wp:inline distT="0" distB="0" distL="0" distR="0" wp14:anchorId="584F4280" wp14:editId="56C639D6">
            <wp:extent cx="3599234" cy="3306143"/>
            <wp:effectExtent l="0" t="0" r="5715" b="4445"/>
            <wp:docPr id="9" name="Picture 9"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urfac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9234" cy="3306143"/>
                    </a:xfrm>
                    <a:prstGeom prst="rect">
                      <a:avLst/>
                    </a:prstGeom>
                  </pic:spPr>
                </pic:pic>
              </a:graphicData>
            </a:graphic>
          </wp:inline>
        </w:drawing>
      </w:r>
    </w:p>
    <w:p w14:paraId="6381CB63" w14:textId="69079248" w:rsidR="00474D3B" w:rsidRPr="00157E90" w:rsidRDefault="00474D3B" w:rsidP="00474D3B">
      <w:pPr>
        <w:ind w:left="720"/>
        <w:rPr>
          <w:rFonts w:ascii="Arial" w:hAnsi="Arial" w:cs="Arial"/>
          <w:sz w:val="20"/>
          <w:szCs w:val="20"/>
          <w:lang w:val="en-US"/>
        </w:rPr>
      </w:pPr>
      <w:proofErr w:type="gramStart"/>
      <w:r w:rsidRPr="00CD012B">
        <w:rPr>
          <w:rFonts w:ascii="Arial" w:hAnsi="Arial" w:cs="Arial"/>
          <w:b/>
          <w:bCs/>
          <w:sz w:val="20"/>
          <w:szCs w:val="20"/>
          <w:lang w:val="en-US"/>
        </w:rPr>
        <w:lastRenderedPageBreak/>
        <w:t>F</w:t>
      </w:r>
      <w:r w:rsidR="00C150F8" w:rsidRPr="00CD012B">
        <w:rPr>
          <w:rFonts w:ascii="Arial" w:hAnsi="Arial" w:cs="Arial"/>
          <w:b/>
          <w:bCs/>
          <w:sz w:val="20"/>
          <w:szCs w:val="20"/>
          <w:lang w:val="en-US"/>
        </w:rPr>
        <w:t>ig.</w:t>
      </w:r>
      <w:proofErr w:type="gramEnd"/>
      <w:r w:rsidRPr="00CD012B">
        <w:rPr>
          <w:rFonts w:ascii="Arial" w:hAnsi="Arial" w:cs="Arial"/>
          <w:b/>
          <w:bCs/>
          <w:sz w:val="20"/>
          <w:szCs w:val="20"/>
          <w:lang w:val="en-US"/>
        </w:rPr>
        <w:t xml:space="preserve"> </w:t>
      </w:r>
      <w:proofErr w:type="gramStart"/>
      <w:r w:rsidRPr="00CD012B">
        <w:rPr>
          <w:rFonts w:ascii="Arial" w:hAnsi="Arial" w:cs="Arial"/>
          <w:b/>
          <w:bCs/>
          <w:sz w:val="20"/>
          <w:szCs w:val="20"/>
          <w:lang w:val="en-US"/>
        </w:rPr>
        <w:t>S2</w:t>
      </w:r>
      <w:r w:rsidRPr="00157E90">
        <w:rPr>
          <w:rFonts w:ascii="Arial" w:hAnsi="Arial" w:cs="Arial"/>
          <w:sz w:val="20"/>
          <w:szCs w:val="20"/>
          <w:lang w:val="en-US"/>
        </w:rPr>
        <w:t xml:space="preserve">  Results</w:t>
      </w:r>
      <w:proofErr w:type="gramEnd"/>
      <w:r w:rsidRPr="00157E90">
        <w:rPr>
          <w:rFonts w:ascii="Arial" w:hAnsi="Arial" w:cs="Arial"/>
          <w:sz w:val="20"/>
          <w:szCs w:val="20"/>
          <w:lang w:val="en-US"/>
        </w:rPr>
        <w:t xml:space="preserve"> of a search for fit parameters that were optimal for distinguishing CVD from control participants. The Z-axis shows </w:t>
      </w:r>
      <w:r w:rsidR="005B0AB1" w:rsidRPr="00157E90">
        <w:rPr>
          <w:rFonts w:ascii="Arial" w:hAnsi="Arial" w:cs="Arial"/>
          <w:sz w:val="20"/>
          <w:szCs w:val="20"/>
          <w:lang w:val="en-US"/>
        </w:rPr>
        <w:t>“</w:t>
      </w:r>
      <w:r w:rsidRPr="00157E90">
        <w:rPr>
          <w:rFonts w:ascii="Arial" w:hAnsi="Arial" w:cs="Arial"/>
          <w:sz w:val="20"/>
          <w:szCs w:val="20"/>
          <w:lang w:val="en-US"/>
        </w:rPr>
        <w:t>separation</w:t>
      </w:r>
      <w:r w:rsidR="005B0AB1" w:rsidRPr="00157E90">
        <w:rPr>
          <w:rFonts w:ascii="Arial" w:hAnsi="Arial" w:cs="Arial"/>
          <w:sz w:val="20"/>
          <w:szCs w:val="20"/>
          <w:lang w:val="en-US"/>
        </w:rPr>
        <w:t>”</w:t>
      </w:r>
      <w:r w:rsidRPr="00157E90">
        <w:rPr>
          <w:rFonts w:ascii="Arial" w:hAnsi="Arial" w:cs="Arial"/>
          <w:sz w:val="20"/>
          <w:szCs w:val="20"/>
          <w:lang w:val="en-US"/>
        </w:rPr>
        <w:t xml:space="preserve"> in threshold ratio</w:t>
      </w:r>
      <w:r w:rsidR="005B0AB1" w:rsidRPr="00157E90">
        <w:rPr>
          <w:rFonts w:ascii="Arial" w:hAnsi="Arial" w:cs="Arial"/>
          <w:sz w:val="20"/>
          <w:szCs w:val="20"/>
          <w:lang w:val="en-US"/>
        </w:rPr>
        <w:t>s</w:t>
      </w:r>
      <w:r w:rsidRPr="00157E90">
        <w:rPr>
          <w:rFonts w:ascii="Arial" w:hAnsi="Arial" w:cs="Arial"/>
          <w:sz w:val="20"/>
          <w:szCs w:val="20"/>
          <w:lang w:val="en-US"/>
        </w:rPr>
        <w:t xml:space="preserve"> between the participant in the CVD group with the largest threshold ratio and the participant in the control group with the smallest threshold ratio. The two fit parameters that were varied were the proportion correct at which threshold was defined (</w:t>
      </w:r>
      <w:r w:rsidR="005B0AB1" w:rsidRPr="00157E90">
        <w:rPr>
          <w:rFonts w:ascii="Arial" w:hAnsi="Arial" w:cs="Arial"/>
          <w:sz w:val="20"/>
          <w:szCs w:val="20"/>
          <w:lang w:val="en-US"/>
        </w:rPr>
        <w:t>“</w:t>
      </w:r>
      <w:r w:rsidRPr="00157E90">
        <w:rPr>
          <w:rFonts w:ascii="Arial" w:hAnsi="Arial" w:cs="Arial"/>
          <w:sz w:val="20"/>
          <w:szCs w:val="20"/>
          <w:lang w:val="en-US"/>
        </w:rPr>
        <w:t>Threshold criterion</w:t>
      </w:r>
      <w:r w:rsidR="005B0AB1" w:rsidRPr="00157E90">
        <w:rPr>
          <w:rFonts w:ascii="Arial" w:hAnsi="Arial" w:cs="Arial"/>
          <w:sz w:val="20"/>
          <w:szCs w:val="20"/>
          <w:lang w:val="en-US"/>
        </w:rPr>
        <w:t>”</w:t>
      </w:r>
      <w:r w:rsidRPr="00157E90">
        <w:rPr>
          <w:rFonts w:ascii="Arial" w:hAnsi="Arial" w:cs="Arial"/>
          <w:sz w:val="20"/>
          <w:szCs w:val="20"/>
          <w:lang w:val="en-US"/>
        </w:rPr>
        <w:t>) and the bandwidth (</w:t>
      </w:r>
      <w:r w:rsidR="005B0AB1" w:rsidRPr="00157E90">
        <w:rPr>
          <w:rFonts w:ascii="Arial" w:hAnsi="Arial" w:cs="Arial"/>
          <w:sz w:val="20"/>
          <w:szCs w:val="20"/>
          <w:lang w:val="en-US"/>
        </w:rPr>
        <w:t>“</w:t>
      </w:r>
      <w:r w:rsidRPr="00157E90">
        <w:rPr>
          <w:rFonts w:ascii="Arial" w:hAnsi="Arial" w:cs="Arial"/>
          <w:sz w:val="20"/>
          <w:szCs w:val="20"/>
          <w:lang w:val="en-US"/>
        </w:rPr>
        <w:t>Fit bandwidth</w:t>
      </w:r>
      <w:r w:rsidR="005B0AB1" w:rsidRPr="00157E90">
        <w:rPr>
          <w:rFonts w:ascii="Arial" w:hAnsi="Arial" w:cs="Arial"/>
          <w:sz w:val="20"/>
          <w:szCs w:val="20"/>
          <w:lang w:val="en-US"/>
        </w:rPr>
        <w:t>”</w:t>
      </w:r>
      <w:r w:rsidRPr="00157E90">
        <w:rPr>
          <w:rFonts w:ascii="Arial" w:hAnsi="Arial" w:cs="Arial"/>
          <w:sz w:val="20"/>
          <w:szCs w:val="20"/>
          <w:lang w:val="en-US"/>
        </w:rPr>
        <w:t xml:space="preserve">) for the local linear fit made using </w:t>
      </w:r>
      <w:r w:rsidR="00B32BE1" w:rsidRPr="00157E90">
        <w:rPr>
          <w:rFonts w:ascii="Arial" w:hAnsi="Arial" w:cs="Arial"/>
          <w:sz w:val="20"/>
          <w:szCs w:val="20"/>
          <w:lang w:val="en-US"/>
        </w:rPr>
        <w:t>m</w:t>
      </w:r>
      <w:r w:rsidRPr="00157E90">
        <w:rPr>
          <w:rFonts w:ascii="Arial" w:hAnsi="Arial" w:cs="Arial"/>
          <w:sz w:val="20"/>
          <w:szCs w:val="20"/>
          <w:lang w:val="en-US"/>
        </w:rPr>
        <w:t>odel-free</w:t>
      </w:r>
      <w:r w:rsidR="00D00BA2" w:rsidRPr="00157E90">
        <w:rPr>
          <w:rFonts w:ascii="Arial" w:hAnsi="Arial" w:cs="Arial"/>
          <w:sz w:val="20"/>
          <w:szCs w:val="20"/>
          <w:lang w:val="en-US"/>
        </w:rPr>
        <w:t xml:space="preserve"> </w:t>
      </w:r>
      <w:r w:rsidR="00D00BA2" w:rsidRPr="00157E90">
        <w:rPr>
          <w:rFonts w:ascii="Arial" w:hAnsi="Arial" w:cs="Arial"/>
          <w:sz w:val="20"/>
          <w:szCs w:val="20"/>
          <w:lang w:val="en-US"/>
        </w:rPr>
        <w:fldChar w:fldCharType="begin" w:fldLock="1"/>
      </w:r>
      <w:r w:rsidR="005F01B6" w:rsidRPr="00157E90">
        <w:rPr>
          <w:rFonts w:ascii="Arial" w:hAnsi="Arial" w:cs="Arial"/>
          <w:sz w:val="20"/>
          <w:szCs w:val="20"/>
          <w:lang w:val="en-US"/>
        </w:rPr>
        <w:instrText>ADDIN CSL_CITATION {"citationItems":[{"id":"ITEM-1","itemData":{"DOI":"10.3758/APP.71.6.1414","ISSN":"19433921","PMID":"19633355","abstract":"A subject's response to the strength of a stimulus is described by the psychometric function, from which summary measures, such as a threshold or a slope, may be derived. Traditionally, this function is estimated by fitting a parametric model to the experimental data, usually the proportion of successful trials at each stimulus level. Common models include the Gaussian and Weibull cumulative distribution functions. This approach works well if the model is correct, but it can mislead if not. In practice, the correct model is rarely known. Here, a nonparametric approach based on local linear fitting is advocated. No assumption is made about the true model underlying the data, except that the function is smooth. The critical role of the bandwidth is identified, and its optimum value is estimated by a cross-validation procedure. As a demonstration, seven vision and hearing data sets were fitted by the local linear method and by several parametric models. The local linear method frequently performed better and never worse than the parametric ones. Supplemental materials for this article can be downloaded from app.psychonomic-journals.org/content/supplemental. © 2009 The Psychonomic Society, Inc.","author":[{"dropping-particle":"","family":"Żychaluk","given":"Kamilazy","non-dropping-particle":"","parse-names":false,"suffix":""},{"dropping-particle":"","family":"Foster","given":"David H.","non-dropping-particle":"","parse-names":false,"suffix":""}],"container-title":"Attention, Perception, and Psychophysics","id":"ITEM-1","issue":"6","issued":{"date-parts":[["2009"]]},"page":"1414-1425","title":"Model-free estimation of the psychometric function","type":"article-journal","volume":"71"},"uris":["http://www.mendeley.com/documents/?uuid=e8237163-7af9-404e-986c-495dfe496fb3"]}],"mendeley":{"formattedCitation":"(Żychaluk &amp; Foster, 2009)","plainTextFormattedCitation":"(Żychaluk &amp; Foster, 2009)","previouslyFormattedCitation":"(Żychaluk &amp; Foster, 2009)"},"properties":{"noteIndex":0},"schema":"https://github.com/citation-style-language/schema/raw/master/csl-citation.json"}</w:instrText>
      </w:r>
      <w:r w:rsidR="00D00BA2" w:rsidRPr="00157E90">
        <w:rPr>
          <w:rFonts w:ascii="Arial" w:hAnsi="Arial" w:cs="Arial"/>
          <w:sz w:val="20"/>
          <w:szCs w:val="20"/>
          <w:lang w:val="en-US"/>
        </w:rPr>
        <w:fldChar w:fldCharType="separate"/>
      </w:r>
      <w:r w:rsidR="000716CF" w:rsidRPr="00157E90">
        <w:rPr>
          <w:rFonts w:ascii="Arial" w:hAnsi="Arial" w:cs="Arial"/>
          <w:sz w:val="20"/>
          <w:szCs w:val="20"/>
          <w:lang w:val="en-US"/>
        </w:rPr>
        <w:t>(</w:t>
      </w:r>
      <w:r w:rsidR="0063476B" w:rsidRPr="00157E90">
        <w:rPr>
          <w:rFonts w:ascii="Arial" w:hAnsi="Arial" w:cs="Arial"/>
          <w:sz w:val="20"/>
          <w:szCs w:val="20"/>
          <w:lang w:val="en-US"/>
        </w:rPr>
        <w:t>Żychaluk</w:t>
      </w:r>
      <w:r w:rsidR="000716CF" w:rsidRPr="00157E90">
        <w:rPr>
          <w:rFonts w:ascii="Arial" w:hAnsi="Arial" w:cs="Arial"/>
          <w:sz w:val="20"/>
          <w:szCs w:val="20"/>
          <w:lang w:val="en-US"/>
        </w:rPr>
        <w:t xml:space="preserve"> &amp; Foster, 2009)</w:t>
      </w:r>
      <w:r w:rsidR="00D00BA2" w:rsidRPr="00157E90">
        <w:rPr>
          <w:rFonts w:ascii="Arial" w:hAnsi="Arial" w:cs="Arial"/>
          <w:sz w:val="20"/>
          <w:szCs w:val="20"/>
          <w:lang w:val="en-US"/>
        </w:rPr>
        <w:fldChar w:fldCharType="end"/>
      </w:r>
      <w:r w:rsidRPr="00157E90">
        <w:rPr>
          <w:rFonts w:ascii="Arial" w:hAnsi="Arial" w:cs="Arial"/>
          <w:sz w:val="20"/>
          <w:szCs w:val="20"/>
          <w:lang w:val="en-US"/>
        </w:rPr>
        <w:t>. The optimal parameters were defined at peak separation</w:t>
      </w:r>
      <w:r w:rsidRPr="00157E90" w:rsidDel="00867E02">
        <w:rPr>
          <w:rFonts w:ascii="Arial" w:hAnsi="Arial" w:cs="Arial"/>
          <w:sz w:val="20"/>
          <w:szCs w:val="20"/>
          <w:lang w:val="en-US"/>
        </w:rPr>
        <w:t xml:space="preserve"> </w:t>
      </w:r>
    </w:p>
    <w:p w14:paraId="056484FD" w14:textId="77777777" w:rsidR="00474D3B" w:rsidRPr="00157E90" w:rsidRDefault="00474D3B" w:rsidP="00474D3B">
      <w:pPr>
        <w:jc w:val="center"/>
        <w:rPr>
          <w:rFonts w:ascii="Arial" w:hAnsi="Arial" w:cs="Arial"/>
          <w:b/>
          <w:bCs/>
          <w:sz w:val="22"/>
          <w:szCs w:val="22"/>
          <w:lang w:val="en-US"/>
        </w:rPr>
      </w:pPr>
    </w:p>
    <w:p w14:paraId="7C4E8039" w14:textId="77777777" w:rsidR="00474D3B" w:rsidRPr="00157E90" w:rsidRDefault="00474D3B" w:rsidP="00474D3B">
      <w:pPr>
        <w:rPr>
          <w:rFonts w:ascii="Arial" w:hAnsi="Arial" w:cs="Arial"/>
          <w:b/>
          <w:sz w:val="22"/>
          <w:szCs w:val="22"/>
          <w:lang w:val="en-US" w:eastAsia="zh-TW"/>
        </w:rPr>
      </w:pPr>
      <w:r w:rsidRPr="00157E90">
        <w:rPr>
          <w:rFonts w:ascii="Arial" w:hAnsi="Arial" w:cs="Arial"/>
          <w:b/>
          <w:sz w:val="22"/>
          <w:szCs w:val="22"/>
          <w:lang w:val="en-US" w:eastAsia="zh-TW"/>
        </w:rPr>
        <w:t xml:space="preserve">Raw </w:t>
      </w:r>
      <w:proofErr w:type="spellStart"/>
      <w:r w:rsidRPr="00157E90">
        <w:rPr>
          <w:rFonts w:ascii="Arial" w:hAnsi="Arial" w:cs="Arial"/>
          <w:b/>
          <w:sz w:val="22"/>
          <w:szCs w:val="22"/>
          <w:lang w:val="en-US" w:eastAsia="zh-TW"/>
        </w:rPr>
        <w:t>protan</w:t>
      </w:r>
      <w:proofErr w:type="spellEnd"/>
      <w:r w:rsidRPr="00157E90">
        <w:rPr>
          <w:rFonts w:ascii="Arial" w:hAnsi="Arial" w:cs="Arial"/>
          <w:b/>
          <w:sz w:val="22"/>
          <w:szCs w:val="22"/>
          <w:lang w:val="en-US" w:eastAsia="zh-TW"/>
        </w:rPr>
        <w:t xml:space="preserve"> and </w:t>
      </w:r>
      <w:proofErr w:type="spellStart"/>
      <w:r w:rsidRPr="00157E90">
        <w:rPr>
          <w:rFonts w:ascii="Arial" w:hAnsi="Arial" w:cs="Arial"/>
          <w:b/>
          <w:sz w:val="22"/>
          <w:szCs w:val="22"/>
          <w:lang w:val="en-US" w:eastAsia="zh-TW"/>
        </w:rPr>
        <w:t>deutan</w:t>
      </w:r>
      <w:proofErr w:type="spellEnd"/>
      <w:r w:rsidRPr="00157E90">
        <w:rPr>
          <w:rFonts w:ascii="Arial" w:hAnsi="Arial" w:cs="Arial"/>
          <w:b/>
          <w:sz w:val="22"/>
          <w:szCs w:val="22"/>
          <w:lang w:val="en-US" w:eastAsia="zh-TW"/>
        </w:rPr>
        <w:t xml:space="preserve"> thresholds</w:t>
      </w:r>
    </w:p>
    <w:p w14:paraId="6A9A1240" w14:textId="0323489D" w:rsidR="00474D3B" w:rsidRPr="00157E90" w:rsidRDefault="00474D3B" w:rsidP="00474D3B">
      <w:pPr>
        <w:rPr>
          <w:rFonts w:ascii="Arial" w:hAnsi="Arial" w:cs="Arial"/>
          <w:sz w:val="22"/>
          <w:szCs w:val="22"/>
          <w:lang w:val="en-US" w:eastAsia="zh-TW"/>
        </w:rPr>
      </w:pPr>
      <w:proofErr w:type="spellStart"/>
      <w:r w:rsidRPr="00157E90">
        <w:rPr>
          <w:rFonts w:ascii="Arial" w:hAnsi="Arial" w:cs="Arial"/>
          <w:i/>
          <w:sz w:val="22"/>
          <w:szCs w:val="22"/>
          <w:lang w:val="en-US" w:eastAsia="zh-TW"/>
        </w:rPr>
        <w:t>ColourSpot’s</w:t>
      </w:r>
      <w:proofErr w:type="spellEnd"/>
      <w:r w:rsidRPr="00157E90">
        <w:rPr>
          <w:rFonts w:ascii="Arial" w:hAnsi="Arial" w:cs="Arial"/>
          <w:sz w:val="22"/>
          <w:szCs w:val="22"/>
          <w:lang w:val="en-US" w:eastAsia="zh-TW"/>
        </w:rPr>
        <w:t xml:space="preserve"> </w:t>
      </w:r>
      <w:proofErr w:type="spellStart"/>
      <w:r w:rsidRPr="00157E90">
        <w:rPr>
          <w:rFonts w:ascii="Arial" w:hAnsi="Arial" w:cs="Arial"/>
          <w:sz w:val="22"/>
          <w:szCs w:val="22"/>
          <w:lang w:val="en-US" w:eastAsia="zh-TW"/>
        </w:rPr>
        <w:t>tritan</w:t>
      </w:r>
      <w:proofErr w:type="spellEnd"/>
      <w:r w:rsidRPr="00157E90">
        <w:rPr>
          <w:rFonts w:ascii="Arial" w:hAnsi="Arial" w:cs="Arial"/>
          <w:sz w:val="22"/>
          <w:szCs w:val="22"/>
          <w:lang w:val="en-US" w:eastAsia="zh-TW"/>
        </w:rPr>
        <w:t xml:space="preserve"> thresholds allowed us to quantify performance using the minimum ratio of </w:t>
      </w:r>
      <w:proofErr w:type="spellStart"/>
      <w:r w:rsidRPr="00157E90">
        <w:rPr>
          <w:rFonts w:ascii="Arial" w:hAnsi="Arial" w:cs="Arial"/>
          <w:sz w:val="22"/>
          <w:szCs w:val="22"/>
          <w:lang w:val="en-US" w:eastAsia="zh-TW"/>
        </w:rPr>
        <w:t>tritan</w:t>
      </w:r>
      <w:proofErr w:type="spellEnd"/>
      <w:r w:rsidRPr="00157E90">
        <w:rPr>
          <w:rFonts w:ascii="Arial" w:hAnsi="Arial" w:cs="Arial"/>
          <w:sz w:val="22"/>
          <w:szCs w:val="22"/>
          <w:lang w:val="en-US" w:eastAsia="zh-TW"/>
        </w:rPr>
        <w:t xml:space="preserve"> to </w:t>
      </w:r>
      <w:proofErr w:type="spellStart"/>
      <w:r w:rsidRPr="00157E90">
        <w:rPr>
          <w:rFonts w:ascii="Arial" w:hAnsi="Arial" w:cs="Arial"/>
          <w:sz w:val="22"/>
          <w:szCs w:val="22"/>
          <w:lang w:val="en-US" w:eastAsia="zh-TW"/>
        </w:rPr>
        <w:t>protan</w:t>
      </w:r>
      <w:proofErr w:type="spellEnd"/>
      <w:r w:rsidRPr="00157E90">
        <w:rPr>
          <w:rFonts w:ascii="Arial" w:hAnsi="Arial" w:cs="Arial"/>
          <w:sz w:val="22"/>
          <w:szCs w:val="22"/>
          <w:lang w:val="en-US" w:eastAsia="zh-TW"/>
        </w:rPr>
        <w:t xml:space="preserve"> thresholds or </w:t>
      </w:r>
      <w:proofErr w:type="spellStart"/>
      <w:r w:rsidRPr="00157E90">
        <w:rPr>
          <w:rFonts w:ascii="Arial" w:hAnsi="Arial" w:cs="Arial"/>
          <w:sz w:val="22"/>
          <w:szCs w:val="22"/>
          <w:lang w:val="en-US" w:eastAsia="zh-TW"/>
        </w:rPr>
        <w:t>tritan</w:t>
      </w:r>
      <w:proofErr w:type="spellEnd"/>
      <w:r w:rsidRPr="00157E90">
        <w:rPr>
          <w:rFonts w:ascii="Arial" w:hAnsi="Arial" w:cs="Arial"/>
          <w:sz w:val="22"/>
          <w:szCs w:val="22"/>
          <w:lang w:val="en-US" w:eastAsia="zh-TW"/>
        </w:rPr>
        <w:t xml:space="preserve"> to </w:t>
      </w:r>
      <w:proofErr w:type="spellStart"/>
      <w:r w:rsidRPr="00157E90">
        <w:rPr>
          <w:rFonts w:ascii="Arial" w:hAnsi="Arial" w:cs="Arial"/>
          <w:sz w:val="22"/>
          <w:szCs w:val="22"/>
          <w:lang w:val="en-US" w:eastAsia="zh-TW"/>
        </w:rPr>
        <w:t>deutan</w:t>
      </w:r>
      <w:proofErr w:type="spellEnd"/>
      <w:r w:rsidRPr="00157E90">
        <w:rPr>
          <w:rFonts w:ascii="Arial" w:hAnsi="Arial" w:cs="Arial"/>
          <w:sz w:val="22"/>
          <w:szCs w:val="22"/>
          <w:lang w:val="en-US" w:eastAsia="zh-TW"/>
        </w:rPr>
        <w:t xml:space="preserve"> thresholds. This offers an improvement in classification accuracy on many existing tests because non-visual influences on task performance (such as attention and task engagement) are factored out as they influence all three thresholds equally. The threshold ratio measure (</w:t>
      </w:r>
      <w:r w:rsidR="00C150F8" w:rsidRPr="00157E90">
        <w:rPr>
          <w:rFonts w:ascii="Arial" w:hAnsi="Arial" w:cs="Arial"/>
          <w:sz w:val="22"/>
          <w:szCs w:val="22"/>
          <w:lang w:val="en-US" w:eastAsia="zh-TW"/>
        </w:rPr>
        <w:t>Fig.</w:t>
      </w:r>
      <w:r w:rsidRPr="00157E90">
        <w:rPr>
          <w:rFonts w:ascii="Arial" w:hAnsi="Arial" w:cs="Arial"/>
          <w:sz w:val="22"/>
          <w:szCs w:val="22"/>
          <w:lang w:val="en-US" w:eastAsia="zh-TW"/>
        </w:rPr>
        <w:t xml:space="preserve"> 6) successfully separated those who were classified as CVD by the Ishihara Unlettered test and those who were classified on that test as having normal color vision into two different groups. By contrast, if raw thresholds were used, as is the case for many existing tests, classification accuracy was poorer (</w:t>
      </w:r>
      <w:r w:rsidR="00C150F8" w:rsidRPr="00157E90">
        <w:rPr>
          <w:rFonts w:ascii="Arial" w:hAnsi="Arial" w:cs="Arial"/>
          <w:sz w:val="22"/>
          <w:szCs w:val="22"/>
          <w:lang w:val="en-US" w:eastAsia="zh-TW"/>
        </w:rPr>
        <w:t>Fig.</w:t>
      </w:r>
      <w:r w:rsidRPr="00157E90">
        <w:rPr>
          <w:rFonts w:ascii="Arial" w:hAnsi="Arial" w:cs="Arial"/>
          <w:sz w:val="22"/>
          <w:szCs w:val="22"/>
          <w:lang w:val="en-US" w:eastAsia="zh-TW"/>
        </w:rPr>
        <w:t xml:space="preserve"> S3), since non-visual influences confer large individual differences in </w:t>
      </w:r>
      <w:proofErr w:type="spellStart"/>
      <w:r w:rsidRPr="00157E90">
        <w:rPr>
          <w:rFonts w:ascii="Arial" w:hAnsi="Arial" w:cs="Arial"/>
          <w:sz w:val="22"/>
          <w:szCs w:val="22"/>
          <w:lang w:val="en-US" w:eastAsia="zh-TW"/>
        </w:rPr>
        <w:t>protan</w:t>
      </w:r>
      <w:proofErr w:type="spellEnd"/>
      <w:r w:rsidRPr="00157E90">
        <w:rPr>
          <w:rFonts w:ascii="Arial" w:hAnsi="Arial" w:cs="Arial"/>
          <w:sz w:val="22"/>
          <w:szCs w:val="22"/>
          <w:lang w:val="en-US" w:eastAsia="zh-TW"/>
        </w:rPr>
        <w:t xml:space="preserve"> and </w:t>
      </w:r>
      <w:proofErr w:type="spellStart"/>
      <w:r w:rsidRPr="00157E90">
        <w:rPr>
          <w:rFonts w:ascii="Arial" w:hAnsi="Arial" w:cs="Arial"/>
          <w:sz w:val="22"/>
          <w:szCs w:val="22"/>
          <w:lang w:val="en-US" w:eastAsia="zh-TW"/>
        </w:rPr>
        <w:t>deutan</w:t>
      </w:r>
      <w:proofErr w:type="spellEnd"/>
      <w:r w:rsidRPr="00157E90">
        <w:rPr>
          <w:rFonts w:ascii="Arial" w:hAnsi="Arial" w:cs="Arial"/>
          <w:sz w:val="22"/>
          <w:szCs w:val="22"/>
          <w:lang w:val="en-US" w:eastAsia="zh-TW"/>
        </w:rPr>
        <w:t xml:space="preserve"> thresholds independently of color vision status.</w:t>
      </w:r>
    </w:p>
    <w:p w14:paraId="33BB11B8" w14:textId="7E2DC5B6" w:rsidR="00474D3B" w:rsidRPr="00157E90" w:rsidRDefault="00474D3B" w:rsidP="00474D3B">
      <w:pPr>
        <w:ind w:left="1440"/>
        <w:rPr>
          <w:rFonts w:ascii="Arial" w:hAnsi="Arial" w:cs="Arial"/>
          <w:sz w:val="22"/>
          <w:szCs w:val="22"/>
          <w:lang w:val="en-US" w:eastAsia="zh-TW"/>
        </w:rPr>
      </w:pPr>
    </w:p>
    <w:p w14:paraId="1A809963" w14:textId="08CC09CE" w:rsidR="00B9181D" w:rsidRPr="00157E90" w:rsidRDefault="00B9181D" w:rsidP="00106353">
      <w:pPr>
        <w:ind w:left="1440"/>
        <w:rPr>
          <w:rFonts w:ascii="Arial" w:hAnsi="Arial" w:cs="Arial"/>
          <w:sz w:val="22"/>
          <w:szCs w:val="22"/>
          <w:lang w:val="en-US" w:eastAsia="zh-TW"/>
        </w:rPr>
      </w:pPr>
      <w:r w:rsidRPr="00157E90">
        <w:rPr>
          <w:rFonts w:ascii="Arial" w:hAnsi="Arial" w:cs="Arial"/>
          <w:noProof/>
          <w:sz w:val="22"/>
          <w:szCs w:val="22"/>
          <w:lang w:val="en-US" w:eastAsia="en-US"/>
        </w:rPr>
        <w:lastRenderedPageBreak/>
        <w:drawing>
          <wp:inline distT="0" distB="0" distL="0" distR="0" wp14:anchorId="16A0EC25" wp14:editId="0FC0955B">
            <wp:extent cx="4124711" cy="2577830"/>
            <wp:effectExtent l="0" t="0" r="3175" b="635"/>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146880" cy="2591685"/>
                    </a:xfrm>
                    <a:prstGeom prst="rect">
                      <a:avLst/>
                    </a:prstGeom>
                  </pic:spPr>
                </pic:pic>
              </a:graphicData>
            </a:graphic>
          </wp:inline>
        </w:drawing>
      </w:r>
    </w:p>
    <w:p w14:paraId="2AA38BF9" w14:textId="766B1F9C" w:rsidR="00474D3B" w:rsidRPr="00157E90" w:rsidRDefault="00C150F8" w:rsidP="00106353">
      <w:pPr>
        <w:ind w:left="720"/>
        <w:rPr>
          <w:rFonts w:ascii="Arial" w:hAnsi="Arial" w:cs="Arial"/>
          <w:sz w:val="20"/>
          <w:szCs w:val="20"/>
          <w:lang w:val="en-US" w:eastAsia="zh-TW"/>
        </w:rPr>
      </w:pPr>
      <w:proofErr w:type="gramStart"/>
      <w:r w:rsidRPr="00CD012B">
        <w:rPr>
          <w:rFonts w:ascii="Arial" w:hAnsi="Arial" w:cs="Arial"/>
          <w:b/>
          <w:bCs/>
          <w:sz w:val="20"/>
          <w:szCs w:val="20"/>
          <w:lang w:val="en-US" w:eastAsia="zh-TW"/>
        </w:rPr>
        <w:t>Fig.</w:t>
      </w:r>
      <w:proofErr w:type="gramEnd"/>
      <w:r w:rsidR="00474D3B" w:rsidRPr="00CD012B">
        <w:rPr>
          <w:rFonts w:ascii="Arial" w:hAnsi="Arial" w:cs="Arial"/>
          <w:b/>
          <w:bCs/>
          <w:sz w:val="20"/>
          <w:szCs w:val="20"/>
          <w:lang w:val="en-US" w:eastAsia="zh-TW"/>
        </w:rPr>
        <w:t xml:space="preserve"> S3</w:t>
      </w:r>
      <w:r w:rsidR="00474D3B" w:rsidRPr="00157E90">
        <w:rPr>
          <w:rFonts w:ascii="Arial" w:hAnsi="Arial" w:cs="Arial"/>
          <w:sz w:val="20"/>
          <w:szCs w:val="20"/>
          <w:lang w:val="en-US" w:eastAsia="zh-TW"/>
        </w:rPr>
        <w:t xml:space="preserve"> Histogram showing raw thresholds for participants in the discovery cohort grouped by color vision status assigned by the Ishihara Unlettered test. Plotted for each participant is the minimum of the </w:t>
      </w:r>
      <w:proofErr w:type="spellStart"/>
      <w:r w:rsidR="00474D3B" w:rsidRPr="00157E90">
        <w:rPr>
          <w:rFonts w:ascii="Arial" w:hAnsi="Arial" w:cs="Arial"/>
          <w:sz w:val="20"/>
          <w:szCs w:val="20"/>
          <w:lang w:val="en-US" w:eastAsia="zh-TW"/>
        </w:rPr>
        <w:t>protan</w:t>
      </w:r>
      <w:proofErr w:type="spellEnd"/>
      <w:r w:rsidR="00474D3B" w:rsidRPr="00157E90">
        <w:rPr>
          <w:rFonts w:ascii="Arial" w:hAnsi="Arial" w:cs="Arial"/>
          <w:sz w:val="20"/>
          <w:szCs w:val="20"/>
          <w:lang w:val="en-US" w:eastAsia="zh-TW"/>
        </w:rPr>
        <w:t xml:space="preserve"> or </w:t>
      </w:r>
      <w:proofErr w:type="spellStart"/>
      <w:r w:rsidR="00474D3B" w:rsidRPr="00157E90">
        <w:rPr>
          <w:rFonts w:ascii="Arial" w:hAnsi="Arial" w:cs="Arial"/>
          <w:sz w:val="20"/>
          <w:szCs w:val="20"/>
          <w:lang w:val="en-US" w:eastAsia="zh-TW"/>
        </w:rPr>
        <w:t>deutan</w:t>
      </w:r>
      <w:proofErr w:type="spellEnd"/>
      <w:r w:rsidR="00474D3B" w:rsidRPr="00157E90">
        <w:rPr>
          <w:rFonts w:ascii="Arial" w:hAnsi="Arial" w:cs="Arial"/>
          <w:sz w:val="20"/>
          <w:szCs w:val="20"/>
          <w:lang w:val="en-US" w:eastAsia="zh-TW"/>
        </w:rPr>
        <w:t xml:space="preserve"> threshold</w:t>
      </w:r>
    </w:p>
    <w:p w14:paraId="5F3D97E9" w14:textId="77777777" w:rsidR="00474D3B" w:rsidRPr="00157E90" w:rsidRDefault="00474D3B" w:rsidP="00474D3B">
      <w:pPr>
        <w:jc w:val="center"/>
        <w:rPr>
          <w:rFonts w:ascii="Arial" w:hAnsi="Arial" w:cs="Arial"/>
          <w:b/>
          <w:bCs/>
          <w:sz w:val="22"/>
          <w:szCs w:val="22"/>
          <w:lang w:val="en-US"/>
        </w:rPr>
      </w:pPr>
    </w:p>
    <w:p w14:paraId="58F9B849" w14:textId="77777777" w:rsidR="00474D3B" w:rsidRPr="00157E90" w:rsidRDefault="00474D3B" w:rsidP="00474D3B">
      <w:pPr>
        <w:rPr>
          <w:rFonts w:ascii="Arial" w:hAnsi="Arial" w:cs="Arial"/>
          <w:b/>
          <w:bCs/>
          <w:sz w:val="22"/>
          <w:szCs w:val="22"/>
          <w:lang w:val="en-US"/>
        </w:rPr>
      </w:pPr>
      <w:proofErr w:type="spellStart"/>
      <w:r w:rsidRPr="00157E90">
        <w:rPr>
          <w:rFonts w:ascii="Arial" w:hAnsi="Arial" w:cs="Arial"/>
          <w:b/>
          <w:bCs/>
          <w:i/>
          <w:iCs/>
          <w:sz w:val="22"/>
          <w:szCs w:val="22"/>
          <w:lang w:val="en-US"/>
        </w:rPr>
        <w:t>ColourSpot</w:t>
      </w:r>
      <w:proofErr w:type="spellEnd"/>
      <w:r w:rsidRPr="00157E90">
        <w:rPr>
          <w:rFonts w:ascii="Arial" w:hAnsi="Arial" w:cs="Arial"/>
          <w:b/>
          <w:bCs/>
          <w:sz w:val="22"/>
          <w:szCs w:val="22"/>
          <w:lang w:val="en-US"/>
        </w:rPr>
        <w:t xml:space="preserve"> Sensitivity and Specificity</w:t>
      </w:r>
    </w:p>
    <w:p w14:paraId="7F1F9EE9" w14:textId="77777777" w:rsidR="00474D3B" w:rsidRPr="00157E90" w:rsidRDefault="00474D3B" w:rsidP="00474D3B">
      <w:pPr>
        <w:rPr>
          <w:rFonts w:ascii="Arial" w:hAnsi="Arial" w:cs="Arial"/>
          <w:b/>
          <w:bCs/>
          <w:sz w:val="22"/>
          <w:szCs w:val="22"/>
          <w:lang w:val="en-US"/>
        </w:rPr>
      </w:pPr>
    </w:p>
    <w:p w14:paraId="7B203B0A" w14:textId="77777777" w:rsidR="00474D3B" w:rsidRPr="00157E90" w:rsidRDefault="00474D3B" w:rsidP="00474D3B">
      <w:pPr>
        <w:rPr>
          <w:rFonts w:ascii="Arial" w:hAnsi="Arial" w:cs="Arial"/>
          <w:sz w:val="22"/>
          <w:szCs w:val="22"/>
          <w:lang w:val="en-US"/>
        </w:rPr>
      </w:pPr>
      <w:r w:rsidRPr="00157E90">
        <w:rPr>
          <w:rFonts w:ascii="Arial" w:hAnsi="Arial" w:cs="Arial"/>
          <w:i/>
          <w:iCs/>
          <w:sz w:val="22"/>
          <w:szCs w:val="22"/>
          <w:lang w:val="en-US"/>
        </w:rPr>
        <w:t>Discovery Cohort</w:t>
      </w:r>
    </w:p>
    <w:p w14:paraId="1E85EC24" w14:textId="493A4E30"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Using the Ishihara Unlettered test as a pseudo gold standard, we identified a threshold ratio of 0.59 to be the classification criterion that distinguishes best between CVD and normal color vision, where a ratio smaller than 0.59 is indicative of a CVD. This threshold ratio was calculated by taking the average of the largest threshold ratio from the CVD group (0.52) and the smallest threshold ratio from the control group (0.66).</w:t>
      </w:r>
    </w:p>
    <w:p w14:paraId="12C0DE26" w14:textId="77777777" w:rsidR="00474D3B" w:rsidRPr="00157E90" w:rsidRDefault="00474D3B" w:rsidP="00474D3B">
      <w:pPr>
        <w:rPr>
          <w:rFonts w:ascii="Arial" w:hAnsi="Arial" w:cs="Arial"/>
          <w:sz w:val="22"/>
          <w:szCs w:val="22"/>
          <w:lang w:val="en-US"/>
        </w:rPr>
      </w:pPr>
    </w:p>
    <w:p w14:paraId="5C88FA1F" w14:textId="0D4758A0" w:rsidR="0084365B" w:rsidRPr="00157E90" w:rsidRDefault="00474D3B" w:rsidP="0084365B">
      <w:pPr>
        <w:rPr>
          <w:rFonts w:ascii="Arial" w:hAnsi="Arial" w:cs="Arial"/>
          <w:sz w:val="22"/>
          <w:szCs w:val="22"/>
          <w:lang w:val="en-US"/>
        </w:rPr>
      </w:pPr>
      <w:r w:rsidRPr="00157E90">
        <w:rPr>
          <w:rFonts w:ascii="Arial" w:hAnsi="Arial" w:cs="Arial"/>
          <w:sz w:val="22"/>
          <w:szCs w:val="22"/>
          <w:lang w:val="en-US"/>
        </w:rPr>
        <w:t>Excluding inconclusive participants, the criterion threshold ratio of 0.59 was applied to the discovery cohort (</w:t>
      </w:r>
      <w:r w:rsidRPr="00CD012B">
        <w:rPr>
          <w:rFonts w:ascii="Arial" w:hAnsi="Arial" w:cs="Arial"/>
          <w:i/>
          <w:sz w:val="22"/>
          <w:szCs w:val="22"/>
          <w:lang w:val="en-US"/>
        </w:rPr>
        <w:t>N</w:t>
      </w:r>
      <w:r w:rsidRPr="00157E90">
        <w:rPr>
          <w:rFonts w:ascii="Arial" w:hAnsi="Arial" w:cs="Arial"/>
          <w:sz w:val="22"/>
          <w:szCs w:val="22"/>
          <w:lang w:val="en-US"/>
        </w:rPr>
        <w:t xml:space="preserve">=93) to </w:t>
      </w:r>
      <w:r w:rsidR="00140970" w:rsidRPr="00157E90">
        <w:rPr>
          <w:rFonts w:ascii="Arial" w:hAnsi="Arial" w:cs="Arial"/>
          <w:sz w:val="22"/>
          <w:szCs w:val="22"/>
          <w:lang w:val="en-US"/>
        </w:rPr>
        <w:t>estimate</w:t>
      </w:r>
      <w:r w:rsidRPr="00157E90">
        <w:rPr>
          <w:rFonts w:ascii="Arial" w:hAnsi="Arial" w:cs="Arial"/>
          <w:sz w:val="22"/>
          <w:szCs w:val="22"/>
          <w:lang w:val="en-US"/>
        </w:rPr>
        <w:t xml:space="preserve"> sensitivity and specificity values. </w:t>
      </w:r>
    </w:p>
    <w:p w14:paraId="018D4720" w14:textId="77777777" w:rsidR="00140970" w:rsidRPr="00157E90" w:rsidRDefault="00140970" w:rsidP="00474D3B">
      <w:pPr>
        <w:rPr>
          <w:rFonts w:ascii="Arial" w:hAnsi="Arial" w:cs="Arial"/>
          <w:sz w:val="22"/>
          <w:szCs w:val="22"/>
          <w:lang w:val="en-US"/>
        </w:rPr>
      </w:pPr>
    </w:p>
    <w:p w14:paraId="52D38EAB" w14:textId="0BFC0135" w:rsidR="0084365B" w:rsidRPr="00157E90" w:rsidRDefault="0084365B" w:rsidP="00474D3B">
      <w:pPr>
        <w:rPr>
          <w:rFonts w:ascii="Arial" w:hAnsi="Arial" w:cs="Arial"/>
          <w:b/>
          <w:bCs/>
          <w:sz w:val="22"/>
          <w:szCs w:val="22"/>
          <w:lang w:val="en-US"/>
        </w:rPr>
      </w:pPr>
      <w:r w:rsidRPr="00CD012B">
        <w:rPr>
          <w:rFonts w:ascii="Arial" w:hAnsi="Arial" w:cs="Arial"/>
          <w:b/>
          <w:bCs/>
          <w:sz w:val="22"/>
          <w:szCs w:val="22"/>
          <w:lang w:val="en-US"/>
        </w:rPr>
        <w:lastRenderedPageBreak/>
        <w:t>Table S</w:t>
      </w:r>
      <w:r w:rsidR="005D22AB" w:rsidRPr="00CD012B">
        <w:rPr>
          <w:rFonts w:ascii="Arial" w:hAnsi="Arial" w:cs="Arial"/>
          <w:b/>
          <w:bCs/>
          <w:sz w:val="22"/>
          <w:szCs w:val="22"/>
          <w:lang w:val="en-US"/>
        </w:rPr>
        <w:t>2</w:t>
      </w:r>
    </w:p>
    <w:p w14:paraId="6B4F385E" w14:textId="1D0AFE08" w:rsidR="00474D3B" w:rsidRPr="00157E90" w:rsidRDefault="0084365B" w:rsidP="00474D3B">
      <w:pPr>
        <w:rPr>
          <w:rFonts w:ascii="Arial" w:hAnsi="Arial" w:cs="Arial"/>
          <w:sz w:val="20"/>
          <w:szCs w:val="20"/>
          <w:lang w:val="en-US"/>
        </w:rPr>
      </w:pPr>
      <w:r w:rsidRPr="00157E90">
        <w:rPr>
          <w:rFonts w:ascii="Arial" w:hAnsi="Arial" w:cs="Arial"/>
          <w:sz w:val="20"/>
          <w:szCs w:val="20"/>
          <w:lang w:val="en-US"/>
        </w:rPr>
        <w:t xml:space="preserve">Contingency table comparing the </w:t>
      </w:r>
      <w:proofErr w:type="spellStart"/>
      <w:r w:rsidRPr="00157E90">
        <w:rPr>
          <w:rFonts w:ascii="Arial" w:hAnsi="Arial" w:cs="Arial"/>
          <w:i/>
          <w:iCs/>
          <w:sz w:val="20"/>
          <w:szCs w:val="20"/>
          <w:lang w:val="en-US"/>
        </w:rPr>
        <w:t>ColourSpot</w:t>
      </w:r>
      <w:proofErr w:type="spellEnd"/>
      <w:r w:rsidRPr="00157E90">
        <w:rPr>
          <w:rFonts w:ascii="Arial" w:hAnsi="Arial" w:cs="Arial"/>
          <w:sz w:val="20"/>
          <w:szCs w:val="20"/>
          <w:lang w:val="en-US"/>
        </w:rPr>
        <w:t xml:space="preserve"> classification of CVD and normal color vision with that of the Ishihara Unlettered in the discovery cohort</w:t>
      </w:r>
    </w:p>
    <w:tbl>
      <w:tblPr>
        <w:tblStyle w:val="TableGrid"/>
        <w:tblW w:w="0" w:type="auto"/>
        <w:jc w:val="center"/>
        <w:tblLook w:val="04A0" w:firstRow="1" w:lastRow="0" w:firstColumn="1" w:lastColumn="0" w:noHBand="0" w:noVBand="1"/>
      </w:tblPr>
      <w:tblGrid>
        <w:gridCol w:w="1635"/>
        <w:gridCol w:w="2046"/>
        <w:gridCol w:w="2126"/>
      </w:tblGrid>
      <w:tr w:rsidR="00474D3B" w:rsidRPr="00157E90" w14:paraId="0F9E787E" w14:textId="77777777" w:rsidTr="006A60F3">
        <w:trPr>
          <w:jc w:val="center"/>
        </w:trPr>
        <w:tc>
          <w:tcPr>
            <w:tcW w:w="1635" w:type="dxa"/>
            <w:vMerge w:val="restart"/>
            <w:tcBorders>
              <w:left w:val="single" w:sz="4" w:space="0" w:color="FFFFFF" w:themeColor="background1"/>
              <w:right w:val="single" w:sz="4" w:space="0" w:color="FFFFFF" w:themeColor="background1"/>
            </w:tcBorders>
          </w:tcPr>
          <w:p w14:paraId="59326C54" w14:textId="77777777" w:rsidR="00474D3B" w:rsidRPr="00157E90" w:rsidRDefault="00474D3B" w:rsidP="006A60F3">
            <w:pPr>
              <w:spacing w:line="240" w:lineRule="auto"/>
              <w:rPr>
                <w:rFonts w:ascii="Arial" w:hAnsi="Arial" w:cs="Arial"/>
                <w:b/>
                <w:bCs/>
                <w:sz w:val="22"/>
                <w:szCs w:val="22"/>
                <w:lang w:val="en-US"/>
              </w:rPr>
            </w:pPr>
            <w:proofErr w:type="spellStart"/>
            <w:r w:rsidRPr="00157E90">
              <w:rPr>
                <w:rFonts w:ascii="Arial" w:hAnsi="Arial" w:cs="Arial"/>
                <w:b/>
                <w:bCs/>
                <w:i/>
                <w:sz w:val="22"/>
                <w:szCs w:val="22"/>
                <w:lang w:val="en-US"/>
              </w:rPr>
              <w:t>ColourSpot</w:t>
            </w:r>
            <w:proofErr w:type="spellEnd"/>
          </w:p>
        </w:tc>
        <w:tc>
          <w:tcPr>
            <w:tcW w:w="4172" w:type="dxa"/>
            <w:gridSpan w:val="2"/>
            <w:tcBorders>
              <w:left w:val="single" w:sz="4" w:space="0" w:color="FFFFFF" w:themeColor="background1"/>
              <w:right w:val="single" w:sz="4" w:space="0" w:color="FFFFFF" w:themeColor="background1"/>
            </w:tcBorders>
          </w:tcPr>
          <w:p w14:paraId="7E72A7DB"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Ishihara test for Unlettered Persons</w:t>
            </w:r>
          </w:p>
        </w:tc>
      </w:tr>
      <w:tr w:rsidR="00474D3B" w:rsidRPr="00157E90" w14:paraId="73934B58" w14:textId="77777777" w:rsidTr="006A60F3">
        <w:trPr>
          <w:jc w:val="center"/>
        </w:trPr>
        <w:tc>
          <w:tcPr>
            <w:tcW w:w="1635" w:type="dxa"/>
            <w:vMerge/>
            <w:tcBorders>
              <w:left w:val="single" w:sz="4" w:space="0" w:color="FFFFFF" w:themeColor="background1"/>
              <w:right w:val="single" w:sz="4" w:space="0" w:color="FFFFFF" w:themeColor="background1"/>
            </w:tcBorders>
          </w:tcPr>
          <w:p w14:paraId="4D813E08" w14:textId="77777777" w:rsidR="00474D3B" w:rsidRPr="00157E90" w:rsidRDefault="00474D3B" w:rsidP="006A60F3">
            <w:pPr>
              <w:spacing w:line="240" w:lineRule="auto"/>
              <w:rPr>
                <w:rFonts w:ascii="Arial" w:hAnsi="Arial" w:cs="Arial"/>
                <w:b/>
                <w:bCs/>
                <w:sz w:val="22"/>
                <w:szCs w:val="22"/>
                <w:lang w:val="en-US"/>
              </w:rPr>
            </w:pPr>
          </w:p>
        </w:tc>
        <w:tc>
          <w:tcPr>
            <w:tcW w:w="2046" w:type="dxa"/>
            <w:tcBorders>
              <w:left w:val="single" w:sz="4" w:space="0" w:color="FFFFFF" w:themeColor="background1"/>
              <w:right w:val="single" w:sz="4" w:space="0" w:color="FFFFFF" w:themeColor="background1"/>
            </w:tcBorders>
          </w:tcPr>
          <w:p w14:paraId="7235A4F3"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CVD</w:t>
            </w:r>
          </w:p>
        </w:tc>
        <w:tc>
          <w:tcPr>
            <w:tcW w:w="2126" w:type="dxa"/>
            <w:tcBorders>
              <w:left w:val="single" w:sz="4" w:space="0" w:color="FFFFFF" w:themeColor="background1"/>
              <w:right w:val="single" w:sz="4" w:space="0" w:color="FFFFFF" w:themeColor="background1"/>
            </w:tcBorders>
          </w:tcPr>
          <w:p w14:paraId="0F05FBA3"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Normal</w:t>
            </w:r>
          </w:p>
        </w:tc>
      </w:tr>
      <w:tr w:rsidR="00474D3B" w:rsidRPr="00157E90" w14:paraId="26DAA9AC" w14:textId="77777777" w:rsidTr="006A60F3">
        <w:trPr>
          <w:jc w:val="center"/>
        </w:trPr>
        <w:tc>
          <w:tcPr>
            <w:tcW w:w="1635" w:type="dxa"/>
            <w:tcBorders>
              <w:left w:val="single" w:sz="4" w:space="0" w:color="FFFFFF" w:themeColor="background1"/>
              <w:right w:val="single" w:sz="4" w:space="0" w:color="FFFFFF" w:themeColor="background1"/>
            </w:tcBorders>
          </w:tcPr>
          <w:p w14:paraId="74BE5278"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 xml:space="preserve">CVD </w:t>
            </w:r>
          </w:p>
        </w:tc>
        <w:tc>
          <w:tcPr>
            <w:tcW w:w="2046" w:type="dxa"/>
            <w:tcBorders>
              <w:left w:val="single" w:sz="4" w:space="0" w:color="FFFFFF" w:themeColor="background1"/>
              <w:right w:val="single" w:sz="4" w:space="0" w:color="FFFFFF" w:themeColor="background1"/>
            </w:tcBorders>
          </w:tcPr>
          <w:p w14:paraId="446ECE30"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19</w:t>
            </w:r>
          </w:p>
        </w:tc>
        <w:tc>
          <w:tcPr>
            <w:tcW w:w="2126" w:type="dxa"/>
            <w:tcBorders>
              <w:left w:val="single" w:sz="4" w:space="0" w:color="FFFFFF" w:themeColor="background1"/>
              <w:right w:val="single" w:sz="4" w:space="0" w:color="FFFFFF" w:themeColor="background1"/>
            </w:tcBorders>
          </w:tcPr>
          <w:p w14:paraId="69E8E65F"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0</w:t>
            </w:r>
          </w:p>
        </w:tc>
      </w:tr>
      <w:tr w:rsidR="00474D3B" w:rsidRPr="00157E90" w14:paraId="4FD06D5F" w14:textId="77777777" w:rsidTr="006A60F3">
        <w:trPr>
          <w:jc w:val="center"/>
        </w:trPr>
        <w:tc>
          <w:tcPr>
            <w:tcW w:w="1635" w:type="dxa"/>
            <w:tcBorders>
              <w:left w:val="single" w:sz="4" w:space="0" w:color="FFFFFF" w:themeColor="background1"/>
              <w:right w:val="single" w:sz="4" w:space="0" w:color="FFFFFF" w:themeColor="background1"/>
            </w:tcBorders>
          </w:tcPr>
          <w:p w14:paraId="2DABF930"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Normal</w:t>
            </w:r>
          </w:p>
        </w:tc>
        <w:tc>
          <w:tcPr>
            <w:tcW w:w="2046" w:type="dxa"/>
            <w:tcBorders>
              <w:left w:val="single" w:sz="4" w:space="0" w:color="FFFFFF" w:themeColor="background1"/>
              <w:right w:val="single" w:sz="4" w:space="0" w:color="FFFFFF" w:themeColor="background1"/>
            </w:tcBorders>
          </w:tcPr>
          <w:p w14:paraId="398367C7"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0</w:t>
            </w:r>
          </w:p>
        </w:tc>
        <w:tc>
          <w:tcPr>
            <w:tcW w:w="2126" w:type="dxa"/>
            <w:tcBorders>
              <w:left w:val="single" w:sz="4" w:space="0" w:color="FFFFFF" w:themeColor="background1"/>
              <w:right w:val="single" w:sz="4" w:space="0" w:color="FFFFFF" w:themeColor="background1"/>
            </w:tcBorders>
          </w:tcPr>
          <w:p w14:paraId="0130FFC2"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74</w:t>
            </w:r>
          </w:p>
        </w:tc>
      </w:tr>
      <w:tr w:rsidR="00474D3B" w:rsidRPr="00157E90" w14:paraId="0B5B15F2" w14:textId="77777777" w:rsidTr="006A60F3">
        <w:trPr>
          <w:jc w:val="center"/>
        </w:trPr>
        <w:tc>
          <w:tcPr>
            <w:tcW w:w="1635" w:type="dxa"/>
            <w:tcBorders>
              <w:left w:val="single" w:sz="4" w:space="0" w:color="FFFFFF" w:themeColor="background1"/>
              <w:right w:val="single" w:sz="4" w:space="0" w:color="FFFFFF" w:themeColor="background1"/>
            </w:tcBorders>
          </w:tcPr>
          <w:p w14:paraId="0A00C2B0"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Total</w:t>
            </w:r>
          </w:p>
        </w:tc>
        <w:tc>
          <w:tcPr>
            <w:tcW w:w="2046" w:type="dxa"/>
            <w:tcBorders>
              <w:left w:val="single" w:sz="4" w:space="0" w:color="FFFFFF" w:themeColor="background1"/>
              <w:right w:val="single" w:sz="4" w:space="0" w:color="FFFFFF" w:themeColor="background1"/>
            </w:tcBorders>
          </w:tcPr>
          <w:p w14:paraId="5A398B77"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19</w:t>
            </w:r>
          </w:p>
        </w:tc>
        <w:tc>
          <w:tcPr>
            <w:tcW w:w="2126" w:type="dxa"/>
            <w:tcBorders>
              <w:left w:val="single" w:sz="4" w:space="0" w:color="FFFFFF" w:themeColor="background1"/>
              <w:right w:val="single" w:sz="4" w:space="0" w:color="FFFFFF" w:themeColor="background1"/>
            </w:tcBorders>
          </w:tcPr>
          <w:p w14:paraId="6CA8308A"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74</w:t>
            </w:r>
          </w:p>
        </w:tc>
      </w:tr>
    </w:tbl>
    <w:p w14:paraId="4065A979" w14:textId="77777777" w:rsidR="00474D3B" w:rsidRPr="00157E90" w:rsidRDefault="00474D3B" w:rsidP="00474D3B">
      <w:pPr>
        <w:rPr>
          <w:rFonts w:ascii="Arial" w:hAnsi="Arial" w:cs="Arial"/>
          <w:sz w:val="22"/>
          <w:szCs w:val="22"/>
          <w:lang w:val="en-US"/>
        </w:rPr>
      </w:pPr>
    </w:p>
    <w:p w14:paraId="446D5676" w14:textId="77777777" w:rsidR="00474D3B" w:rsidRPr="00157E90" w:rsidRDefault="00474D3B" w:rsidP="00474D3B">
      <w:pPr>
        <w:rPr>
          <w:rFonts w:ascii="Arial" w:hAnsi="Arial" w:cs="Arial"/>
          <w:sz w:val="22"/>
          <w:szCs w:val="22"/>
          <w:lang w:val="en-US"/>
        </w:rPr>
      </w:pPr>
    </w:p>
    <w:p w14:paraId="319AC3C9" w14:textId="57BF606F"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Sensitivity</w:t>
      </w:r>
      <w:r w:rsidR="000C6D86" w:rsidRPr="00157E90">
        <w:rPr>
          <w:rFonts w:ascii="Arial" w:hAnsi="Arial" w:cs="Arial"/>
          <w:sz w:val="22"/>
          <w:szCs w:val="22"/>
          <w:lang w:val="en-US"/>
        </w:rPr>
        <w:t> = </w:t>
      </w:r>
      <w:r w:rsidRPr="00157E90">
        <w:rPr>
          <w:rFonts w:ascii="Arial" w:hAnsi="Arial" w:cs="Arial"/>
          <w:sz w:val="22"/>
          <w:szCs w:val="22"/>
          <w:lang w:val="en-US"/>
        </w:rPr>
        <w:t>19/19</w:t>
      </w:r>
      <w:r w:rsidR="000C6D86" w:rsidRPr="00157E90">
        <w:rPr>
          <w:rFonts w:ascii="Arial" w:hAnsi="Arial" w:cs="Arial"/>
          <w:sz w:val="22"/>
          <w:szCs w:val="22"/>
          <w:lang w:val="en-US"/>
        </w:rPr>
        <w:t> = </w:t>
      </w:r>
      <w:r w:rsidRPr="00157E90">
        <w:rPr>
          <w:rFonts w:ascii="Arial" w:hAnsi="Arial" w:cs="Arial"/>
          <w:sz w:val="22"/>
          <w:szCs w:val="22"/>
          <w:lang w:val="en-US"/>
        </w:rPr>
        <w:t>1.00</w:t>
      </w:r>
    </w:p>
    <w:p w14:paraId="1955C479" w14:textId="32FD45CD"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Specificity</w:t>
      </w:r>
      <w:r w:rsidR="000C6D86" w:rsidRPr="00157E90">
        <w:rPr>
          <w:rFonts w:ascii="Arial" w:hAnsi="Arial" w:cs="Arial"/>
          <w:sz w:val="22"/>
          <w:szCs w:val="22"/>
          <w:lang w:val="en-US"/>
        </w:rPr>
        <w:t> = </w:t>
      </w:r>
      <w:r w:rsidRPr="00157E90">
        <w:rPr>
          <w:rFonts w:ascii="Arial" w:hAnsi="Arial" w:cs="Arial"/>
          <w:sz w:val="22"/>
          <w:szCs w:val="22"/>
          <w:lang w:val="en-US"/>
        </w:rPr>
        <w:t>74/74</w:t>
      </w:r>
      <w:r w:rsidR="000C6D86" w:rsidRPr="00157E90">
        <w:rPr>
          <w:rFonts w:ascii="Arial" w:hAnsi="Arial" w:cs="Arial"/>
          <w:sz w:val="22"/>
          <w:szCs w:val="22"/>
          <w:lang w:val="en-US"/>
        </w:rPr>
        <w:t> = </w:t>
      </w:r>
      <w:r w:rsidRPr="00157E90">
        <w:rPr>
          <w:rFonts w:ascii="Arial" w:hAnsi="Arial" w:cs="Arial"/>
          <w:sz w:val="22"/>
          <w:szCs w:val="22"/>
          <w:lang w:val="en-US"/>
        </w:rPr>
        <w:t>1.00</w:t>
      </w:r>
    </w:p>
    <w:p w14:paraId="0A5F1041" w14:textId="77777777" w:rsidR="00474D3B" w:rsidRPr="00157E90" w:rsidRDefault="00474D3B" w:rsidP="00474D3B">
      <w:pPr>
        <w:rPr>
          <w:rFonts w:ascii="Arial" w:hAnsi="Arial" w:cs="Arial"/>
          <w:sz w:val="22"/>
          <w:szCs w:val="22"/>
          <w:lang w:val="en-US"/>
        </w:rPr>
      </w:pPr>
    </w:p>
    <w:p w14:paraId="7BFF4D39" w14:textId="77777777" w:rsidR="00474D3B" w:rsidRPr="00157E90" w:rsidRDefault="00474D3B" w:rsidP="00474D3B">
      <w:pPr>
        <w:rPr>
          <w:rFonts w:ascii="Arial" w:hAnsi="Arial" w:cs="Arial"/>
          <w:sz w:val="22"/>
          <w:szCs w:val="22"/>
          <w:lang w:val="en-US"/>
        </w:rPr>
      </w:pPr>
      <w:r w:rsidRPr="00157E90">
        <w:rPr>
          <w:rFonts w:ascii="Arial" w:hAnsi="Arial" w:cs="Arial"/>
          <w:i/>
          <w:iCs/>
          <w:sz w:val="22"/>
          <w:szCs w:val="22"/>
          <w:lang w:val="en-US"/>
        </w:rPr>
        <w:t>Validation Cohort</w:t>
      </w:r>
      <w:r w:rsidRPr="00157E90">
        <w:rPr>
          <w:rFonts w:ascii="Arial" w:hAnsi="Arial" w:cs="Arial"/>
          <w:sz w:val="22"/>
          <w:szCs w:val="22"/>
          <w:lang w:val="en-US"/>
        </w:rPr>
        <w:t xml:space="preserve"> </w:t>
      </w:r>
    </w:p>
    <w:p w14:paraId="0C428C14" w14:textId="0FCA9C91"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For participants classified by the Ishihara Unlettered either as CVD or as having normal color vision (N</w:t>
      </w:r>
      <w:r w:rsidR="000C6D86" w:rsidRPr="00157E90">
        <w:rPr>
          <w:rFonts w:ascii="Arial" w:hAnsi="Arial" w:cs="Arial"/>
          <w:sz w:val="22"/>
          <w:szCs w:val="22"/>
          <w:lang w:val="en-US"/>
        </w:rPr>
        <w:t> </w:t>
      </w:r>
      <w:r w:rsidRPr="00157E90">
        <w:rPr>
          <w:rFonts w:ascii="Arial" w:hAnsi="Arial" w:cs="Arial"/>
          <w:sz w:val="22"/>
          <w:szCs w:val="22"/>
          <w:lang w:val="en-US"/>
        </w:rPr>
        <w:t>=</w:t>
      </w:r>
      <w:r w:rsidR="000C6D86" w:rsidRPr="00157E90">
        <w:rPr>
          <w:rFonts w:ascii="Arial" w:hAnsi="Arial" w:cs="Arial"/>
          <w:sz w:val="22"/>
          <w:szCs w:val="22"/>
          <w:lang w:val="en-US"/>
        </w:rPr>
        <w:t> </w:t>
      </w:r>
      <w:r w:rsidRPr="00157E90">
        <w:rPr>
          <w:rFonts w:ascii="Arial" w:hAnsi="Arial" w:cs="Arial"/>
          <w:sz w:val="22"/>
          <w:szCs w:val="22"/>
          <w:lang w:val="en-US"/>
        </w:rPr>
        <w:t xml:space="preserve">155), the threshold ratio value of 0.59 was independently applied to the validation cohort to estimate sensitivity and specificity for </w:t>
      </w:r>
      <w:proofErr w:type="spellStart"/>
      <w:r w:rsidRPr="00157E90">
        <w:rPr>
          <w:rFonts w:ascii="Arial" w:hAnsi="Arial" w:cs="Arial"/>
          <w:i/>
          <w:iCs/>
          <w:sz w:val="22"/>
          <w:szCs w:val="22"/>
          <w:lang w:val="en-US"/>
        </w:rPr>
        <w:t>ColourSpot</w:t>
      </w:r>
      <w:proofErr w:type="spellEnd"/>
      <w:r w:rsidRPr="00157E90">
        <w:rPr>
          <w:rFonts w:ascii="Arial" w:hAnsi="Arial" w:cs="Arial"/>
          <w:sz w:val="22"/>
          <w:szCs w:val="22"/>
          <w:lang w:val="en-US"/>
        </w:rPr>
        <w:t xml:space="preserve">. </w:t>
      </w:r>
    </w:p>
    <w:p w14:paraId="12361A9E" w14:textId="77777777" w:rsidR="00140970" w:rsidRPr="00157E90" w:rsidRDefault="00140970" w:rsidP="0084365B">
      <w:pPr>
        <w:rPr>
          <w:rFonts w:ascii="Arial" w:hAnsi="Arial" w:cs="Arial"/>
          <w:sz w:val="22"/>
          <w:szCs w:val="22"/>
          <w:lang w:val="en-US"/>
        </w:rPr>
      </w:pPr>
    </w:p>
    <w:p w14:paraId="47C91FD8" w14:textId="3600698A" w:rsidR="0084365B" w:rsidRPr="00157E90" w:rsidRDefault="0084365B" w:rsidP="0084365B">
      <w:pPr>
        <w:rPr>
          <w:rFonts w:ascii="Arial" w:hAnsi="Arial" w:cs="Arial"/>
          <w:b/>
          <w:bCs/>
          <w:sz w:val="22"/>
          <w:szCs w:val="22"/>
          <w:lang w:val="en-US"/>
        </w:rPr>
      </w:pPr>
      <w:r w:rsidRPr="00CD012B">
        <w:rPr>
          <w:rFonts w:ascii="Arial" w:hAnsi="Arial" w:cs="Arial"/>
          <w:b/>
          <w:bCs/>
          <w:sz w:val="22"/>
          <w:szCs w:val="22"/>
          <w:lang w:val="en-US"/>
        </w:rPr>
        <w:t>Table S</w:t>
      </w:r>
      <w:r w:rsidR="00B5710D" w:rsidRPr="00CD012B">
        <w:rPr>
          <w:rFonts w:ascii="Arial" w:hAnsi="Arial" w:cs="Arial"/>
          <w:b/>
          <w:bCs/>
          <w:sz w:val="22"/>
          <w:szCs w:val="22"/>
          <w:lang w:val="en-US"/>
        </w:rPr>
        <w:t>3</w:t>
      </w:r>
    </w:p>
    <w:p w14:paraId="7004A538" w14:textId="423FF417" w:rsidR="00474D3B" w:rsidRPr="00157E90" w:rsidRDefault="0084365B" w:rsidP="00474D3B">
      <w:pPr>
        <w:rPr>
          <w:rFonts w:ascii="Arial" w:hAnsi="Arial" w:cs="Arial"/>
          <w:b/>
          <w:bCs/>
          <w:sz w:val="20"/>
          <w:szCs w:val="20"/>
          <w:lang w:val="en-US"/>
        </w:rPr>
      </w:pPr>
      <w:r w:rsidRPr="00157E90">
        <w:rPr>
          <w:rFonts w:ascii="Arial" w:hAnsi="Arial" w:cs="Arial"/>
          <w:sz w:val="20"/>
          <w:szCs w:val="20"/>
          <w:lang w:val="en-US"/>
        </w:rPr>
        <w:t>Contingency table comparing the</w:t>
      </w:r>
      <w:r w:rsidRPr="00157E90">
        <w:rPr>
          <w:rFonts w:ascii="Arial" w:hAnsi="Arial" w:cs="Arial"/>
          <w:i/>
          <w:iCs/>
          <w:sz w:val="20"/>
          <w:szCs w:val="20"/>
          <w:lang w:val="en-US"/>
        </w:rPr>
        <w:t xml:space="preserve"> </w:t>
      </w:r>
      <w:proofErr w:type="spellStart"/>
      <w:r w:rsidRPr="00157E90">
        <w:rPr>
          <w:rFonts w:ascii="Arial" w:hAnsi="Arial" w:cs="Arial"/>
          <w:i/>
          <w:iCs/>
          <w:sz w:val="20"/>
          <w:szCs w:val="20"/>
          <w:lang w:val="en-US"/>
        </w:rPr>
        <w:t>ColourSpot</w:t>
      </w:r>
      <w:proofErr w:type="spellEnd"/>
      <w:r w:rsidRPr="00157E90">
        <w:rPr>
          <w:rFonts w:ascii="Arial" w:hAnsi="Arial" w:cs="Arial"/>
          <w:sz w:val="20"/>
          <w:szCs w:val="20"/>
          <w:lang w:val="en-US"/>
        </w:rPr>
        <w:t xml:space="preserve"> classification of CVD and normal color vision with that of the Ishihara Unlettered in the validation cohort</w:t>
      </w:r>
    </w:p>
    <w:tbl>
      <w:tblPr>
        <w:tblStyle w:val="TableGrid"/>
        <w:tblW w:w="0" w:type="auto"/>
        <w:tblInd w:w="2047" w:type="dxa"/>
        <w:tblLook w:val="04A0" w:firstRow="1" w:lastRow="0" w:firstColumn="1" w:lastColumn="0" w:noHBand="0" w:noVBand="1"/>
      </w:tblPr>
      <w:tblGrid>
        <w:gridCol w:w="1635"/>
        <w:gridCol w:w="1904"/>
        <w:gridCol w:w="2126"/>
      </w:tblGrid>
      <w:tr w:rsidR="00474D3B" w:rsidRPr="00157E90" w14:paraId="1147602B" w14:textId="77777777" w:rsidTr="006A60F3">
        <w:tc>
          <w:tcPr>
            <w:tcW w:w="1635" w:type="dxa"/>
            <w:vMerge w:val="restart"/>
            <w:tcBorders>
              <w:left w:val="single" w:sz="4" w:space="0" w:color="FFFFFF" w:themeColor="background1"/>
              <w:right w:val="single" w:sz="4" w:space="0" w:color="FFFFFF" w:themeColor="background1"/>
            </w:tcBorders>
          </w:tcPr>
          <w:p w14:paraId="7D4339E5" w14:textId="77777777" w:rsidR="00474D3B" w:rsidRPr="00157E90" w:rsidRDefault="00474D3B" w:rsidP="006A60F3">
            <w:pPr>
              <w:spacing w:line="240" w:lineRule="auto"/>
              <w:rPr>
                <w:rFonts w:ascii="Arial" w:hAnsi="Arial" w:cs="Arial"/>
                <w:b/>
                <w:bCs/>
                <w:i/>
                <w:iCs/>
                <w:sz w:val="22"/>
                <w:szCs w:val="22"/>
                <w:lang w:val="en-US"/>
              </w:rPr>
            </w:pPr>
            <w:proofErr w:type="spellStart"/>
            <w:r w:rsidRPr="00157E90">
              <w:rPr>
                <w:rFonts w:ascii="Arial" w:hAnsi="Arial" w:cs="Arial"/>
                <w:b/>
                <w:bCs/>
                <w:i/>
                <w:iCs/>
                <w:sz w:val="22"/>
                <w:szCs w:val="22"/>
                <w:lang w:val="en-US"/>
              </w:rPr>
              <w:t>ColourSpot</w:t>
            </w:r>
            <w:proofErr w:type="spellEnd"/>
          </w:p>
        </w:tc>
        <w:tc>
          <w:tcPr>
            <w:tcW w:w="4030" w:type="dxa"/>
            <w:gridSpan w:val="2"/>
            <w:tcBorders>
              <w:left w:val="single" w:sz="4" w:space="0" w:color="FFFFFF" w:themeColor="background1"/>
              <w:right w:val="single" w:sz="4" w:space="0" w:color="FFFFFF" w:themeColor="background1"/>
            </w:tcBorders>
          </w:tcPr>
          <w:p w14:paraId="1710FD68"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Ishihara test for Unlettered Persons</w:t>
            </w:r>
          </w:p>
          <w:p w14:paraId="01D631F6" w14:textId="77777777" w:rsidR="00474D3B" w:rsidRPr="00157E90" w:rsidRDefault="00474D3B" w:rsidP="006A60F3">
            <w:pPr>
              <w:spacing w:line="240" w:lineRule="auto"/>
              <w:rPr>
                <w:rFonts w:ascii="Arial" w:hAnsi="Arial" w:cs="Arial"/>
                <w:b/>
                <w:bCs/>
                <w:sz w:val="22"/>
                <w:szCs w:val="22"/>
                <w:lang w:val="en-US"/>
              </w:rPr>
            </w:pPr>
          </w:p>
        </w:tc>
      </w:tr>
      <w:tr w:rsidR="00474D3B" w:rsidRPr="00157E90" w14:paraId="6547C4C8" w14:textId="77777777" w:rsidTr="006A60F3">
        <w:tc>
          <w:tcPr>
            <w:tcW w:w="1635" w:type="dxa"/>
            <w:vMerge/>
            <w:tcBorders>
              <w:left w:val="single" w:sz="4" w:space="0" w:color="FFFFFF" w:themeColor="background1"/>
              <w:right w:val="single" w:sz="4" w:space="0" w:color="FFFFFF" w:themeColor="background1"/>
            </w:tcBorders>
          </w:tcPr>
          <w:p w14:paraId="7A411521" w14:textId="77777777" w:rsidR="00474D3B" w:rsidRPr="00157E90" w:rsidRDefault="00474D3B" w:rsidP="006A60F3">
            <w:pPr>
              <w:spacing w:line="240" w:lineRule="auto"/>
              <w:rPr>
                <w:rFonts w:ascii="Arial" w:hAnsi="Arial" w:cs="Arial"/>
                <w:b/>
                <w:bCs/>
                <w:sz w:val="22"/>
                <w:szCs w:val="22"/>
                <w:lang w:val="en-US"/>
              </w:rPr>
            </w:pPr>
          </w:p>
        </w:tc>
        <w:tc>
          <w:tcPr>
            <w:tcW w:w="1904" w:type="dxa"/>
            <w:tcBorders>
              <w:left w:val="single" w:sz="4" w:space="0" w:color="FFFFFF" w:themeColor="background1"/>
              <w:right w:val="single" w:sz="4" w:space="0" w:color="FFFFFF" w:themeColor="background1"/>
            </w:tcBorders>
          </w:tcPr>
          <w:p w14:paraId="2DD49D15"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CVD</w:t>
            </w:r>
          </w:p>
        </w:tc>
        <w:tc>
          <w:tcPr>
            <w:tcW w:w="2126" w:type="dxa"/>
            <w:tcBorders>
              <w:left w:val="single" w:sz="4" w:space="0" w:color="FFFFFF" w:themeColor="background1"/>
              <w:right w:val="single" w:sz="4" w:space="0" w:color="FFFFFF" w:themeColor="background1"/>
            </w:tcBorders>
          </w:tcPr>
          <w:p w14:paraId="509AFF7A"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Normal</w:t>
            </w:r>
          </w:p>
        </w:tc>
      </w:tr>
      <w:tr w:rsidR="00474D3B" w:rsidRPr="00157E90" w14:paraId="20BB8F54" w14:textId="77777777" w:rsidTr="006A60F3">
        <w:tc>
          <w:tcPr>
            <w:tcW w:w="1635" w:type="dxa"/>
            <w:tcBorders>
              <w:left w:val="single" w:sz="4" w:space="0" w:color="FFFFFF" w:themeColor="background1"/>
              <w:right w:val="single" w:sz="4" w:space="0" w:color="FFFFFF" w:themeColor="background1"/>
            </w:tcBorders>
          </w:tcPr>
          <w:p w14:paraId="0D552837"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 xml:space="preserve">CVD </w:t>
            </w:r>
          </w:p>
        </w:tc>
        <w:tc>
          <w:tcPr>
            <w:tcW w:w="1904" w:type="dxa"/>
            <w:tcBorders>
              <w:left w:val="single" w:sz="4" w:space="0" w:color="FFFFFF" w:themeColor="background1"/>
              <w:right w:val="single" w:sz="4" w:space="0" w:color="FFFFFF" w:themeColor="background1"/>
            </w:tcBorders>
          </w:tcPr>
          <w:p w14:paraId="16F48D9D"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37</w:t>
            </w:r>
          </w:p>
        </w:tc>
        <w:tc>
          <w:tcPr>
            <w:tcW w:w="2126" w:type="dxa"/>
            <w:tcBorders>
              <w:left w:val="single" w:sz="4" w:space="0" w:color="FFFFFF" w:themeColor="background1"/>
              <w:right w:val="single" w:sz="4" w:space="0" w:color="FFFFFF" w:themeColor="background1"/>
            </w:tcBorders>
          </w:tcPr>
          <w:p w14:paraId="3EE98C63"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3</w:t>
            </w:r>
          </w:p>
        </w:tc>
      </w:tr>
      <w:tr w:rsidR="00474D3B" w:rsidRPr="00157E90" w14:paraId="36F8DE39" w14:textId="77777777" w:rsidTr="006A60F3">
        <w:tc>
          <w:tcPr>
            <w:tcW w:w="1635" w:type="dxa"/>
            <w:tcBorders>
              <w:left w:val="single" w:sz="4" w:space="0" w:color="FFFFFF" w:themeColor="background1"/>
              <w:right w:val="single" w:sz="4" w:space="0" w:color="FFFFFF" w:themeColor="background1"/>
            </w:tcBorders>
          </w:tcPr>
          <w:p w14:paraId="5676496E"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lastRenderedPageBreak/>
              <w:t>Normal</w:t>
            </w:r>
          </w:p>
        </w:tc>
        <w:tc>
          <w:tcPr>
            <w:tcW w:w="1904" w:type="dxa"/>
            <w:tcBorders>
              <w:left w:val="single" w:sz="4" w:space="0" w:color="FFFFFF" w:themeColor="background1"/>
              <w:right w:val="single" w:sz="4" w:space="0" w:color="FFFFFF" w:themeColor="background1"/>
            </w:tcBorders>
          </w:tcPr>
          <w:p w14:paraId="12EBD87B"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0</w:t>
            </w:r>
          </w:p>
        </w:tc>
        <w:tc>
          <w:tcPr>
            <w:tcW w:w="2126" w:type="dxa"/>
            <w:tcBorders>
              <w:left w:val="single" w:sz="4" w:space="0" w:color="FFFFFF" w:themeColor="background1"/>
              <w:right w:val="single" w:sz="4" w:space="0" w:color="FFFFFF" w:themeColor="background1"/>
            </w:tcBorders>
          </w:tcPr>
          <w:p w14:paraId="7CDCA026" w14:textId="77777777" w:rsidR="00474D3B" w:rsidRPr="00157E90" w:rsidRDefault="00474D3B" w:rsidP="006A60F3">
            <w:pPr>
              <w:spacing w:line="240" w:lineRule="auto"/>
              <w:jc w:val="center"/>
              <w:rPr>
                <w:rFonts w:ascii="Arial" w:hAnsi="Arial" w:cs="Arial"/>
                <w:sz w:val="22"/>
                <w:szCs w:val="22"/>
                <w:lang w:val="en-US"/>
              </w:rPr>
            </w:pPr>
            <w:r w:rsidRPr="00157E90">
              <w:rPr>
                <w:rFonts w:ascii="Arial" w:hAnsi="Arial" w:cs="Arial"/>
                <w:sz w:val="22"/>
                <w:szCs w:val="22"/>
                <w:lang w:val="en-US"/>
              </w:rPr>
              <w:t>115</w:t>
            </w:r>
          </w:p>
        </w:tc>
      </w:tr>
      <w:tr w:rsidR="00474D3B" w:rsidRPr="00157E90" w14:paraId="4E3851E2" w14:textId="77777777" w:rsidTr="006A60F3">
        <w:tc>
          <w:tcPr>
            <w:tcW w:w="1635" w:type="dxa"/>
            <w:tcBorders>
              <w:left w:val="single" w:sz="4" w:space="0" w:color="FFFFFF" w:themeColor="background1"/>
              <w:right w:val="single" w:sz="4" w:space="0" w:color="FFFFFF" w:themeColor="background1"/>
            </w:tcBorders>
          </w:tcPr>
          <w:p w14:paraId="0471F379" w14:textId="77777777" w:rsidR="00474D3B" w:rsidRPr="00157E90" w:rsidRDefault="00474D3B" w:rsidP="006A60F3">
            <w:pPr>
              <w:spacing w:line="240" w:lineRule="auto"/>
              <w:rPr>
                <w:rFonts w:ascii="Arial" w:hAnsi="Arial" w:cs="Arial"/>
                <w:b/>
                <w:bCs/>
                <w:sz w:val="22"/>
                <w:szCs w:val="22"/>
                <w:lang w:val="en-US"/>
              </w:rPr>
            </w:pPr>
            <w:r w:rsidRPr="00157E90">
              <w:rPr>
                <w:rFonts w:ascii="Arial" w:hAnsi="Arial" w:cs="Arial"/>
                <w:b/>
                <w:bCs/>
                <w:sz w:val="22"/>
                <w:szCs w:val="22"/>
                <w:lang w:val="en-US"/>
              </w:rPr>
              <w:t>Total</w:t>
            </w:r>
          </w:p>
        </w:tc>
        <w:tc>
          <w:tcPr>
            <w:tcW w:w="1904" w:type="dxa"/>
            <w:tcBorders>
              <w:left w:val="single" w:sz="4" w:space="0" w:color="FFFFFF" w:themeColor="background1"/>
              <w:right w:val="single" w:sz="4" w:space="0" w:color="FFFFFF" w:themeColor="background1"/>
            </w:tcBorders>
          </w:tcPr>
          <w:p w14:paraId="2296165E"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37</w:t>
            </w:r>
          </w:p>
        </w:tc>
        <w:tc>
          <w:tcPr>
            <w:tcW w:w="2126" w:type="dxa"/>
            <w:tcBorders>
              <w:left w:val="single" w:sz="4" w:space="0" w:color="FFFFFF" w:themeColor="background1"/>
              <w:right w:val="single" w:sz="4" w:space="0" w:color="FFFFFF" w:themeColor="background1"/>
            </w:tcBorders>
          </w:tcPr>
          <w:p w14:paraId="72E4CA78" w14:textId="77777777" w:rsidR="00474D3B" w:rsidRPr="00157E90" w:rsidRDefault="00474D3B" w:rsidP="006A60F3">
            <w:pPr>
              <w:spacing w:line="240" w:lineRule="auto"/>
              <w:jc w:val="center"/>
              <w:rPr>
                <w:rFonts w:ascii="Arial" w:hAnsi="Arial" w:cs="Arial"/>
                <w:b/>
                <w:bCs/>
                <w:sz w:val="22"/>
                <w:szCs w:val="22"/>
                <w:lang w:val="en-US"/>
              </w:rPr>
            </w:pPr>
            <w:r w:rsidRPr="00157E90">
              <w:rPr>
                <w:rFonts w:ascii="Arial" w:hAnsi="Arial" w:cs="Arial"/>
                <w:b/>
                <w:bCs/>
                <w:sz w:val="22"/>
                <w:szCs w:val="22"/>
                <w:lang w:val="en-US"/>
              </w:rPr>
              <w:t>118</w:t>
            </w:r>
          </w:p>
        </w:tc>
      </w:tr>
    </w:tbl>
    <w:p w14:paraId="61AA2158" w14:textId="77777777" w:rsidR="00474D3B" w:rsidRPr="00157E90" w:rsidRDefault="00474D3B" w:rsidP="00474D3B">
      <w:pPr>
        <w:ind w:left="1440"/>
        <w:rPr>
          <w:rFonts w:ascii="Arial" w:hAnsi="Arial" w:cs="Arial"/>
          <w:sz w:val="22"/>
          <w:szCs w:val="22"/>
          <w:lang w:val="en-US"/>
        </w:rPr>
      </w:pPr>
    </w:p>
    <w:p w14:paraId="394CA058" w14:textId="47829E0F" w:rsidR="00474D3B" w:rsidRPr="00157E90" w:rsidRDefault="00474D3B" w:rsidP="00474D3B">
      <w:pPr>
        <w:rPr>
          <w:rFonts w:ascii="Arial" w:hAnsi="Arial" w:cs="Arial"/>
          <w:sz w:val="22"/>
          <w:szCs w:val="22"/>
          <w:lang w:val="en-US"/>
        </w:rPr>
      </w:pPr>
    </w:p>
    <w:p w14:paraId="4BB03293" w14:textId="77777777"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Sensitivity= 37/37= 1.00</w:t>
      </w:r>
    </w:p>
    <w:p w14:paraId="41910CBD" w14:textId="77777777"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Specificity= 115/118= 0.97</w:t>
      </w:r>
    </w:p>
    <w:p w14:paraId="74A2989B" w14:textId="77777777" w:rsidR="00474D3B" w:rsidRPr="00157E90" w:rsidRDefault="00474D3B" w:rsidP="00474D3B">
      <w:pPr>
        <w:rPr>
          <w:rFonts w:ascii="Arial" w:hAnsi="Arial" w:cs="Arial"/>
          <w:sz w:val="22"/>
          <w:szCs w:val="22"/>
          <w:lang w:val="en-US"/>
        </w:rPr>
      </w:pPr>
    </w:p>
    <w:p w14:paraId="1CC56C5F" w14:textId="06A88D8D"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 xml:space="preserve">For the validation cohort, </w:t>
      </w:r>
      <w:proofErr w:type="spellStart"/>
      <w:r w:rsidRPr="00157E90">
        <w:rPr>
          <w:rFonts w:ascii="Arial" w:hAnsi="Arial" w:cs="Arial"/>
          <w:i/>
          <w:sz w:val="22"/>
          <w:szCs w:val="22"/>
          <w:lang w:val="en-US"/>
        </w:rPr>
        <w:t>ColourSpot</w:t>
      </w:r>
      <w:proofErr w:type="spellEnd"/>
      <w:r w:rsidRPr="00157E90">
        <w:rPr>
          <w:rFonts w:ascii="Arial" w:hAnsi="Arial" w:cs="Arial"/>
          <w:sz w:val="22"/>
          <w:szCs w:val="22"/>
          <w:lang w:val="en-US"/>
        </w:rPr>
        <w:t xml:space="preserve"> classified </w:t>
      </w:r>
      <w:r w:rsidR="001D19DE" w:rsidRPr="00157E90">
        <w:rPr>
          <w:rFonts w:ascii="Arial" w:hAnsi="Arial" w:cs="Arial"/>
          <w:sz w:val="22"/>
          <w:szCs w:val="22"/>
          <w:lang w:val="en-US"/>
        </w:rPr>
        <w:t xml:space="preserve">three </w:t>
      </w:r>
      <w:r w:rsidRPr="00157E90">
        <w:rPr>
          <w:rFonts w:ascii="Arial" w:hAnsi="Arial" w:cs="Arial"/>
          <w:sz w:val="22"/>
          <w:szCs w:val="22"/>
          <w:lang w:val="en-US"/>
        </w:rPr>
        <w:t xml:space="preserve">participants as having CVD which the Ishihara Unlettered had classified as having normal color vision. Two of these participants lie near the boundary between the normal and CVD group and cannot be classified with confidence. However, it appears that one of these participants (see </w:t>
      </w:r>
      <w:r w:rsidR="00C150F8" w:rsidRPr="00157E90">
        <w:rPr>
          <w:rFonts w:ascii="Arial" w:hAnsi="Arial" w:cs="Arial"/>
          <w:sz w:val="22"/>
          <w:szCs w:val="22"/>
          <w:lang w:val="en-US"/>
        </w:rPr>
        <w:t>Fig.</w:t>
      </w:r>
      <w:r w:rsidRPr="00157E90">
        <w:rPr>
          <w:rFonts w:ascii="Arial" w:hAnsi="Arial" w:cs="Arial"/>
          <w:sz w:val="22"/>
          <w:szCs w:val="22"/>
          <w:lang w:val="en-US"/>
        </w:rPr>
        <w:t xml:space="preserve"> S4 for their psychometric function) was likely a false negative diagnosis by the Ishihara Unlettered (classified as having normal color vision but in fact has CVD). Based on their performance on </w:t>
      </w:r>
      <w:proofErr w:type="spellStart"/>
      <w:r w:rsidRPr="00157E90">
        <w:rPr>
          <w:rFonts w:ascii="Arial" w:hAnsi="Arial" w:cs="Arial"/>
          <w:i/>
          <w:iCs/>
          <w:sz w:val="22"/>
          <w:szCs w:val="22"/>
          <w:lang w:val="en-US"/>
        </w:rPr>
        <w:t>ColourSpot</w:t>
      </w:r>
      <w:proofErr w:type="spellEnd"/>
      <w:r w:rsidRPr="00157E90">
        <w:rPr>
          <w:rFonts w:ascii="Arial" w:hAnsi="Arial" w:cs="Arial"/>
          <w:sz w:val="22"/>
          <w:szCs w:val="22"/>
          <w:lang w:val="en-US"/>
        </w:rPr>
        <w:t xml:space="preserve">, we can see that this participant had much poorer performance for </w:t>
      </w:r>
      <w:proofErr w:type="spellStart"/>
      <w:r w:rsidRPr="00157E90">
        <w:rPr>
          <w:rFonts w:ascii="Arial" w:hAnsi="Arial" w:cs="Arial"/>
          <w:sz w:val="22"/>
          <w:szCs w:val="22"/>
          <w:lang w:val="en-US"/>
        </w:rPr>
        <w:t>protan</w:t>
      </w:r>
      <w:proofErr w:type="spellEnd"/>
      <w:r w:rsidRPr="00157E90">
        <w:rPr>
          <w:rFonts w:ascii="Arial" w:hAnsi="Arial" w:cs="Arial"/>
          <w:sz w:val="22"/>
          <w:szCs w:val="22"/>
          <w:lang w:val="en-US"/>
        </w:rPr>
        <w:t xml:space="preserve"> and </w:t>
      </w:r>
      <w:proofErr w:type="spellStart"/>
      <w:r w:rsidRPr="00157E90">
        <w:rPr>
          <w:rFonts w:ascii="Arial" w:hAnsi="Arial" w:cs="Arial"/>
          <w:sz w:val="22"/>
          <w:szCs w:val="22"/>
          <w:lang w:val="en-US"/>
        </w:rPr>
        <w:t>deutan</w:t>
      </w:r>
      <w:proofErr w:type="spellEnd"/>
      <w:r w:rsidRPr="00157E90">
        <w:rPr>
          <w:rFonts w:ascii="Arial" w:hAnsi="Arial" w:cs="Arial"/>
          <w:sz w:val="22"/>
          <w:szCs w:val="22"/>
          <w:lang w:val="en-US"/>
        </w:rPr>
        <w:t xml:space="preserve"> targets than </w:t>
      </w:r>
      <w:proofErr w:type="spellStart"/>
      <w:r w:rsidRPr="00157E90">
        <w:rPr>
          <w:rFonts w:ascii="Arial" w:hAnsi="Arial" w:cs="Arial"/>
          <w:sz w:val="22"/>
          <w:szCs w:val="22"/>
          <w:lang w:val="en-US"/>
        </w:rPr>
        <w:t>tritan</w:t>
      </w:r>
      <w:proofErr w:type="spellEnd"/>
      <w:r w:rsidRPr="00157E90">
        <w:rPr>
          <w:rFonts w:ascii="Arial" w:hAnsi="Arial" w:cs="Arial"/>
          <w:sz w:val="22"/>
          <w:szCs w:val="22"/>
          <w:lang w:val="en-US"/>
        </w:rPr>
        <w:t>, suggesting that a CVD diagnosis is appropriate.</w:t>
      </w:r>
    </w:p>
    <w:p w14:paraId="5CDB27F1" w14:textId="34C0A846" w:rsidR="00474D3B" w:rsidRPr="00157E90" w:rsidRDefault="007D1F05" w:rsidP="00474D3B">
      <w:pPr>
        <w:jc w:val="center"/>
        <w:rPr>
          <w:rFonts w:ascii="Arial" w:hAnsi="Arial" w:cs="Arial"/>
          <w:sz w:val="22"/>
          <w:szCs w:val="22"/>
          <w:lang w:val="en-US"/>
        </w:rPr>
      </w:pPr>
      <w:r w:rsidRPr="00157E90">
        <w:rPr>
          <w:rFonts w:ascii="Arial" w:hAnsi="Arial" w:cs="Arial"/>
          <w:noProof/>
          <w:sz w:val="22"/>
          <w:szCs w:val="22"/>
          <w:lang w:val="en-US" w:eastAsia="en-US"/>
        </w:rPr>
        <w:drawing>
          <wp:inline distT="0" distB="0" distL="0" distR="0" wp14:anchorId="6EC33237" wp14:editId="1C092FFD">
            <wp:extent cx="3508744" cy="2631752"/>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9486" cy="2647310"/>
                    </a:xfrm>
                    <a:prstGeom prst="rect">
                      <a:avLst/>
                    </a:prstGeom>
                  </pic:spPr>
                </pic:pic>
              </a:graphicData>
            </a:graphic>
          </wp:inline>
        </w:drawing>
      </w:r>
    </w:p>
    <w:p w14:paraId="29D21EA0" w14:textId="77777777" w:rsidR="007D1F05" w:rsidRPr="00157E90" w:rsidRDefault="007D1F05" w:rsidP="00474D3B">
      <w:pPr>
        <w:jc w:val="center"/>
        <w:rPr>
          <w:rFonts w:ascii="Arial" w:hAnsi="Arial" w:cs="Arial"/>
          <w:sz w:val="22"/>
          <w:szCs w:val="22"/>
          <w:lang w:val="en-US"/>
        </w:rPr>
      </w:pPr>
    </w:p>
    <w:p w14:paraId="5E982190" w14:textId="57653433" w:rsidR="00474D3B" w:rsidRPr="00157E90" w:rsidRDefault="00474D3B" w:rsidP="00106353">
      <w:pPr>
        <w:ind w:left="720"/>
        <w:rPr>
          <w:rFonts w:ascii="Arial" w:hAnsi="Arial" w:cs="Arial"/>
          <w:sz w:val="20"/>
          <w:szCs w:val="20"/>
          <w:lang w:val="en-US"/>
        </w:rPr>
      </w:pPr>
      <w:proofErr w:type="gramStart"/>
      <w:r w:rsidRPr="00CD012B">
        <w:rPr>
          <w:rFonts w:ascii="Arial" w:hAnsi="Arial" w:cs="Arial"/>
          <w:b/>
          <w:bCs/>
          <w:sz w:val="20"/>
          <w:szCs w:val="20"/>
          <w:lang w:val="en-US"/>
        </w:rPr>
        <w:lastRenderedPageBreak/>
        <w:t>F</w:t>
      </w:r>
      <w:r w:rsidR="00C150F8" w:rsidRPr="00CD012B">
        <w:rPr>
          <w:rFonts w:ascii="Arial" w:hAnsi="Arial" w:cs="Arial"/>
          <w:b/>
          <w:bCs/>
          <w:sz w:val="20"/>
          <w:szCs w:val="20"/>
          <w:lang w:val="en-US"/>
        </w:rPr>
        <w:t>ig.</w:t>
      </w:r>
      <w:proofErr w:type="gramEnd"/>
      <w:r w:rsidRPr="00CD012B">
        <w:rPr>
          <w:rFonts w:ascii="Arial" w:hAnsi="Arial" w:cs="Arial"/>
          <w:b/>
          <w:bCs/>
          <w:sz w:val="20"/>
          <w:szCs w:val="20"/>
          <w:lang w:val="en-US"/>
        </w:rPr>
        <w:t xml:space="preserve"> S4</w:t>
      </w:r>
      <w:r w:rsidRPr="00157E90">
        <w:rPr>
          <w:rFonts w:ascii="Arial" w:hAnsi="Arial" w:cs="Arial"/>
          <w:sz w:val="20"/>
          <w:szCs w:val="20"/>
          <w:lang w:val="en-US"/>
        </w:rPr>
        <w:t xml:space="preserve"> The psychometric functions of a participant in the validation cohort who was diagnosed as having normal color vision (made no errors) by the Ishihara Unlettered test but was diagnosed as CVD by </w:t>
      </w:r>
      <w:proofErr w:type="spellStart"/>
      <w:r w:rsidRPr="00157E90">
        <w:rPr>
          <w:rFonts w:ascii="Arial" w:hAnsi="Arial" w:cs="Arial"/>
          <w:i/>
          <w:iCs/>
          <w:sz w:val="20"/>
          <w:szCs w:val="20"/>
          <w:lang w:val="en-US"/>
        </w:rPr>
        <w:t>ColourSpot</w:t>
      </w:r>
      <w:proofErr w:type="spellEnd"/>
    </w:p>
    <w:p w14:paraId="0D4C896D" w14:textId="77777777" w:rsidR="00474D3B" w:rsidRPr="00157E90" w:rsidRDefault="00474D3B" w:rsidP="00474D3B">
      <w:pPr>
        <w:rPr>
          <w:rFonts w:ascii="Arial" w:hAnsi="Arial" w:cs="Arial"/>
          <w:b/>
          <w:bCs/>
          <w:sz w:val="22"/>
          <w:szCs w:val="22"/>
          <w:lang w:val="en-US"/>
        </w:rPr>
      </w:pPr>
    </w:p>
    <w:p w14:paraId="4C40D497" w14:textId="03173434" w:rsidR="00474D3B" w:rsidRPr="00157E90" w:rsidRDefault="00474D3B" w:rsidP="00474D3B">
      <w:pPr>
        <w:rPr>
          <w:rFonts w:ascii="Arial" w:hAnsi="Arial" w:cs="Arial"/>
          <w:b/>
          <w:bCs/>
          <w:sz w:val="22"/>
          <w:szCs w:val="22"/>
          <w:lang w:val="en-US"/>
        </w:rPr>
      </w:pPr>
      <w:proofErr w:type="spellStart"/>
      <w:r w:rsidRPr="00157E90">
        <w:rPr>
          <w:rFonts w:ascii="Arial" w:hAnsi="Arial" w:cs="Arial"/>
          <w:b/>
          <w:bCs/>
          <w:sz w:val="22"/>
          <w:szCs w:val="22"/>
          <w:lang w:val="en-US"/>
        </w:rPr>
        <w:t>Neitz</w:t>
      </w:r>
      <w:proofErr w:type="spellEnd"/>
      <w:r w:rsidRPr="00157E90">
        <w:rPr>
          <w:rFonts w:ascii="Arial" w:hAnsi="Arial" w:cs="Arial"/>
          <w:b/>
          <w:bCs/>
          <w:sz w:val="22"/>
          <w:szCs w:val="22"/>
          <w:lang w:val="en-US"/>
        </w:rPr>
        <w:t xml:space="preserve"> Test of Color Vision </w:t>
      </w:r>
    </w:p>
    <w:p w14:paraId="6E289552" w14:textId="6A4CEDC3"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Only 11</w:t>
      </w:r>
      <w:r w:rsidR="00F83069" w:rsidRPr="00157E90">
        <w:rPr>
          <w:rFonts w:ascii="Arial" w:hAnsi="Arial" w:cs="Arial"/>
          <w:sz w:val="22"/>
          <w:szCs w:val="22"/>
          <w:lang w:val="en-US"/>
        </w:rPr>
        <w:t>1</w:t>
      </w:r>
      <w:r w:rsidRPr="00157E90">
        <w:rPr>
          <w:rFonts w:ascii="Arial" w:hAnsi="Arial" w:cs="Arial"/>
          <w:sz w:val="22"/>
          <w:szCs w:val="22"/>
          <w:lang w:val="en-US"/>
        </w:rPr>
        <w:t xml:space="preserve"> boys (47.</w:t>
      </w:r>
      <w:r w:rsidR="00F83069" w:rsidRPr="00157E90">
        <w:rPr>
          <w:rFonts w:ascii="Arial" w:hAnsi="Arial" w:cs="Arial"/>
          <w:sz w:val="22"/>
          <w:szCs w:val="22"/>
          <w:lang w:val="en-US"/>
        </w:rPr>
        <w:t>0</w:t>
      </w:r>
      <w:r w:rsidRPr="00157E90">
        <w:rPr>
          <w:rFonts w:ascii="Arial" w:hAnsi="Arial" w:cs="Arial"/>
          <w:sz w:val="22"/>
          <w:szCs w:val="22"/>
          <w:lang w:val="en-US"/>
        </w:rPr>
        <w:t xml:space="preserve">%) completed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without any errors in the discovery cohort and 24</w:t>
      </w:r>
      <w:r w:rsidR="00F83069" w:rsidRPr="00157E90">
        <w:rPr>
          <w:rFonts w:ascii="Arial" w:hAnsi="Arial" w:cs="Arial"/>
          <w:sz w:val="22"/>
          <w:szCs w:val="22"/>
          <w:lang w:val="en-US"/>
        </w:rPr>
        <w:t>6</w:t>
      </w:r>
      <w:r w:rsidRPr="00157E90">
        <w:rPr>
          <w:rFonts w:ascii="Arial" w:hAnsi="Arial" w:cs="Arial"/>
          <w:sz w:val="22"/>
          <w:szCs w:val="22"/>
          <w:lang w:val="en-US"/>
        </w:rPr>
        <w:t xml:space="preserve"> (4</w:t>
      </w:r>
      <w:r w:rsidR="00F83069" w:rsidRPr="00157E90">
        <w:rPr>
          <w:rFonts w:ascii="Arial" w:hAnsi="Arial" w:cs="Arial"/>
          <w:sz w:val="22"/>
          <w:szCs w:val="22"/>
          <w:lang w:val="en-US"/>
        </w:rPr>
        <w:t>5</w:t>
      </w:r>
      <w:r w:rsidRPr="00157E90">
        <w:rPr>
          <w:rFonts w:ascii="Arial" w:hAnsi="Arial" w:cs="Arial"/>
          <w:sz w:val="22"/>
          <w:szCs w:val="22"/>
          <w:lang w:val="en-US"/>
        </w:rPr>
        <w:t>.</w:t>
      </w:r>
      <w:r w:rsidR="00F83069" w:rsidRPr="00157E90">
        <w:rPr>
          <w:rFonts w:ascii="Arial" w:hAnsi="Arial" w:cs="Arial"/>
          <w:sz w:val="22"/>
          <w:szCs w:val="22"/>
          <w:lang w:val="en-US"/>
        </w:rPr>
        <w:t>9</w:t>
      </w:r>
      <w:r w:rsidRPr="00157E90">
        <w:rPr>
          <w:rFonts w:ascii="Arial" w:hAnsi="Arial" w:cs="Arial"/>
          <w:sz w:val="22"/>
          <w:szCs w:val="22"/>
          <w:lang w:val="en-US"/>
        </w:rPr>
        <w:t xml:space="preserve">%) in the validation cohort. The breakdown of errors </w:t>
      </w:r>
      <w:r w:rsidR="007A4D40" w:rsidRPr="00157E90">
        <w:rPr>
          <w:rFonts w:ascii="Arial" w:hAnsi="Arial" w:cs="Arial"/>
          <w:sz w:val="22"/>
          <w:szCs w:val="22"/>
          <w:lang w:val="en-US"/>
        </w:rPr>
        <w:t xml:space="preserve">by </w:t>
      </w:r>
      <w:r w:rsidRPr="00157E90">
        <w:rPr>
          <w:rFonts w:ascii="Arial" w:hAnsi="Arial" w:cs="Arial"/>
          <w:sz w:val="22"/>
          <w:szCs w:val="22"/>
          <w:lang w:val="en-US"/>
        </w:rPr>
        <w:t xml:space="preserve">type is given in </w:t>
      </w:r>
      <w:r w:rsidR="00C150F8" w:rsidRPr="00157E90">
        <w:rPr>
          <w:rFonts w:ascii="Arial" w:hAnsi="Arial" w:cs="Arial"/>
          <w:sz w:val="22"/>
          <w:szCs w:val="22"/>
          <w:lang w:val="en-US"/>
        </w:rPr>
        <w:t>Fig.</w:t>
      </w:r>
      <w:r w:rsidRPr="00157E90">
        <w:rPr>
          <w:rFonts w:ascii="Arial" w:hAnsi="Arial" w:cs="Arial"/>
          <w:sz w:val="22"/>
          <w:szCs w:val="22"/>
          <w:lang w:val="en-US"/>
        </w:rPr>
        <w:t xml:space="preserve"> S5. The large number of errors is well above th</w:t>
      </w:r>
      <w:r w:rsidR="007A4D40" w:rsidRPr="00157E90">
        <w:rPr>
          <w:rFonts w:ascii="Arial" w:hAnsi="Arial" w:cs="Arial"/>
          <w:sz w:val="22"/>
          <w:szCs w:val="22"/>
          <w:lang w:val="en-US"/>
        </w:rPr>
        <w:t>ose</w:t>
      </w:r>
      <w:r w:rsidRPr="00157E90">
        <w:rPr>
          <w:rFonts w:ascii="Arial" w:hAnsi="Arial" w:cs="Arial"/>
          <w:sz w:val="22"/>
          <w:szCs w:val="22"/>
          <w:lang w:val="en-US"/>
        </w:rPr>
        <w:t xml:space="preserve"> expected </w:t>
      </w:r>
      <w:r w:rsidR="007A4D40" w:rsidRPr="00157E90">
        <w:rPr>
          <w:rFonts w:ascii="Arial" w:hAnsi="Arial" w:cs="Arial"/>
          <w:sz w:val="22"/>
          <w:szCs w:val="22"/>
          <w:lang w:val="en-US"/>
        </w:rPr>
        <w:t xml:space="preserve">from an </w:t>
      </w:r>
      <w:r w:rsidRPr="00157E90">
        <w:rPr>
          <w:rFonts w:ascii="Arial" w:hAnsi="Arial" w:cs="Arial"/>
          <w:sz w:val="22"/>
          <w:szCs w:val="22"/>
          <w:lang w:val="en-US"/>
        </w:rPr>
        <w:t xml:space="preserve">8% male prevalence for CVD, suggesting that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does not have good specificity for detecting CVD.  </w:t>
      </w:r>
    </w:p>
    <w:p w14:paraId="239A23A6" w14:textId="0C49F28F" w:rsidR="00EE519B" w:rsidRPr="00157E90" w:rsidRDefault="006F0ECF" w:rsidP="0042501D">
      <w:pPr>
        <w:jc w:val="center"/>
        <w:rPr>
          <w:rFonts w:ascii="Arial" w:hAnsi="Arial" w:cs="Arial"/>
          <w:lang w:val="en-US" w:eastAsia="en-GB"/>
        </w:rPr>
      </w:pPr>
      <w:r w:rsidRPr="00157E90">
        <w:rPr>
          <w:rFonts w:ascii="Arial" w:hAnsi="Arial" w:cs="Arial"/>
          <w:noProof/>
          <w:lang w:val="en-US" w:eastAsia="en-US"/>
        </w:rPr>
        <w:drawing>
          <wp:inline distT="0" distB="0" distL="0" distR="0" wp14:anchorId="07327E16" wp14:editId="28F1223F">
            <wp:extent cx="5731510" cy="2651125"/>
            <wp:effectExtent l="0" t="0" r="0" b="3175"/>
            <wp:docPr id="4" name="Picture 4"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651125"/>
                    </a:xfrm>
                    <a:prstGeom prst="rect">
                      <a:avLst/>
                    </a:prstGeom>
                  </pic:spPr>
                </pic:pic>
              </a:graphicData>
            </a:graphic>
          </wp:inline>
        </w:drawing>
      </w:r>
    </w:p>
    <w:p w14:paraId="51085B9C" w14:textId="702B018B" w:rsidR="00474D3B" w:rsidRPr="00157E90" w:rsidRDefault="00474D3B" w:rsidP="00474D3B">
      <w:pPr>
        <w:ind w:left="720"/>
        <w:rPr>
          <w:rFonts w:ascii="Arial" w:hAnsi="Arial" w:cs="Arial"/>
          <w:sz w:val="20"/>
          <w:szCs w:val="20"/>
          <w:lang w:val="en-US"/>
        </w:rPr>
      </w:pPr>
      <w:proofErr w:type="gramStart"/>
      <w:r w:rsidRPr="00CD012B">
        <w:rPr>
          <w:rFonts w:ascii="Arial" w:hAnsi="Arial" w:cs="Arial"/>
          <w:b/>
          <w:bCs/>
          <w:sz w:val="20"/>
          <w:szCs w:val="20"/>
          <w:lang w:val="en-US"/>
        </w:rPr>
        <w:t>F</w:t>
      </w:r>
      <w:r w:rsidR="00C150F8" w:rsidRPr="00CD012B">
        <w:rPr>
          <w:rFonts w:ascii="Arial" w:hAnsi="Arial" w:cs="Arial"/>
          <w:b/>
          <w:bCs/>
          <w:sz w:val="20"/>
          <w:szCs w:val="20"/>
          <w:lang w:val="en-US"/>
        </w:rPr>
        <w:t>ig.</w:t>
      </w:r>
      <w:proofErr w:type="gramEnd"/>
      <w:r w:rsidRPr="00CD012B">
        <w:rPr>
          <w:rFonts w:ascii="Arial" w:hAnsi="Arial" w:cs="Arial"/>
          <w:b/>
          <w:bCs/>
          <w:sz w:val="20"/>
          <w:szCs w:val="20"/>
          <w:lang w:val="en-US"/>
        </w:rPr>
        <w:t xml:space="preserve"> S5</w:t>
      </w:r>
      <w:r w:rsidRPr="00157E90">
        <w:rPr>
          <w:rFonts w:ascii="Arial" w:hAnsi="Arial" w:cs="Arial"/>
          <w:i/>
          <w:iCs/>
          <w:sz w:val="20"/>
          <w:szCs w:val="20"/>
          <w:lang w:val="en-US"/>
        </w:rPr>
        <w:t xml:space="preserve"> </w:t>
      </w:r>
      <w:r w:rsidRPr="00157E90">
        <w:rPr>
          <w:rFonts w:ascii="Arial" w:hAnsi="Arial" w:cs="Arial"/>
          <w:sz w:val="20"/>
          <w:szCs w:val="20"/>
          <w:lang w:val="en-US"/>
        </w:rPr>
        <w:t xml:space="preserve">Percentage of participants that made errors of each </w:t>
      </w:r>
      <w:r w:rsidR="007A4D40" w:rsidRPr="00157E90">
        <w:rPr>
          <w:rFonts w:ascii="Arial" w:hAnsi="Arial" w:cs="Arial"/>
          <w:sz w:val="20"/>
          <w:szCs w:val="20"/>
          <w:lang w:val="en-US"/>
        </w:rPr>
        <w:t>type</w:t>
      </w:r>
      <w:r w:rsidRPr="00157E90">
        <w:rPr>
          <w:rFonts w:ascii="Arial" w:hAnsi="Arial" w:cs="Arial"/>
          <w:sz w:val="20"/>
          <w:szCs w:val="20"/>
          <w:lang w:val="en-US"/>
        </w:rPr>
        <w:t xml:space="preserve"> on the </w:t>
      </w:r>
      <w:proofErr w:type="spellStart"/>
      <w:r w:rsidRPr="00157E90">
        <w:rPr>
          <w:rFonts w:ascii="Arial" w:hAnsi="Arial" w:cs="Arial"/>
          <w:sz w:val="20"/>
          <w:szCs w:val="20"/>
          <w:lang w:val="en-US"/>
        </w:rPr>
        <w:t>Neitz</w:t>
      </w:r>
      <w:proofErr w:type="spellEnd"/>
      <w:r w:rsidRPr="00157E90">
        <w:rPr>
          <w:rFonts w:ascii="Arial" w:hAnsi="Arial" w:cs="Arial"/>
          <w:sz w:val="20"/>
          <w:szCs w:val="20"/>
          <w:lang w:val="en-US"/>
        </w:rPr>
        <w:t xml:space="preserve"> Test in the discovery and validation cohorts. </w:t>
      </w:r>
      <w:r w:rsidR="007902E5" w:rsidRPr="00157E90">
        <w:rPr>
          <w:rFonts w:ascii="Arial" w:hAnsi="Arial" w:cs="Arial"/>
          <w:sz w:val="20"/>
          <w:szCs w:val="20"/>
          <w:lang w:val="en-US"/>
        </w:rPr>
        <w:t>“</w:t>
      </w:r>
      <w:r w:rsidRPr="00157E90">
        <w:rPr>
          <w:rFonts w:ascii="Arial" w:hAnsi="Arial" w:cs="Arial"/>
          <w:sz w:val="20"/>
          <w:szCs w:val="20"/>
          <w:lang w:val="en-US"/>
        </w:rPr>
        <w:t xml:space="preserve">Moderately </w:t>
      </w:r>
      <w:proofErr w:type="gramStart"/>
      <w:r w:rsidRPr="00157E90">
        <w:rPr>
          <w:rFonts w:ascii="Arial" w:hAnsi="Arial" w:cs="Arial"/>
          <w:sz w:val="20"/>
          <w:szCs w:val="20"/>
          <w:lang w:val="en-US"/>
        </w:rPr>
        <w:t>Unspecified</w:t>
      </w:r>
      <w:proofErr w:type="gramEnd"/>
      <w:r w:rsidR="007902E5" w:rsidRPr="00157E90">
        <w:rPr>
          <w:rFonts w:ascii="Arial" w:hAnsi="Arial" w:cs="Arial"/>
          <w:sz w:val="20"/>
          <w:szCs w:val="20"/>
          <w:lang w:val="en-US"/>
        </w:rPr>
        <w:t>”</w:t>
      </w:r>
      <w:r w:rsidRPr="00157E90">
        <w:rPr>
          <w:rFonts w:ascii="Arial" w:hAnsi="Arial" w:cs="Arial"/>
          <w:sz w:val="20"/>
          <w:szCs w:val="20"/>
          <w:lang w:val="en-US"/>
        </w:rPr>
        <w:t xml:space="preserve"> is where CVD errors were made but the classification of error type cannot be made, and </w:t>
      </w:r>
      <w:r w:rsidR="007902E5" w:rsidRPr="00157E90">
        <w:rPr>
          <w:rFonts w:ascii="Arial" w:hAnsi="Arial" w:cs="Arial"/>
          <w:sz w:val="20"/>
          <w:szCs w:val="20"/>
          <w:lang w:val="en-US"/>
        </w:rPr>
        <w:t>“</w:t>
      </w:r>
      <w:r w:rsidRPr="00157E90">
        <w:rPr>
          <w:rFonts w:ascii="Arial" w:hAnsi="Arial" w:cs="Arial"/>
          <w:sz w:val="20"/>
          <w:szCs w:val="20"/>
          <w:lang w:val="en-US"/>
        </w:rPr>
        <w:t>Other</w:t>
      </w:r>
      <w:r w:rsidR="007902E5" w:rsidRPr="00157E90">
        <w:rPr>
          <w:rFonts w:ascii="Arial" w:hAnsi="Arial" w:cs="Arial"/>
          <w:sz w:val="20"/>
          <w:szCs w:val="20"/>
          <w:lang w:val="en-US"/>
        </w:rPr>
        <w:t>”</w:t>
      </w:r>
      <w:r w:rsidRPr="00157E90">
        <w:rPr>
          <w:rFonts w:ascii="Arial" w:hAnsi="Arial" w:cs="Arial"/>
          <w:sz w:val="20"/>
          <w:szCs w:val="20"/>
          <w:lang w:val="en-US"/>
        </w:rPr>
        <w:t xml:space="preserve"> is where errors were made that were not classified as a CVD error (e.g., an error due to </w:t>
      </w:r>
      <w:r w:rsidR="00E01F16" w:rsidRPr="00157E90">
        <w:rPr>
          <w:rFonts w:ascii="Arial" w:hAnsi="Arial" w:cs="Arial"/>
          <w:sz w:val="20"/>
          <w:szCs w:val="20"/>
          <w:lang w:val="en-US"/>
        </w:rPr>
        <w:t>misidentification</w:t>
      </w:r>
      <w:r w:rsidRPr="00157E90">
        <w:rPr>
          <w:rFonts w:ascii="Arial" w:hAnsi="Arial" w:cs="Arial"/>
          <w:sz w:val="20"/>
          <w:szCs w:val="20"/>
          <w:lang w:val="en-US"/>
        </w:rPr>
        <w:t xml:space="preserve"> of shape)</w:t>
      </w:r>
    </w:p>
    <w:p w14:paraId="48AF6250" w14:textId="77777777" w:rsidR="00474D3B" w:rsidRPr="00157E90" w:rsidRDefault="00474D3B" w:rsidP="00474D3B">
      <w:pPr>
        <w:rPr>
          <w:rFonts w:ascii="Arial" w:hAnsi="Arial" w:cs="Arial"/>
          <w:sz w:val="22"/>
          <w:szCs w:val="22"/>
          <w:lang w:val="en-US"/>
        </w:rPr>
      </w:pPr>
    </w:p>
    <w:p w14:paraId="0B5B6D75" w14:textId="26A10417" w:rsidR="00474D3B" w:rsidRPr="00157E90" w:rsidRDefault="00474D3B" w:rsidP="00474D3B">
      <w:pPr>
        <w:rPr>
          <w:rFonts w:ascii="Arial" w:hAnsi="Arial" w:cs="Arial"/>
          <w:sz w:val="22"/>
          <w:szCs w:val="22"/>
          <w:lang w:val="en-US"/>
        </w:rPr>
      </w:pPr>
      <w:r w:rsidRPr="00157E90">
        <w:rPr>
          <w:rFonts w:ascii="Arial" w:hAnsi="Arial" w:cs="Arial"/>
          <w:sz w:val="22"/>
          <w:szCs w:val="22"/>
          <w:lang w:val="en-US"/>
        </w:rPr>
        <w:t xml:space="preserve">To further investigate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the scoring classifications </w:t>
      </w:r>
      <w:r w:rsidR="007A4D40" w:rsidRPr="00157E90">
        <w:rPr>
          <w:rFonts w:ascii="Arial" w:hAnsi="Arial" w:cs="Arial"/>
          <w:sz w:val="22"/>
          <w:szCs w:val="22"/>
          <w:lang w:val="en-US"/>
        </w:rPr>
        <w:t>for</w:t>
      </w:r>
      <w:r w:rsidRPr="00157E90">
        <w:rPr>
          <w:rFonts w:ascii="Arial" w:hAnsi="Arial" w:cs="Arial"/>
          <w:sz w:val="22"/>
          <w:szCs w:val="22"/>
          <w:lang w:val="en-US"/>
        </w:rPr>
        <w:t xml:space="preserve">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were compared to those of the Ishihara Unlettered test (</w:t>
      </w:r>
      <w:r w:rsidR="00C150F8" w:rsidRPr="00157E90">
        <w:rPr>
          <w:rFonts w:ascii="Arial" w:hAnsi="Arial" w:cs="Arial"/>
          <w:sz w:val="22"/>
          <w:szCs w:val="22"/>
          <w:lang w:val="en-US"/>
        </w:rPr>
        <w:t>Fig.</w:t>
      </w:r>
      <w:r w:rsidRPr="00157E90">
        <w:rPr>
          <w:rFonts w:ascii="Arial" w:hAnsi="Arial" w:cs="Arial"/>
          <w:sz w:val="22"/>
          <w:szCs w:val="22"/>
          <w:lang w:val="en-US"/>
        </w:rPr>
        <w:t xml:space="preserve"> S6). It can be seen that over 20% of children diagnosed as having normal color vision by the Ishihara Unlettered test (discovery </w:t>
      </w:r>
      <w:r w:rsidRPr="00157E90">
        <w:rPr>
          <w:rFonts w:ascii="Arial" w:hAnsi="Arial" w:cs="Arial"/>
          <w:sz w:val="22"/>
          <w:szCs w:val="22"/>
          <w:lang w:val="en-US"/>
        </w:rPr>
        <w:lastRenderedPageBreak/>
        <w:t xml:space="preserve">and validation control groups) were classified as having </w:t>
      </w:r>
      <w:proofErr w:type="spellStart"/>
      <w:r w:rsidRPr="00157E90">
        <w:rPr>
          <w:rFonts w:ascii="Arial" w:hAnsi="Arial" w:cs="Arial"/>
          <w:sz w:val="22"/>
          <w:szCs w:val="22"/>
          <w:lang w:val="en-US"/>
        </w:rPr>
        <w:t>deutan</w:t>
      </w:r>
      <w:proofErr w:type="spellEnd"/>
      <w:r w:rsidRPr="00157E90">
        <w:rPr>
          <w:rFonts w:ascii="Arial" w:hAnsi="Arial" w:cs="Arial"/>
          <w:sz w:val="22"/>
          <w:szCs w:val="22"/>
          <w:lang w:val="en-US"/>
        </w:rPr>
        <w:t xml:space="preserve"> deficiencies by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Additionally, about 1</w:t>
      </w:r>
      <w:r w:rsidR="00F83069" w:rsidRPr="00157E90">
        <w:rPr>
          <w:rFonts w:ascii="Arial" w:hAnsi="Arial" w:cs="Arial"/>
          <w:sz w:val="22"/>
          <w:szCs w:val="22"/>
          <w:lang w:val="en-US"/>
        </w:rPr>
        <w:t>7</w:t>
      </w:r>
      <w:r w:rsidRPr="00157E90">
        <w:rPr>
          <w:rFonts w:ascii="Arial" w:hAnsi="Arial" w:cs="Arial"/>
          <w:sz w:val="22"/>
          <w:szCs w:val="22"/>
          <w:lang w:val="en-US"/>
        </w:rPr>
        <w:t xml:space="preserve">% of children who were diagnosed as having normal color vision by Ishihara Unlettered test made other errors on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Furthermore, approximately </w:t>
      </w:r>
      <w:r w:rsidR="00F83069" w:rsidRPr="00157E90">
        <w:rPr>
          <w:rFonts w:ascii="Arial" w:hAnsi="Arial" w:cs="Arial"/>
          <w:sz w:val="22"/>
          <w:szCs w:val="22"/>
          <w:lang w:val="en-US"/>
        </w:rPr>
        <w:t>7</w:t>
      </w:r>
      <w:r w:rsidRPr="00157E90">
        <w:rPr>
          <w:rFonts w:ascii="Arial" w:hAnsi="Arial" w:cs="Arial"/>
          <w:sz w:val="22"/>
          <w:szCs w:val="22"/>
          <w:lang w:val="en-US"/>
        </w:rPr>
        <w:t xml:space="preserve">% of children classified as CVD by the Ishihara Unlettered test were classified as having CVD that was “moderately unspecified” by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These comparisons further suggest the </w:t>
      </w:r>
      <w:proofErr w:type="spellStart"/>
      <w:r w:rsidRPr="00157E90">
        <w:rPr>
          <w:rFonts w:ascii="Arial" w:hAnsi="Arial" w:cs="Arial"/>
          <w:sz w:val="22"/>
          <w:szCs w:val="22"/>
          <w:lang w:val="en-US"/>
        </w:rPr>
        <w:t>Neitz</w:t>
      </w:r>
      <w:proofErr w:type="spellEnd"/>
      <w:r w:rsidRPr="00157E90">
        <w:rPr>
          <w:rFonts w:ascii="Arial" w:hAnsi="Arial" w:cs="Arial"/>
          <w:sz w:val="22"/>
          <w:szCs w:val="22"/>
          <w:lang w:val="en-US"/>
        </w:rPr>
        <w:t xml:space="preserve"> Test over</w:t>
      </w:r>
      <w:r w:rsidR="00157E90">
        <w:rPr>
          <w:rFonts w:ascii="Arial" w:hAnsi="Arial" w:cs="Arial"/>
          <w:sz w:val="22"/>
          <w:szCs w:val="22"/>
          <w:lang w:val="en-US"/>
        </w:rPr>
        <w:t>-</w:t>
      </w:r>
      <w:r w:rsidRPr="00157E90">
        <w:rPr>
          <w:rFonts w:ascii="Arial" w:hAnsi="Arial" w:cs="Arial"/>
          <w:sz w:val="22"/>
          <w:szCs w:val="22"/>
          <w:lang w:val="en-US"/>
        </w:rPr>
        <w:t xml:space="preserve">diagnoses young children with CVD.  </w:t>
      </w:r>
      <w:r w:rsidR="006F0ECF" w:rsidRPr="00157E90">
        <w:rPr>
          <w:rFonts w:ascii="Arial" w:hAnsi="Arial" w:cs="Arial"/>
          <w:noProof/>
          <w:sz w:val="22"/>
          <w:szCs w:val="22"/>
          <w:lang w:val="en-US" w:eastAsia="en-US"/>
        </w:rPr>
        <w:drawing>
          <wp:inline distT="0" distB="0" distL="0" distR="0" wp14:anchorId="182C14C5" wp14:editId="54C2342E">
            <wp:extent cx="5731510" cy="2874010"/>
            <wp:effectExtent l="0" t="0" r="0" b="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874010"/>
                    </a:xfrm>
                    <a:prstGeom prst="rect">
                      <a:avLst/>
                    </a:prstGeom>
                  </pic:spPr>
                </pic:pic>
              </a:graphicData>
            </a:graphic>
          </wp:inline>
        </w:drawing>
      </w:r>
    </w:p>
    <w:p w14:paraId="31ACB647" w14:textId="08B8BC67" w:rsidR="00474D3B" w:rsidRPr="00157E90" w:rsidRDefault="00474D3B" w:rsidP="00106353">
      <w:pPr>
        <w:ind w:left="720"/>
        <w:rPr>
          <w:rFonts w:ascii="Arial" w:hAnsi="Arial" w:cs="Arial"/>
          <w:sz w:val="20"/>
          <w:szCs w:val="20"/>
          <w:lang w:val="en-US"/>
        </w:rPr>
      </w:pPr>
      <w:proofErr w:type="gramStart"/>
      <w:r w:rsidRPr="00CD012B">
        <w:rPr>
          <w:rFonts w:ascii="Arial" w:hAnsi="Arial" w:cs="Arial"/>
          <w:b/>
          <w:bCs/>
          <w:sz w:val="20"/>
          <w:szCs w:val="20"/>
          <w:lang w:val="en-US"/>
        </w:rPr>
        <w:t>F</w:t>
      </w:r>
      <w:r w:rsidR="00C150F8" w:rsidRPr="00CD012B">
        <w:rPr>
          <w:rFonts w:ascii="Arial" w:hAnsi="Arial" w:cs="Arial"/>
          <w:b/>
          <w:bCs/>
          <w:sz w:val="20"/>
          <w:szCs w:val="20"/>
          <w:lang w:val="en-US"/>
        </w:rPr>
        <w:t>ig.</w:t>
      </w:r>
      <w:proofErr w:type="gramEnd"/>
      <w:r w:rsidRPr="00CD012B">
        <w:rPr>
          <w:rFonts w:ascii="Arial" w:hAnsi="Arial" w:cs="Arial"/>
          <w:b/>
          <w:bCs/>
          <w:sz w:val="20"/>
          <w:szCs w:val="20"/>
          <w:lang w:val="en-US"/>
        </w:rPr>
        <w:t xml:space="preserve"> S6</w:t>
      </w:r>
      <w:r w:rsidRPr="00157E90">
        <w:rPr>
          <w:rFonts w:ascii="Arial" w:hAnsi="Arial" w:cs="Arial"/>
          <w:i/>
          <w:iCs/>
          <w:sz w:val="20"/>
          <w:szCs w:val="20"/>
          <w:lang w:val="en-US"/>
        </w:rPr>
        <w:t xml:space="preserve"> </w:t>
      </w:r>
      <w:r w:rsidRPr="00157E90">
        <w:rPr>
          <w:rFonts w:ascii="Arial" w:hAnsi="Arial" w:cs="Arial"/>
          <w:sz w:val="20"/>
          <w:szCs w:val="20"/>
          <w:lang w:val="en-US"/>
        </w:rPr>
        <w:t xml:space="preserve">Scoring classifications on the </w:t>
      </w:r>
      <w:proofErr w:type="spellStart"/>
      <w:r w:rsidRPr="00157E90">
        <w:rPr>
          <w:rFonts w:ascii="Arial" w:hAnsi="Arial" w:cs="Arial"/>
          <w:sz w:val="20"/>
          <w:szCs w:val="20"/>
          <w:lang w:val="en-US"/>
        </w:rPr>
        <w:t>Neitz</w:t>
      </w:r>
      <w:proofErr w:type="spellEnd"/>
      <w:r w:rsidRPr="00157E90">
        <w:rPr>
          <w:rFonts w:ascii="Arial" w:hAnsi="Arial" w:cs="Arial"/>
          <w:sz w:val="20"/>
          <w:szCs w:val="20"/>
          <w:lang w:val="en-US"/>
        </w:rPr>
        <w:t xml:space="preserve"> Test against classifications made from the Ishihara Unlettered test in the discovery and validation cohorts</w:t>
      </w:r>
    </w:p>
    <w:p w14:paraId="25EA4C19" w14:textId="6B87FC9D" w:rsidR="001D269C" w:rsidRPr="00157E90" w:rsidRDefault="001D269C" w:rsidP="001D269C">
      <w:pPr>
        <w:rPr>
          <w:rFonts w:ascii="Arial" w:hAnsi="Arial" w:cs="Arial"/>
          <w:sz w:val="22"/>
          <w:szCs w:val="22"/>
          <w:lang w:val="en-US"/>
        </w:rPr>
      </w:pPr>
    </w:p>
    <w:p w14:paraId="5AF303CD" w14:textId="1281CBD4" w:rsidR="008656E6" w:rsidRPr="00157E90" w:rsidRDefault="008656E6" w:rsidP="008656E6">
      <w:pPr>
        <w:jc w:val="center"/>
        <w:rPr>
          <w:rFonts w:ascii="Arial" w:hAnsi="Arial" w:cs="Arial"/>
          <w:b/>
          <w:bCs/>
          <w:i/>
          <w:iCs/>
          <w:sz w:val="22"/>
          <w:szCs w:val="22"/>
          <w:lang w:val="en-US"/>
        </w:rPr>
      </w:pPr>
      <w:r w:rsidRPr="00157E90">
        <w:rPr>
          <w:rFonts w:ascii="Arial" w:hAnsi="Arial" w:cs="Arial"/>
          <w:b/>
          <w:bCs/>
          <w:i/>
          <w:iCs/>
          <w:sz w:val="22"/>
          <w:szCs w:val="22"/>
          <w:lang w:val="en-US"/>
        </w:rPr>
        <w:t>References</w:t>
      </w:r>
    </w:p>
    <w:p w14:paraId="55051121" w14:textId="3D36D0CA" w:rsidR="00674D51" w:rsidRPr="00157E90" w:rsidRDefault="008656E6" w:rsidP="00674D51">
      <w:pPr>
        <w:widowControl w:val="0"/>
        <w:autoSpaceDE w:val="0"/>
        <w:autoSpaceDN w:val="0"/>
        <w:adjustRightInd w:val="0"/>
        <w:ind w:left="480" w:hanging="480"/>
        <w:rPr>
          <w:rFonts w:ascii="Arial" w:hAnsi="Arial" w:cs="Arial"/>
          <w:sz w:val="22"/>
          <w:lang w:val="en-US"/>
        </w:rPr>
      </w:pPr>
      <w:r w:rsidRPr="00157E90">
        <w:rPr>
          <w:rFonts w:ascii="Arial" w:hAnsi="Arial" w:cs="Arial"/>
          <w:color w:val="0070C0"/>
          <w:sz w:val="22"/>
          <w:szCs w:val="22"/>
          <w:lang w:val="en-US"/>
        </w:rPr>
        <w:fldChar w:fldCharType="begin" w:fldLock="1"/>
      </w:r>
      <w:r w:rsidRPr="00157E90">
        <w:rPr>
          <w:rFonts w:ascii="Arial" w:hAnsi="Arial" w:cs="Arial"/>
          <w:color w:val="0070C0"/>
          <w:sz w:val="22"/>
          <w:szCs w:val="22"/>
          <w:lang w:val="en-US"/>
        </w:rPr>
        <w:instrText xml:space="preserve">ADDIN Mendeley Bibliography CSL_BIBLIOGRAPHY </w:instrText>
      </w:r>
      <w:r w:rsidRPr="00157E90">
        <w:rPr>
          <w:rFonts w:ascii="Arial" w:hAnsi="Arial" w:cs="Arial"/>
          <w:color w:val="0070C0"/>
          <w:sz w:val="22"/>
          <w:szCs w:val="22"/>
          <w:lang w:val="en-US"/>
        </w:rPr>
        <w:fldChar w:fldCharType="separate"/>
      </w:r>
      <w:r w:rsidR="00674D51" w:rsidRPr="00157E90">
        <w:rPr>
          <w:rFonts w:ascii="Arial" w:hAnsi="Arial" w:cs="Arial"/>
          <w:sz w:val="22"/>
          <w:lang w:val="en-US"/>
        </w:rPr>
        <w:t xml:space="preserve">Barbur, J., &amp; Rodriguez-Carmona, M. (2015). Color vision changes in normal aging. In A. J. Elliott, M. D. Fairchild, &amp; A. Franklin (Eds.), </w:t>
      </w:r>
      <w:r w:rsidR="00674D51" w:rsidRPr="00157E90">
        <w:rPr>
          <w:rFonts w:ascii="Arial" w:hAnsi="Arial" w:cs="Arial"/>
          <w:i/>
          <w:iCs/>
          <w:sz w:val="22"/>
          <w:lang w:val="en-US"/>
        </w:rPr>
        <w:t>Handbook of Color Psychology</w:t>
      </w:r>
      <w:r w:rsidR="00674D51" w:rsidRPr="00157E90">
        <w:rPr>
          <w:rFonts w:ascii="Arial" w:hAnsi="Arial" w:cs="Arial"/>
          <w:sz w:val="22"/>
          <w:lang w:val="en-US"/>
        </w:rPr>
        <w:t xml:space="preserve"> (pp. 180–196). Cambridge University Press. https://doi.org/10.1017/CBO9781107337930.009</w:t>
      </w:r>
    </w:p>
    <w:p w14:paraId="3E6F04BE"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Birch, J. (1997). Efficiency of the Ishihara test for identifying red-green colour deficiency. </w:t>
      </w:r>
      <w:r w:rsidRPr="00157E90">
        <w:rPr>
          <w:rFonts w:ascii="Arial" w:hAnsi="Arial" w:cs="Arial"/>
          <w:i/>
          <w:iCs/>
          <w:sz w:val="22"/>
          <w:lang w:val="en-US"/>
        </w:rPr>
        <w:t>Ophthalmic and Physiological Optics</w:t>
      </w:r>
      <w:r w:rsidRPr="00157E90">
        <w:rPr>
          <w:rFonts w:ascii="Arial" w:hAnsi="Arial" w:cs="Arial"/>
          <w:sz w:val="22"/>
          <w:lang w:val="en-US"/>
        </w:rPr>
        <w:t xml:space="preserve">, </w:t>
      </w:r>
      <w:r w:rsidRPr="00157E90">
        <w:rPr>
          <w:rFonts w:ascii="Arial" w:hAnsi="Arial" w:cs="Arial"/>
          <w:i/>
          <w:iCs/>
          <w:sz w:val="22"/>
          <w:lang w:val="en-US"/>
        </w:rPr>
        <w:t>17</w:t>
      </w:r>
      <w:r w:rsidRPr="00157E90">
        <w:rPr>
          <w:rFonts w:ascii="Arial" w:hAnsi="Arial" w:cs="Arial"/>
          <w:sz w:val="22"/>
          <w:lang w:val="en-US"/>
        </w:rPr>
        <w:t>(5), 403–408. https://doi.org/10.1046/j.1475-1313.1997.97000227.x</w:t>
      </w:r>
    </w:p>
    <w:p w14:paraId="4415BA20"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lastRenderedPageBreak/>
        <w:t xml:space="preserve">Birch, J., &amp; McKeever, L. (1993). Survey of the accuracy of new pseudoisochromatic plates. </w:t>
      </w:r>
      <w:r w:rsidRPr="00157E90">
        <w:rPr>
          <w:rFonts w:ascii="Arial" w:hAnsi="Arial" w:cs="Arial"/>
          <w:i/>
          <w:iCs/>
          <w:sz w:val="22"/>
          <w:lang w:val="en-US"/>
        </w:rPr>
        <w:t>Ophthalmic &amp; Physiological Optics : The Journal of the British College of Ophthalmic Opticians (Optometrists)</w:t>
      </w:r>
      <w:r w:rsidRPr="00157E90">
        <w:rPr>
          <w:rFonts w:ascii="Arial" w:hAnsi="Arial" w:cs="Arial"/>
          <w:sz w:val="22"/>
          <w:lang w:val="en-US"/>
        </w:rPr>
        <w:t xml:space="preserve">, </w:t>
      </w:r>
      <w:r w:rsidRPr="00157E90">
        <w:rPr>
          <w:rFonts w:ascii="Arial" w:hAnsi="Arial" w:cs="Arial"/>
          <w:i/>
          <w:iCs/>
          <w:sz w:val="22"/>
          <w:lang w:val="en-US"/>
        </w:rPr>
        <w:t>13</w:t>
      </w:r>
      <w:r w:rsidRPr="00157E90">
        <w:rPr>
          <w:rFonts w:ascii="Arial" w:hAnsi="Arial" w:cs="Arial"/>
          <w:sz w:val="22"/>
          <w:lang w:val="en-US"/>
        </w:rPr>
        <w:t>(1), 35–40. https://doi.org/10.1111/j.1475-1313.1993.tb00423.x</w:t>
      </w:r>
    </w:p>
    <w:p w14:paraId="109233F2"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Birch, J., &amp; Platts, C. (1993). Colour vision screening in children: an evaluation of three pseudoisochromatic tests. </w:t>
      </w:r>
      <w:r w:rsidRPr="00157E90">
        <w:rPr>
          <w:rFonts w:ascii="Arial" w:hAnsi="Arial" w:cs="Arial"/>
          <w:i/>
          <w:iCs/>
          <w:sz w:val="22"/>
          <w:lang w:val="en-US"/>
        </w:rPr>
        <w:t>Ophthalmic and Physiological Optics</w:t>
      </w:r>
      <w:r w:rsidRPr="00157E90">
        <w:rPr>
          <w:rFonts w:ascii="Arial" w:hAnsi="Arial" w:cs="Arial"/>
          <w:sz w:val="22"/>
          <w:lang w:val="en-US"/>
        </w:rPr>
        <w:t xml:space="preserve">, </w:t>
      </w:r>
      <w:r w:rsidRPr="00157E90">
        <w:rPr>
          <w:rFonts w:ascii="Arial" w:hAnsi="Arial" w:cs="Arial"/>
          <w:i/>
          <w:iCs/>
          <w:sz w:val="22"/>
          <w:lang w:val="en-US"/>
        </w:rPr>
        <w:t>13</w:t>
      </w:r>
      <w:r w:rsidRPr="00157E90">
        <w:rPr>
          <w:rFonts w:ascii="Arial" w:hAnsi="Arial" w:cs="Arial"/>
          <w:sz w:val="22"/>
          <w:lang w:val="en-US"/>
        </w:rPr>
        <w:t>(4), 344–349. https://doi.org/10.1111/j.1475-1313.1993.tb00489.x</w:t>
      </w:r>
    </w:p>
    <w:p w14:paraId="53DF87FB"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Choi, S. Y., &amp; Hwang, J. M. (2009). Ishihara test in 3- to 6-year-old children. </w:t>
      </w:r>
      <w:r w:rsidRPr="00157E90">
        <w:rPr>
          <w:rFonts w:ascii="Arial" w:hAnsi="Arial" w:cs="Arial"/>
          <w:i/>
          <w:iCs/>
          <w:sz w:val="22"/>
          <w:lang w:val="en-US"/>
        </w:rPr>
        <w:t>Japanese Journal of Ophthalmology</w:t>
      </w:r>
      <w:r w:rsidRPr="00157E90">
        <w:rPr>
          <w:rFonts w:ascii="Arial" w:hAnsi="Arial" w:cs="Arial"/>
          <w:sz w:val="22"/>
          <w:lang w:val="en-US"/>
        </w:rPr>
        <w:t xml:space="preserve">, </w:t>
      </w:r>
      <w:r w:rsidRPr="00157E90">
        <w:rPr>
          <w:rFonts w:ascii="Arial" w:hAnsi="Arial" w:cs="Arial"/>
          <w:i/>
          <w:iCs/>
          <w:sz w:val="22"/>
          <w:lang w:val="en-US"/>
        </w:rPr>
        <w:t>53</w:t>
      </w:r>
      <w:r w:rsidRPr="00157E90">
        <w:rPr>
          <w:rFonts w:ascii="Arial" w:hAnsi="Arial" w:cs="Arial"/>
          <w:sz w:val="22"/>
          <w:lang w:val="en-US"/>
        </w:rPr>
        <w:t>(5), 455–457. https://doi.org/10.1007/s10384-009-0716-1</w:t>
      </w:r>
    </w:p>
    <w:p w14:paraId="41708372"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Cole, B. L., Lian, K. Y., &amp; Lakkis, C. (2006). The new Richmond HRR pseudoisochromatic test for colour vision is better than the Ishihara test. </w:t>
      </w:r>
      <w:r w:rsidRPr="00157E90">
        <w:rPr>
          <w:rFonts w:ascii="Arial" w:hAnsi="Arial" w:cs="Arial"/>
          <w:i/>
          <w:iCs/>
          <w:sz w:val="22"/>
          <w:lang w:val="en-US"/>
        </w:rPr>
        <w:t>Clinical and Experimental Optometry</w:t>
      </w:r>
      <w:r w:rsidRPr="00157E90">
        <w:rPr>
          <w:rFonts w:ascii="Arial" w:hAnsi="Arial" w:cs="Arial"/>
          <w:sz w:val="22"/>
          <w:lang w:val="en-US"/>
        </w:rPr>
        <w:t xml:space="preserve">, </w:t>
      </w:r>
      <w:r w:rsidRPr="00157E90">
        <w:rPr>
          <w:rFonts w:ascii="Arial" w:hAnsi="Arial" w:cs="Arial"/>
          <w:i/>
          <w:iCs/>
          <w:sz w:val="22"/>
          <w:lang w:val="en-US"/>
        </w:rPr>
        <w:t>89</w:t>
      </w:r>
      <w:r w:rsidRPr="00157E90">
        <w:rPr>
          <w:rFonts w:ascii="Arial" w:hAnsi="Arial" w:cs="Arial"/>
          <w:sz w:val="22"/>
          <w:lang w:val="en-US"/>
        </w:rPr>
        <w:t>(2), 73–80. https://doi.org/10.1111/j.1444-0938.2006.00015.x</w:t>
      </w:r>
    </w:p>
    <w:p w14:paraId="146F8F6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Cranwell, M. B., Pearce, B., Loveridge, C., &amp; Hurlbert, A. C. (2015). Performance on the Farnsworth-Munsell 100-hue test is significantly related to nonverbal IQ. </w:t>
      </w:r>
      <w:r w:rsidRPr="00157E90">
        <w:rPr>
          <w:rFonts w:ascii="Arial" w:hAnsi="Arial" w:cs="Arial"/>
          <w:i/>
          <w:iCs/>
          <w:sz w:val="22"/>
          <w:lang w:val="en-US"/>
        </w:rPr>
        <w:t>Investigative Ophthalmology and Visual Science</w:t>
      </w:r>
      <w:r w:rsidRPr="00157E90">
        <w:rPr>
          <w:rFonts w:ascii="Arial" w:hAnsi="Arial" w:cs="Arial"/>
          <w:sz w:val="22"/>
          <w:lang w:val="en-US"/>
        </w:rPr>
        <w:t xml:space="preserve">, </w:t>
      </w:r>
      <w:r w:rsidRPr="00157E90">
        <w:rPr>
          <w:rFonts w:ascii="Arial" w:hAnsi="Arial" w:cs="Arial"/>
          <w:i/>
          <w:iCs/>
          <w:sz w:val="22"/>
          <w:lang w:val="en-US"/>
        </w:rPr>
        <w:t>56</w:t>
      </w:r>
      <w:r w:rsidRPr="00157E90">
        <w:rPr>
          <w:rFonts w:ascii="Arial" w:hAnsi="Arial" w:cs="Arial"/>
          <w:sz w:val="22"/>
          <w:lang w:val="en-US"/>
        </w:rPr>
        <w:t>(5), 3171–3178. https://doi.org/10.1167/iovs.14-16094</w:t>
      </w:r>
    </w:p>
    <w:p w14:paraId="16DCED83"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Fanlo Zarazaga, A., Gutiérrez Vásquez, J., &amp; Pueyo Royo, V. (2019). Review of the main colour vision clinical assessment tests. </w:t>
      </w:r>
      <w:r w:rsidRPr="00157E90">
        <w:rPr>
          <w:rFonts w:ascii="Arial" w:hAnsi="Arial" w:cs="Arial"/>
          <w:i/>
          <w:iCs/>
          <w:sz w:val="22"/>
          <w:lang w:val="en-US"/>
        </w:rPr>
        <w:t>Archivos de La Sociedad Espanola de Oftalmologia</w:t>
      </w:r>
      <w:r w:rsidRPr="00157E90">
        <w:rPr>
          <w:rFonts w:ascii="Arial" w:hAnsi="Arial" w:cs="Arial"/>
          <w:sz w:val="22"/>
          <w:lang w:val="en-US"/>
        </w:rPr>
        <w:t xml:space="preserve">, </w:t>
      </w:r>
      <w:r w:rsidRPr="00157E90">
        <w:rPr>
          <w:rFonts w:ascii="Arial" w:hAnsi="Arial" w:cs="Arial"/>
          <w:i/>
          <w:iCs/>
          <w:sz w:val="22"/>
          <w:lang w:val="en-US"/>
        </w:rPr>
        <w:t>94</w:t>
      </w:r>
      <w:r w:rsidRPr="00157E90">
        <w:rPr>
          <w:rFonts w:ascii="Arial" w:hAnsi="Arial" w:cs="Arial"/>
          <w:sz w:val="22"/>
          <w:lang w:val="en-US"/>
        </w:rPr>
        <w:t>(1), 25–32. https://doi.org/10.1016/j.oftal.2018.08.006</w:t>
      </w:r>
    </w:p>
    <w:p w14:paraId="34906992"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Farnsworth, D. (1943). The Farnsworth-Munsell 100-Hue and Dichotomous Tests for Color Vision. </w:t>
      </w:r>
      <w:r w:rsidRPr="00157E90">
        <w:rPr>
          <w:rFonts w:ascii="Arial" w:hAnsi="Arial" w:cs="Arial"/>
          <w:i/>
          <w:iCs/>
          <w:sz w:val="22"/>
          <w:lang w:val="en-US"/>
        </w:rPr>
        <w:t>Journal of the Optical Society of America</w:t>
      </w:r>
      <w:r w:rsidRPr="00157E90">
        <w:rPr>
          <w:rFonts w:ascii="Arial" w:hAnsi="Arial" w:cs="Arial"/>
          <w:sz w:val="22"/>
          <w:lang w:val="en-US"/>
        </w:rPr>
        <w:t xml:space="preserve">, </w:t>
      </w:r>
      <w:r w:rsidRPr="00157E90">
        <w:rPr>
          <w:rFonts w:ascii="Arial" w:hAnsi="Arial" w:cs="Arial"/>
          <w:i/>
          <w:iCs/>
          <w:sz w:val="22"/>
          <w:lang w:val="en-US"/>
        </w:rPr>
        <w:t>33</w:t>
      </w:r>
      <w:r w:rsidRPr="00157E90">
        <w:rPr>
          <w:rFonts w:ascii="Arial" w:hAnsi="Arial" w:cs="Arial"/>
          <w:sz w:val="22"/>
          <w:lang w:val="en-US"/>
        </w:rPr>
        <w:t>(10), 568–578. https://doi.org/10.1364/josa.33.000568</w:t>
      </w:r>
    </w:p>
    <w:p w14:paraId="232EDB9C"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Fletcher, R. (1984). The City University Colour Vision Test. </w:t>
      </w:r>
      <w:r w:rsidRPr="00157E90">
        <w:rPr>
          <w:rFonts w:ascii="Arial" w:hAnsi="Arial" w:cs="Arial"/>
          <w:i/>
          <w:iCs/>
          <w:sz w:val="22"/>
          <w:lang w:val="en-US"/>
        </w:rPr>
        <w:t>Ophthalmic and Physiological Optics</w:t>
      </w:r>
      <w:r w:rsidRPr="00157E90">
        <w:rPr>
          <w:rFonts w:ascii="Arial" w:hAnsi="Arial" w:cs="Arial"/>
          <w:sz w:val="22"/>
          <w:lang w:val="en-US"/>
        </w:rPr>
        <w:t xml:space="preserve">, </w:t>
      </w:r>
      <w:r w:rsidRPr="00157E90">
        <w:rPr>
          <w:rFonts w:ascii="Arial" w:hAnsi="Arial" w:cs="Arial"/>
          <w:i/>
          <w:iCs/>
          <w:sz w:val="22"/>
          <w:lang w:val="en-US"/>
        </w:rPr>
        <w:t>4</w:t>
      </w:r>
      <w:r w:rsidRPr="00157E90">
        <w:rPr>
          <w:rFonts w:ascii="Arial" w:hAnsi="Arial" w:cs="Arial"/>
          <w:sz w:val="22"/>
          <w:lang w:val="en-US"/>
        </w:rPr>
        <w:t>(3), 279–279. https://doi.org/10.1111/j.1475-1313.1984.tb00367.x</w:t>
      </w:r>
    </w:p>
    <w:p w14:paraId="57ABB3C8"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Goulart, P. R. K., Bandeira, M. L., Tsubota, D., Oiwa, N. N., Costa, M. F., &amp; Ventura, D. F. </w:t>
      </w:r>
      <w:r w:rsidRPr="00157E90">
        <w:rPr>
          <w:rFonts w:ascii="Arial" w:hAnsi="Arial" w:cs="Arial"/>
          <w:sz w:val="22"/>
          <w:lang w:val="en-US"/>
        </w:rPr>
        <w:lastRenderedPageBreak/>
        <w:t xml:space="preserve">(2008). A computer-controlled color vision test for children based on the Cambridge Colour Test. </w:t>
      </w:r>
      <w:r w:rsidRPr="00157E90">
        <w:rPr>
          <w:rFonts w:ascii="Arial" w:hAnsi="Arial" w:cs="Arial"/>
          <w:i/>
          <w:iCs/>
          <w:sz w:val="22"/>
          <w:lang w:val="en-US"/>
        </w:rPr>
        <w:t>Visual Neuroscience</w:t>
      </w:r>
      <w:r w:rsidRPr="00157E90">
        <w:rPr>
          <w:rFonts w:ascii="Arial" w:hAnsi="Arial" w:cs="Arial"/>
          <w:sz w:val="22"/>
          <w:lang w:val="en-US"/>
        </w:rPr>
        <w:t xml:space="preserve">, </w:t>
      </w:r>
      <w:r w:rsidRPr="00157E90">
        <w:rPr>
          <w:rFonts w:ascii="Arial" w:hAnsi="Arial" w:cs="Arial"/>
          <w:i/>
          <w:iCs/>
          <w:sz w:val="22"/>
          <w:lang w:val="en-US"/>
        </w:rPr>
        <w:t>25</w:t>
      </w:r>
      <w:r w:rsidRPr="00157E90">
        <w:rPr>
          <w:rFonts w:ascii="Arial" w:hAnsi="Arial" w:cs="Arial"/>
          <w:sz w:val="22"/>
          <w:lang w:val="en-US"/>
        </w:rPr>
        <w:t>(3), 445–450. https://doi.org/10.1017/S0952523808080589</w:t>
      </w:r>
    </w:p>
    <w:p w14:paraId="711CDDC3"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Hardy, L. H., Rand, G., &amp; Rittler, M. C. (1954). H–R–R Polychromatic Plates. </w:t>
      </w:r>
      <w:r w:rsidRPr="00157E90">
        <w:rPr>
          <w:rFonts w:ascii="Arial" w:hAnsi="Arial" w:cs="Arial"/>
          <w:i/>
          <w:iCs/>
          <w:sz w:val="22"/>
          <w:lang w:val="en-US"/>
        </w:rPr>
        <w:t>Journal of the Optical Society of America</w:t>
      </w:r>
      <w:r w:rsidRPr="00157E90">
        <w:rPr>
          <w:rFonts w:ascii="Arial" w:hAnsi="Arial" w:cs="Arial"/>
          <w:sz w:val="22"/>
          <w:lang w:val="en-US"/>
        </w:rPr>
        <w:t xml:space="preserve">, </w:t>
      </w:r>
      <w:r w:rsidRPr="00157E90">
        <w:rPr>
          <w:rFonts w:ascii="Arial" w:hAnsi="Arial" w:cs="Arial"/>
          <w:i/>
          <w:iCs/>
          <w:sz w:val="22"/>
          <w:lang w:val="en-US"/>
        </w:rPr>
        <w:t>44</w:t>
      </w:r>
      <w:r w:rsidRPr="00157E90">
        <w:rPr>
          <w:rFonts w:ascii="Arial" w:hAnsi="Arial" w:cs="Arial"/>
          <w:sz w:val="22"/>
          <w:lang w:val="en-US"/>
        </w:rPr>
        <w:t>(7), 509–523. https://doi.org/10.1364/josa.44.000509</w:t>
      </w:r>
    </w:p>
    <w:p w14:paraId="7B74876F"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Haskett, M. K., &amp; Hovis, J. K. (1987). Comparison of the standard pseudoisochromatic plates to the Ishihara color vision test. </w:t>
      </w:r>
      <w:r w:rsidRPr="00157E90">
        <w:rPr>
          <w:rFonts w:ascii="Arial" w:hAnsi="Arial" w:cs="Arial"/>
          <w:i/>
          <w:iCs/>
          <w:sz w:val="22"/>
          <w:lang w:val="en-US"/>
        </w:rPr>
        <w:t>Optometry and Vision Science</w:t>
      </w:r>
      <w:r w:rsidRPr="00157E90">
        <w:rPr>
          <w:rFonts w:ascii="Arial" w:hAnsi="Arial" w:cs="Arial"/>
          <w:sz w:val="22"/>
          <w:lang w:val="en-US"/>
        </w:rPr>
        <w:t xml:space="preserve">, </w:t>
      </w:r>
      <w:r w:rsidRPr="00157E90">
        <w:rPr>
          <w:rFonts w:ascii="Arial" w:hAnsi="Arial" w:cs="Arial"/>
          <w:i/>
          <w:iCs/>
          <w:sz w:val="22"/>
          <w:lang w:val="en-US"/>
        </w:rPr>
        <w:t>64</w:t>
      </w:r>
      <w:r w:rsidRPr="00157E90">
        <w:rPr>
          <w:rFonts w:ascii="Arial" w:hAnsi="Arial" w:cs="Arial"/>
          <w:sz w:val="22"/>
          <w:lang w:val="en-US"/>
        </w:rPr>
        <w:t>(3), 211–216. https://doi.org/10.1097/00006324-198703000-00008</w:t>
      </w:r>
    </w:p>
    <w:p w14:paraId="407CA86F"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Ichikawa, H., Hukami, K., Tanabe, S., &amp; Kawakami, G. (1979). Standard Pseudoisochromatic Plates Part 2. </w:t>
      </w:r>
      <w:r w:rsidRPr="00157E90">
        <w:rPr>
          <w:rFonts w:ascii="Arial" w:hAnsi="Arial" w:cs="Arial"/>
          <w:i/>
          <w:iCs/>
          <w:sz w:val="22"/>
          <w:lang w:val="en-US"/>
        </w:rPr>
        <w:t>Clinical and Experimental Optometry</w:t>
      </w:r>
      <w:r w:rsidRPr="00157E90">
        <w:rPr>
          <w:rFonts w:ascii="Arial" w:hAnsi="Arial" w:cs="Arial"/>
          <w:sz w:val="22"/>
          <w:lang w:val="en-US"/>
        </w:rPr>
        <w:t xml:space="preserve">, </w:t>
      </w:r>
      <w:r w:rsidRPr="00157E90">
        <w:rPr>
          <w:rFonts w:ascii="Arial" w:hAnsi="Arial" w:cs="Arial"/>
          <w:i/>
          <w:iCs/>
          <w:sz w:val="22"/>
          <w:lang w:val="en-US"/>
        </w:rPr>
        <w:t>62</w:t>
      </w:r>
      <w:r w:rsidRPr="00157E90">
        <w:rPr>
          <w:rFonts w:ascii="Arial" w:hAnsi="Arial" w:cs="Arial"/>
          <w:sz w:val="22"/>
          <w:lang w:val="en-US"/>
        </w:rPr>
        <w:t>, 362. https://doi.org/10.1111/j.1444-0938.1979.tb02331.x</w:t>
      </w:r>
    </w:p>
    <w:p w14:paraId="09566E9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Ishihara, S. (1917). </w:t>
      </w:r>
      <w:r w:rsidRPr="00157E90">
        <w:rPr>
          <w:rFonts w:ascii="Arial" w:hAnsi="Arial" w:cs="Arial"/>
          <w:i/>
          <w:iCs/>
          <w:sz w:val="22"/>
          <w:lang w:val="en-US"/>
        </w:rPr>
        <w:t>Tests for color-blindness</w:t>
      </w:r>
      <w:r w:rsidRPr="00157E90">
        <w:rPr>
          <w:rFonts w:ascii="Arial" w:hAnsi="Arial" w:cs="Arial"/>
          <w:sz w:val="22"/>
          <w:lang w:val="en-US"/>
        </w:rPr>
        <w:t>. Handaya.</w:t>
      </w:r>
    </w:p>
    <w:p w14:paraId="53DD362D"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Ishihara, S. (1974). </w:t>
      </w:r>
      <w:r w:rsidRPr="00157E90">
        <w:rPr>
          <w:rFonts w:ascii="Arial" w:hAnsi="Arial" w:cs="Arial"/>
          <w:i/>
          <w:iCs/>
          <w:sz w:val="22"/>
          <w:lang w:val="en-US"/>
        </w:rPr>
        <w:t>Tests for Colour-Blindness</w:t>
      </w:r>
      <w:r w:rsidRPr="00157E90">
        <w:rPr>
          <w:rFonts w:ascii="Arial" w:hAnsi="Arial" w:cs="Arial"/>
          <w:sz w:val="22"/>
          <w:lang w:val="en-US"/>
        </w:rPr>
        <w:t>. Kanehara Shuppan.</w:t>
      </w:r>
    </w:p>
    <w:p w14:paraId="6874335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Ishihara, S. (1989). </w:t>
      </w:r>
      <w:r w:rsidRPr="00157E90">
        <w:rPr>
          <w:rFonts w:ascii="Arial" w:hAnsi="Arial" w:cs="Arial"/>
          <w:i/>
          <w:iCs/>
          <w:sz w:val="22"/>
          <w:lang w:val="en-US"/>
        </w:rPr>
        <w:t>The series of plates designed as a test for colour-deficiency</w:t>
      </w:r>
      <w:r w:rsidRPr="00157E90">
        <w:rPr>
          <w:rFonts w:ascii="Arial" w:hAnsi="Arial" w:cs="Arial"/>
          <w:sz w:val="22"/>
          <w:lang w:val="en-US"/>
        </w:rPr>
        <w:t>. Kanehara.</w:t>
      </w:r>
    </w:p>
    <w:p w14:paraId="4CE2660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Jurasevska, K., Ozolinsh, M., Fomins, S., Gutmane, A., Zutere, B., Pausus, A., &amp; Karitans, V. (2014). Color-discrimination threshold determination using pseudoisochromatic test plates. </w:t>
      </w:r>
      <w:r w:rsidRPr="00157E90">
        <w:rPr>
          <w:rFonts w:ascii="Arial" w:hAnsi="Arial" w:cs="Arial"/>
          <w:i/>
          <w:iCs/>
          <w:sz w:val="22"/>
          <w:lang w:val="en-US"/>
        </w:rPr>
        <w:t>Frontiers in Psychology</w:t>
      </w:r>
      <w:r w:rsidRPr="00157E90">
        <w:rPr>
          <w:rFonts w:ascii="Arial" w:hAnsi="Arial" w:cs="Arial"/>
          <w:sz w:val="22"/>
          <w:lang w:val="en-US"/>
        </w:rPr>
        <w:t xml:space="preserve">, </w:t>
      </w:r>
      <w:r w:rsidRPr="00157E90">
        <w:rPr>
          <w:rFonts w:ascii="Arial" w:hAnsi="Arial" w:cs="Arial"/>
          <w:i/>
          <w:iCs/>
          <w:sz w:val="22"/>
          <w:lang w:val="en-US"/>
        </w:rPr>
        <w:t>5</w:t>
      </w:r>
      <w:r w:rsidRPr="00157E90">
        <w:rPr>
          <w:rFonts w:ascii="Arial" w:hAnsi="Arial" w:cs="Arial"/>
          <w:sz w:val="22"/>
          <w:lang w:val="en-US"/>
        </w:rPr>
        <w:t>, 1–7. https://doi.org/10.3389/fpsyg.2014.01376</w:t>
      </w:r>
    </w:p>
    <w:p w14:paraId="2470D0B8"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Kinnear, P. R., &amp; Sahraie, A. (2002). New Farnsworth-Munsell 100 hue test norms of normal observers for each year of age 5-22 and for age decades 30-70. </w:t>
      </w:r>
      <w:r w:rsidRPr="00157E90">
        <w:rPr>
          <w:rFonts w:ascii="Arial" w:hAnsi="Arial" w:cs="Arial"/>
          <w:i/>
          <w:iCs/>
          <w:sz w:val="22"/>
          <w:lang w:val="en-US"/>
        </w:rPr>
        <w:t>British Journal of Ophthalmology</w:t>
      </w:r>
      <w:r w:rsidRPr="00157E90">
        <w:rPr>
          <w:rFonts w:ascii="Arial" w:hAnsi="Arial" w:cs="Arial"/>
          <w:sz w:val="22"/>
          <w:lang w:val="en-US"/>
        </w:rPr>
        <w:t xml:space="preserve">, </w:t>
      </w:r>
      <w:r w:rsidRPr="00157E90">
        <w:rPr>
          <w:rFonts w:ascii="Arial" w:hAnsi="Arial" w:cs="Arial"/>
          <w:i/>
          <w:iCs/>
          <w:sz w:val="22"/>
          <w:lang w:val="en-US"/>
        </w:rPr>
        <w:t>86</w:t>
      </w:r>
      <w:r w:rsidRPr="00157E90">
        <w:rPr>
          <w:rFonts w:ascii="Arial" w:hAnsi="Arial" w:cs="Arial"/>
          <w:sz w:val="22"/>
          <w:lang w:val="en-US"/>
        </w:rPr>
        <w:t>(12), 1408–1411. https://doi.org/10.1136/bjo.86.12.1408</w:t>
      </w:r>
    </w:p>
    <w:p w14:paraId="1703E2D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Lanthony, P. (1978). The desaturated panel D-15. </w:t>
      </w:r>
      <w:r w:rsidRPr="00157E90">
        <w:rPr>
          <w:rFonts w:ascii="Arial" w:hAnsi="Arial" w:cs="Arial"/>
          <w:i/>
          <w:iCs/>
          <w:sz w:val="22"/>
          <w:lang w:val="en-US"/>
        </w:rPr>
        <w:t>Documenta Ophthalmologica</w:t>
      </w:r>
      <w:r w:rsidRPr="00157E90">
        <w:rPr>
          <w:rFonts w:ascii="Arial" w:hAnsi="Arial" w:cs="Arial"/>
          <w:sz w:val="22"/>
          <w:lang w:val="en-US"/>
        </w:rPr>
        <w:t xml:space="preserve">, </w:t>
      </w:r>
      <w:r w:rsidRPr="00157E90">
        <w:rPr>
          <w:rFonts w:ascii="Arial" w:hAnsi="Arial" w:cs="Arial"/>
          <w:i/>
          <w:iCs/>
          <w:sz w:val="22"/>
          <w:lang w:val="en-US"/>
        </w:rPr>
        <w:t>46</w:t>
      </w:r>
      <w:r w:rsidRPr="00157E90">
        <w:rPr>
          <w:rFonts w:ascii="Arial" w:hAnsi="Arial" w:cs="Arial"/>
          <w:sz w:val="22"/>
          <w:lang w:val="en-US"/>
        </w:rPr>
        <w:t>(1), 185–189. https://doi.org/10.1007/BF00174107</w:t>
      </w:r>
    </w:p>
    <w:p w14:paraId="0B21E3DE"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Linksz, A. (1966). The Farnsworth panel D-15 test. </w:t>
      </w:r>
      <w:r w:rsidRPr="00157E90">
        <w:rPr>
          <w:rFonts w:ascii="Arial" w:hAnsi="Arial" w:cs="Arial"/>
          <w:i/>
          <w:iCs/>
          <w:sz w:val="22"/>
          <w:lang w:val="en-US"/>
        </w:rPr>
        <w:t>American Journal of Ophthalmology</w:t>
      </w:r>
      <w:r w:rsidRPr="00157E90">
        <w:rPr>
          <w:rFonts w:ascii="Arial" w:hAnsi="Arial" w:cs="Arial"/>
          <w:sz w:val="22"/>
          <w:lang w:val="en-US"/>
        </w:rPr>
        <w:t xml:space="preserve">, </w:t>
      </w:r>
      <w:r w:rsidRPr="00157E90">
        <w:rPr>
          <w:rFonts w:ascii="Arial" w:hAnsi="Arial" w:cs="Arial"/>
          <w:i/>
          <w:iCs/>
          <w:sz w:val="22"/>
          <w:lang w:val="en-US"/>
        </w:rPr>
        <w:t>62</w:t>
      </w:r>
      <w:r w:rsidRPr="00157E90">
        <w:rPr>
          <w:rFonts w:ascii="Arial" w:hAnsi="Arial" w:cs="Arial"/>
          <w:sz w:val="22"/>
          <w:lang w:val="en-US"/>
        </w:rPr>
        <w:t>(1), 27–37. https://doi.org/10.1016/0002-9394(66)91673-4</w:t>
      </w:r>
    </w:p>
    <w:p w14:paraId="2E2F7100"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lastRenderedPageBreak/>
        <w:t xml:space="preserve">Mäntyjärvi, M. (1987). An Evaluation of the Standard Pseudoisochromatic Plates (SPP 1) in Clinical Use. In G. Verriest (Ed.), </w:t>
      </w:r>
      <w:r w:rsidRPr="00157E90">
        <w:rPr>
          <w:rFonts w:ascii="Arial" w:hAnsi="Arial" w:cs="Arial"/>
          <w:i/>
          <w:iCs/>
          <w:sz w:val="22"/>
          <w:lang w:val="en-US"/>
        </w:rPr>
        <w:t>Colour Vision Deficiencies VIII. Documenta Ophthalmologica Proceedings Series</w:t>
      </w:r>
      <w:r w:rsidRPr="00157E90">
        <w:rPr>
          <w:rFonts w:ascii="Arial" w:hAnsi="Arial" w:cs="Arial"/>
          <w:sz w:val="22"/>
          <w:lang w:val="en-US"/>
        </w:rPr>
        <w:t xml:space="preserve"> (pp. 125–131). Springer. https://doi.org/10.1007/978-94-009-4275-2_18</w:t>
      </w:r>
    </w:p>
    <w:p w14:paraId="6D0ECD10"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Mäntyjärvi, M. (1991a). Colour Vision Testing in Pre-School-Aged Children. </w:t>
      </w:r>
      <w:r w:rsidRPr="00157E90">
        <w:rPr>
          <w:rFonts w:ascii="Arial" w:hAnsi="Arial" w:cs="Arial"/>
          <w:i/>
          <w:iCs/>
          <w:sz w:val="22"/>
          <w:lang w:val="en-US"/>
        </w:rPr>
        <w:t>Ophthalmologica</w:t>
      </w:r>
      <w:r w:rsidRPr="00157E90">
        <w:rPr>
          <w:rFonts w:ascii="Arial" w:hAnsi="Arial" w:cs="Arial"/>
          <w:sz w:val="22"/>
          <w:lang w:val="en-US"/>
        </w:rPr>
        <w:t xml:space="preserve">, </w:t>
      </w:r>
      <w:r w:rsidRPr="00157E90">
        <w:rPr>
          <w:rFonts w:ascii="Arial" w:hAnsi="Arial" w:cs="Arial"/>
          <w:i/>
          <w:iCs/>
          <w:sz w:val="22"/>
          <w:lang w:val="en-US"/>
        </w:rPr>
        <w:t>202</w:t>
      </w:r>
      <w:r w:rsidRPr="00157E90">
        <w:rPr>
          <w:rFonts w:ascii="Arial" w:hAnsi="Arial" w:cs="Arial"/>
          <w:sz w:val="22"/>
          <w:lang w:val="en-US"/>
        </w:rPr>
        <w:t>(3), 147–151. https://doi.org/10.1159/000310196</w:t>
      </w:r>
    </w:p>
    <w:p w14:paraId="6BDDC443"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Mäntyjärvi, M. (1991b). Velhagen Pflügertrident pseudoisochromatic plates in screening congenital red-green vision defects. </w:t>
      </w:r>
      <w:r w:rsidRPr="00157E90">
        <w:rPr>
          <w:rFonts w:ascii="Arial" w:hAnsi="Arial" w:cs="Arial"/>
          <w:i/>
          <w:iCs/>
          <w:sz w:val="22"/>
          <w:lang w:val="en-US"/>
        </w:rPr>
        <w:t>Graefe’s Archive for Clinical and Experimental Ophthalmology</w:t>
      </w:r>
      <w:r w:rsidRPr="00157E90">
        <w:rPr>
          <w:rFonts w:ascii="Arial" w:hAnsi="Arial" w:cs="Arial"/>
          <w:sz w:val="22"/>
          <w:lang w:val="en-US"/>
        </w:rPr>
        <w:t xml:space="preserve">, </w:t>
      </w:r>
      <w:r w:rsidRPr="00157E90">
        <w:rPr>
          <w:rFonts w:ascii="Arial" w:hAnsi="Arial" w:cs="Arial"/>
          <w:i/>
          <w:iCs/>
          <w:sz w:val="22"/>
          <w:lang w:val="en-US"/>
        </w:rPr>
        <w:t>229</w:t>
      </w:r>
      <w:r w:rsidRPr="00157E90">
        <w:rPr>
          <w:rFonts w:ascii="Arial" w:hAnsi="Arial" w:cs="Arial"/>
          <w:sz w:val="22"/>
          <w:lang w:val="en-US"/>
        </w:rPr>
        <w:t>(2), 145–146. https://doi.org/10.1007/bf00170546</w:t>
      </w:r>
    </w:p>
    <w:p w14:paraId="35BF3C72"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Marechal, M., Delbarre, M., Tesson, J., Lacambre, C., Lefebvre, H., &amp; Froussart-Maille, F. (2018). Color vision tests in pilots’ medical assessments. </w:t>
      </w:r>
      <w:r w:rsidRPr="00157E90">
        <w:rPr>
          <w:rFonts w:ascii="Arial" w:hAnsi="Arial" w:cs="Arial"/>
          <w:i/>
          <w:iCs/>
          <w:sz w:val="22"/>
          <w:lang w:val="en-US"/>
        </w:rPr>
        <w:t>Aerospace Medicine and Human Performance</w:t>
      </w:r>
      <w:r w:rsidRPr="00157E90">
        <w:rPr>
          <w:rFonts w:ascii="Arial" w:hAnsi="Arial" w:cs="Arial"/>
          <w:sz w:val="22"/>
          <w:lang w:val="en-US"/>
        </w:rPr>
        <w:t xml:space="preserve">, </w:t>
      </w:r>
      <w:r w:rsidRPr="00157E90">
        <w:rPr>
          <w:rFonts w:ascii="Arial" w:hAnsi="Arial" w:cs="Arial"/>
          <w:i/>
          <w:iCs/>
          <w:sz w:val="22"/>
          <w:lang w:val="en-US"/>
        </w:rPr>
        <w:t>89</w:t>
      </w:r>
      <w:r w:rsidRPr="00157E90">
        <w:rPr>
          <w:rFonts w:ascii="Arial" w:hAnsi="Arial" w:cs="Arial"/>
          <w:sz w:val="22"/>
          <w:lang w:val="en-US"/>
        </w:rPr>
        <w:t>(8), 737–743. https://doi.org/10.3357/AMHP.5009.2018</w:t>
      </w:r>
    </w:p>
    <w:p w14:paraId="047EAFDE"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Nagel, W. A. (1907). I. Zwei Apparate für die augenärztliche Funktionsprüfung. </w:t>
      </w:r>
      <w:r w:rsidRPr="00157E90">
        <w:rPr>
          <w:rFonts w:ascii="Arial" w:hAnsi="Arial" w:cs="Arial"/>
          <w:i/>
          <w:iCs/>
          <w:sz w:val="22"/>
          <w:lang w:val="en-US"/>
        </w:rPr>
        <w:t>Ophthalmologica</w:t>
      </w:r>
      <w:r w:rsidRPr="00157E90">
        <w:rPr>
          <w:rFonts w:ascii="Arial" w:hAnsi="Arial" w:cs="Arial"/>
          <w:sz w:val="22"/>
          <w:lang w:val="en-US"/>
        </w:rPr>
        <w:t xml:space="preserve">, </w:t>
      </w:r>
      <w:r w:rsidRPr="00157E90">
        <w:rPr>
          <w:rFonts w:ascii="Arial" w:hAnsi="Arial" w:cs="Arial"/>
          <w:i/>
          <w:iCs/>
          <w:sz w:val="22"/>
          <w:lang w:val="en-US"/>
        </w:rPr>
        <w:t>17</w:t>
      </w:r>
      <w:r w:rsidRPr="00157E90">
        <w:rPr>
          <w:rFonts w:ascii="Arial" w:hAnsi="Arial" w:cs="Arial"/>
          <w:sz w:val="22"/>
          <w:lang w:val="en-US"/>
        </w:rPr>
        <w:t>(3), 201–222. https://doi.org/10.1159/000291204</w:t>
      </w:r>
    </w:p>
    <w:p w14:paraId="0B2D91F2"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Oliphant, D., &amp; Hovis, J. K. (1998). Comparison of the D-15 and City University (second) color vision tests. </w:t>
      </w:r>
      <w:r w:rsidRPr="00157E90">
        <w:rPr>
          <w:rFonts w:ascii="Arial" w:hAnsi="Arial" w:cs="Arial"/>
          <w:i/>
          <w:iCs/>
          <w:sz w:val="22"/>
          <w:lang w:val="en-US"/>
        </w:rPr>
        <w:t>Vision Research</w:t>
      </w:r>
      <w:r w:rsidRPr="00157E90">
        <w:rPr>
          <w:rFonts w:ascii="Arial" w:hAnsi="Arial" w:cs="Arial"/>
          <w:sz w:val="22"/>
          <w:lang w:val="en-US"/>
        </w:rPr>
        <w:t xml:space="preserve">, </w:t>
      </w:r>
      <w:r w:rsidRPr="00157E90">
        <w:rPr>
          <w:rFonts w:ascii="Arial" w:hAnsi="Arial" w:cs="Arial"/>
          <w:i/>
          <w:iCs/>
          <w:sz w:val="22"/>
          <w:lang w:val="en-US"/>
        </w:rPr>
        <w:t>38</w:t>
      </w:r>
      <w:r w:rsidRPr="00157E90">
        <w:rPr>
          <w:rFonts w:ascii="Arial" w:hAnsi="Arial" w:cs="Arial"/>
          <w:sz w:val="22"/>
          <w:lang w:val="en-US"/>
        </w:rPr>
        <w:t>(21), 3461–3465. https://doi.org/10.1016/S0042-6989(98)00117-5</w:t>
      </w:r>
    </w:p>
    <w:p w14:paraId="6E44B087"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Rabin, J., Gooch, J., &amp; Ivan, D. (2011). Rapid quantification of color vision: The cone contrast test. </w:t>
      </w:r>
      <w:r w:rsidRPr="00157E90">
        <w:rPr>
          <w:rFonts w:ascii="Arial" w:hAnsi="Arial" w:cs="Arial"/>
          <w:i/>
          <w:iCs/>
          <w:sz w:val="22"/>
          <w:lang w:val="en-US"/>
        </w:rPr>
        <w:t>Investigative Ophthalmology and Visual Science</w:t>
      </w:r>
      <w:r w:rsidRPr="00157E90">
        <w:rPr>
          <w:rFonts w:ascii="Arial" w:hAnsi="Arial" w:cs="Arial"/>
          <w:sz w:val="22"/>
          <w:lang w:val="en-US"/>
        </w:rPr>
        <w:t xml:space="preserve">, </w:t>
      </w:r>
      <w:r w:rsidRPr="00157E90">
        <w:rPr>
          <w:rFonts w:ascii="Arial" w:hAnsi="Arial" w:cs="Arial"/>
          <w:i/>
          <w:iCs/>
          <w:sz w:val="22"/>
          <w:lang w:val="en-US"/>
        </w:rPr>
        <w:t>52</w:t>
      </w:r>
      <w:r w:rsidRPr="00157E90">
        <w:rPr>
          <w:rFonts w:ascii="Arial" w:hAnsi="Arial" w:cs="Arial"/>
          <w:sz w:val="22"/>
          <w:lang w:val="en-US"/>
        </w:rPr>
        <w:t>(2), 816–820. https://doi.org/10.1167/iovs.10-6283</w:t>
      </w:r>
    </w:p>
    <w:p w14:paraId="5C350D0C"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Regan, B. C., Reffin, J. P., &amp; Mollon, J. D. (1994). Luminance noise and the rapid determination of discrimination ellipses in colour deficiency. </w:t>
      </w:r>
      <w:r w:rsidRPr="00157E90">
        <w:rPr>
          <w:rFonts w:ascii="Arial" w:hAnsi="Arial" w:cs="Arial"/>
          <w:i/>
          <w:iCs/>
          <w:sz w:val="22"/>
          <w:lang w:val="en-US"/>
        </w:rPr>
        <w:t>Vision Research</w:t>
      </w:r>
      <w:r w:rsidRPr="00157E90">
        <w:rPr>
          <w:rFonts w:ascii="Arial" w:hAnsi="Arial" w:cs="Arial"/>
          <w:sz w:val="22"/>
          <w:lang w:val="en-US"/>
        </w:rPr>
        <w:t xml:space="preserve">, </w:t>
      </w:r>
      <w:r w:rsidRPr="00157E90">
        <w:rPr>
          <w:rFonts w:ascii="Arial" w:hAnsi="Arial" w:cs="Arial"/>
          <w:i/>
          <w:iCs/>
          <w:sz w:val="22"/>
          <w:lang w:val="en-US"/>
        </w:rPr>
        <w:t>34</w:t>
      </w:r>
      <w:r w:rsidRPr="00157E90">
        <w:rPr>
          <w:rFonts w:ascii="Arial" w:hAnsi="Arial" w:cs="Arial"/>
          <w:sz w:val="22"/>
          <w:lang w:val="en-US"/>
        </w:rPr>
        <w:t>(10), 1279–1299. https://doi.org/10.1016/0042-6989(94)90203-8</w:t>
      </w:r>
    </w:p>
    <w:p w14:paraId="7A4275AC"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Seshadri, J., Christensen, J., Lakshminarayanan, V., &amp; Bassi, C. J. (2005). Evaluation of the new web-based “Colour Assessment and Diagnosis” test. </w:t>
      </w:r>
      <w:r w:rsidRPr="00157E90">
        <w:rPr>
          <w:rFonts w:ascii="Arial" w:hAnsi="Arial" w:cs="Arial"/>
          <w:i/>
          <w:iCs/>
          <w:sz w:val="22"/>
          <w:lang w:val="en-US"/>
        </w:rPr>
        <w:t xml:space="preserve">Optometry and Vision </w:t>
      </w:r>
      <w:r w:rsidRPr="00157E90">
        <w:rPr>
          <w:rFonts w:ascii="Arial" w:hAnsi="Arial" w:cs="Arial"/>
          <w:i/>
          <w:iCs/>
          <w:sz w:val="22"/>
          <w:lang w:val="en-US"/>
        </w:rPr>
        <w:lastRenderedPageBreak/>
        <w:t>Science</w:t>
      </w:r>
      <w:r w:rsidRPr="00157E90">
        <w:rPr>
          <w:rFonts w:ascii="Arial" w:hAnsi="Arial" w:cs="Arial"/>
          <w:sz w:val="22"/>
          <w:lang w:val="en-US"/>
        </w:rPr>
        <w:t xml:space="preserve">, </w:t>
      </w:r>
      <w:r w:rsidRPr="00157E90">
        <w:rPr>
          <w:rFonts w:ascii="Arial" w:hAnsi="Arial" w:cs="Arial"/>
          <w:i/>
          <w:iCs/>
          <w:sz w:val="22"/>
          <w:lang w:val="en-US"/>
        </w:rPr>
        <w:t>82</w:t>
      </w:r>
      <w:r w:rsidRPr="00157E90">
        <w:rPr>
          <w:rFonts w:ascii="Arial" w:hAnsi="Arial" w:cs="Arial"/>
          <w:sz w:val="22"/>
          <w:lang w:val="en-US"/>
        </w:rPr>
        <w:t>(10), 882–885. https://doi.org/10.1097/01.opx.0000182211.48498.4e</w:t>
      </w:r>
    </w:p>
    <w:p w14:paraId="62A9526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Shinomori, K., Panorgias, A., &amp; Werner, J. S. (2016). Discrimination thresholds of normal and anomalous trichromats: Model of senescent changes in ocular media density on the Cambridge Colour Test. </w:t>
      </w:r>
      <w:r w:rsidRPr="00157E90">
        <w:rPr>
          <w:rFonts w:ascii="Arial" w:hAnsi="Arial" w:cs="Arial"/>
          <w:i/>
          <w:iCs/>
          <w:sz w:val="22"/>
          <w:lang w:val="en-US"/>
        </w:rPr>
        <w:t>Journal of the Optical Society of America A</w:t>
      </w:r>
      <w:r w:rsidRPr="00157E90">
        <w:rPr>
          <w:rFonts w:ascii="Arial" w:hAnsi="Arial" w:cs="Arial"/>
          <w:sz w:val="22"/>
          <w:lang w:val="en-US"/>
        </w:rPr>
        <w:t xml:space="preserve">, </w:t>
      </w:r>
      <w:r w:rsidRPr="00157E90">
        <w:rPr>
          <w:rFonts w:ascii="Arial" w:hAnsi="Arial" w:cs="Arial"/>
          <w:i/>
          <w:iCs/>
          <w:sz w:val="22"/>
          <w:lang w:val="en-US"/>
        </w:rPr>
        <w:t>33</w:t>
      </w:r>
      <w:r w:rsidRPr="00157E90">
        <w:rPr>
          <w:rFonts w:ascii="Arial" w:hAnsi="Arial" w:cs="Arial"/>
          <w:sz w:val="22"/>
          <w:lang w:val="en-US"/>
        </w:rPr>
        <w:t>(3), A65-76. https://doi.org/10.1364/josaa.33.000a65</w:t>
      </w:r>
    </w:p>
    <w:p w14:paraId="14CB0A45"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Shrestha, R. K., &amp; Shrestha, G. S. (2015). Assessment of color vision among school children: A comparative study between the Ishihara test and the Farnsworth D-15 test. </w:t>
      </w:r>
      <w:r w:rsidRPr="00157E90">
        <w:rPr>
          <w:rFonts w:ascii="Arial" w:hAnsi="Arial" w:cs="Arial"/>
          <w:i/>
          <w:iCs/>
          <w:sz w:val="22"/>
          <w:lang w:val="en-US"/>
        </w:rPr>
        <w:t>Journal of the Nepal Medical Association</w:t>
      </w:r>
      <w:r w:rsidRPr="00157E90">
        <w:rPr>
          <w:rFonts w:ascii="Arial" w:hAnsi="Arial" w:cs="Arial"/>
          <w:sz w:val="22"/>
          <w:lang w:val="en-US"/>
        </w:rPr>
        <w:t xml:space="preserve">, </w:t>
      </w:r>
      <w:r w:rsidRPr="00157E90">
        <w:rPr>
          <w:rFonts w:ascii="Arial" w:hAnsi="Arial" w:cs="Arial"/>
          <w:i/>
          <w:iCs/>
          <w:sz w:val="22"/>
          <w:lang w:val="en-US"/>
        </w:rPr>
        <w:t>53</w:t>
      </w:r>
      <w:r w:rsidRPr="00157E90">
        <w:rPr>
          <w:rFonts w:ascii="Arial" w:hAnsi="Arial" w:cs="Arial"/>
          <w:sz w:val="22"/>
          <w:lang w:val="en-US"/>
        </w:rPr>
        <w:t>(200), 266–269. https://doi.org/10.31729/jnma.2743</w:t>
      </w:r>
    </w:p>
    <w:p w14:paraId="4C55AC2B"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Tanabe, S., Ichikawa, H., Hukami, K., &amp; Kawakami, G. (1978). New pseudoisochromatic plates for congenital color vision defects. </w:t>
      </w:r>
      <w:r w:rsidRPr="00157E90">
        <w:rPr>
          <w:rFonts w:ascii="Arial" w:hAnsi="Arial" w:cs="Arial"/>
          <w:i/>
          <w:iCs/>
          <w:sz w:val="22"/>
          <w:lang w:val="en-US"/>
        </w:rPr>
        <w:t>Japanese Journal of Clinical Ophthalmology</w:t>
      </w:r>
      <w:r w:rsidRPr="00157E90">
        <w:rPr>
          <w:rFonts w:ascii="Arial" w:hAnsi="Arial" w:cs="Arial"/>
          <w:sz w:val="22"/>
          <w:lang w:val="en-US"/>
        </w:rPr>
        <w:t xml:space="preserve">, </w:t>
      </w:r>
      <w:r w:rsidRPr="00157E90">
        <w:rPr>
          <w:rFonts w:ascii="Arial" w:hAnsi="Arial" w:cs="Arial"/>
          <w:i/>
          <w:iCs/>
          <w:sz w:val="22"/>
          <w:lang w:val="en-US"/>
        </w:rPr>
        <w:t>32</w:t>
      </w:r>
      <w:r w:rsidRPr="00157E90">
        <w:rPr>
          <w:rFonts w:ascii="Arial" w:hAnsi="Arial" w:cs="Arial"/>
          <w:sz w:val="22"/>
          <w:lang w:val="en-US"/>
        </w:rPr>
        <w:t>(3), 479–487.</w:t>
      </w:r>
    </w:p>
    <w:p w14:paraId="0DBAC2D1"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Velhagen, K. (1980). </w:t>
      </w:r>
      <w:r w:rsidRPr="00157E90">
        <w:rPr>
          <w:rFonts w:ascii="Arial" w:hAnsi="Arial" w:cs="Arial"/>
          <w:i/>
          <w:iCs/>
          <w:sz w:val="22"/>
          <w:lang w:val="en-US"/>
        </w:rPr>
        <w:t>Pflügerhaken-Tafeln zur Prüfung des Farbensinnes</w:t>
      </w:r>
      <w:r w:rsidRPr="00157E90">
        <w:rPr>
          <w:rFonts w:ascii="Arial" w:hAnsi="Arial" w:cs="Arial"/>
          <w:sz w:val="22"/>
          <w:lang w:val="en-US"/>
        </w:rPr>
        <w:t>. Thieme, Leipzig.</w:t>
      </w:r>
    </w:p>
    <w:p w14:paraId="50D0938E"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Ventura, D., Rodrigues, A., Moura, A., Vargas, A., Costa, M., de Souza, J., &amp; Silveira, L. (2002). Color Discrimination Measured by the Cambridge Colour Vision Test (CCVT) in Children and Adults. </w:t>
      </w:r>
      <w:r w:rsidRPr="00157E90">
        <w:rPr>
          <w:rFonts w:ascii="Arial" w:hAnsi="Arial" w:cs="Arial"/>
          <w:i/>
          <w:iCs/>
          <w:sz w:val="22"/>
          <w:lang w:val="en-US"/>
        </w:rPr>
        <w:t>Investigative Ophthalmology &amp; Visual Science</w:t>
      </w:r>
      <w:r w:rsidRPr="00157E90">
        <w:rPr>
          <w:rFonts w:ascii="Arial" w:hAnsi="Arial" w:cs="Arial"/>
          <w:sz w:val="22"/>
          <w:lang w:val="en-US"/>
        </w:rPr>
        <w:t xml:space="preserve">, </w:t>
      </w:r>
      <w:r w:rsidRPr="00157E90">
        <w:rPr>
          <w:rFonts w:ascii="Arial" w:hAnsi="Arial" w:cs="Arial"/>
          <w:i/>
          <w:iCs/>
          <w:sz w:val="22"/>
          <w:lang w:val="en-US"/>
        </w:rPr>
        <w:t>43</w:t>
      </w:r>
      <w:r w:rsidRPr="00157E90">
        <w:rPr>
          <w:rFonts w:ascii="Arial" w:hAnsi="Arial" w:cs="Arial"/>
          <w:sz w:val="22"/>
          <w:lang w:val="en-US"/>
        </w:rPr>
        <w:t>(13), 3796.</w:t>
      </w:r>
    </w:p>
    <w:p w14:paraId="6CB9A14C"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Verriest, G. (1982). Colour vision tests in children. </w:t>
      </w:r>
      <w:r w:rsidRPr="00157E90">
        <w:rPr>
          <w:rFonts w:ascii="Arial" w:hAnsi="Arial" w:cs="Arial"/>
          <w:i/>
          <w:iCs/>
          <w:sz w:val="22"/>
          <w:lang w:val="en-US"/>
        </w:rPr>
        <w:t>Documenta Ophthalmologica Proceedings Series</w:t>
      </w:r>
      <w:r w:rsidRPr="00157E90">
        <w:rPr>
          <w:rFonts w:ascii="Arial" w:hAnsi="Arial" w:cs="Arial"/>
          <w:sz w:val="22"/>
          <w:lang w:val="en-US"/>
        </w:rPr>
        <w:t xml:space="preserve">, </w:t>
      </w:r>
      <w:r w:rsidRPr="00157E90">
        <w:rPr>
          <w:rFonts w:ascii="Arial" w:hAnsi="Arial" w:cs="Arial"/>
          <w:i/>
          <w:iCs/>
          <w:sz w:val="22"/>
          <w:lang w:val="en-US"/>
        </w:rPr>
        <w:t>33</w:t>
      </w:r>
      <w:r w:rsidRPr="00157E90">
        <w:rPr>
          <w:rFonts w:ascii="Arial" w:hAnsi="Arial" w:cs="Arial"/>
          <w:sz w:val="22"/>
          <w:lang w:val="en-US"/>
        </w:rPr>
        <w:t>, 175–178.</w:t>
      </w:r>
    </w:p>
    <w:p w14:paraId="286DE456" w14:textId="77777777" w:rsidR="00674D51" w:rsidRPr="00157E90" w:rsidRDefault="00674D51" w:rsidP="00674D51">
      <w:pPr>
        <w:widowControl w:val="0"/>
        <w:autoSpaceDE w:val="0"/>
        <w:autoSpaceDN w:val="0"/>
        <w:adjustRightInd w:val="0"/>
        <w:ind w:left="480" w:hanging="480"/>
        <w:rPr>
          <w:rFonts w:ascii="Arial" w:hAnsi="Arial" w:cs="Arial"/>
          <w:sz w:val="22"/>
          <w:lang w:val="en-US"/>
        </w:rPr>
      </w:pPr>
      <w:r w:rsidRPr="00157E90">
        <w:rPr>
          <w:rFonts w:ascii="Arial" w:hAnsi="Arial" w:cs="Arial"/>
          <w:sz w:val="22"/>
          <w:lang w:val="en-US"/>
        </w:rPr>
        <w:t xml:space="preserve">Żychaluk, K., &amp; Foster, D. H. (2009). Model-free estimation of the psychometric function. </w:t>
      </w:r>
      <w:r w:rsidRPr="00157E90">
        <w:rPr>
          <w:rFonts w:ascii="Arial" w:hAnsi="Arial" w:cs="Arial"/>
          <w:i/>
          <w:iCs/>
          <w:sz w:val="22"/>
          <w:lang w:val="en-US"/>
        </w:rPr>
        <w:t>Attention, Perception, and Psychophysics</w:t>
      </w:r>
      <w:r w:rsidRPr="00157E90">
        <w:rPr>
          <w:rFonts w:ascii="Arial" w:hAnsi="Arial" w:cs="Arial"/>
          <w:sz w:val="22"/>
          <w:lang w:val="en-US"/>
        </w:rPr>
        <w:t xml:space="preserve">, </w:t>
      </w:r>
      <w:r w:rsidRPr="00157E90">
        <w:rPr>
          <w:rFonts w:ascii="Arial" w:hAnsi="Arial" w:cs="Arial"/>
          <w:i/>
          <w:iCs/>
          <w:sz w:val="22"/>
          <w:lang w:val="en-US"/>
        </w:rPr>
        <w:t>71</w:t>
      </w:r>
      <w:r w:rsidRPr="00157E90">
        <w:rPr>
          <w:rFonts w:ascii="Arial" w:hAnsi="Arial" w:cs="Arial"/>
          <w:sz w:val="22"/>
          <w:lang w:val="en-US"/>
        </w:rPr>
        <w:t>(6), 1414–1425. https://doi.org/10.3758/APP.71.6.1414</w:t>
      </w:r>
    </w:p>
    <w:p w14:paraId="2F4AE1BC" w14:textId="1ADD774F" w:rsidR="006A60F3" w:rsidRPr="00157E90" w:rsidRDefault="008656E6" w:rsidP="00674D51">
      <w:pPr>
        <w:widowControl w:val="0"/>
        <w:autoSpaceDE w:val="0"/>
        <w:autoSpaceDN w:val="0"/>
        <w:adjustRightInd w:val="0"/>
        <w:ind w:left="480" w:hanging="480"/>
        <w:rPr>
          <w:rFonts w:ascii="Arial" w:hAnsi="Arial" w:cs="Arial"/>
          <w:sz w:val="22"/>
          <w:szCs w:val="22"/>
          <w:lang w:val="en-US"/>
        </w:rPr>
      </w:pPr>
      <w:r w:rsidRPr="00157E90">
        <w:rPr>
          <w:rFonts w:ascii="Arial" w:hAnsi="Arial" w:cs="Arial"/>
          <w:color w:val="0070C0"/>
          <w:sz w:val="22"/>
          <w:szCs w:val="22"/>
          <w:lang w:val="en-US"/>
        </w:rPr>
        <w:fldChar w:fldCharType="end"/>
      </w:r>
    </w:p>
    <w:sectPr w:rsidR="006A60F3" w:rsidRPr="00157E90" w:rsidSect="006A60F3">
      <w:footerReference w:type="even" r:id="rId15"/>
      <w:footerReference w:type="default" r:id="rId16"/>
      <w:pgSz w:w="11906" w:h="16838"/>
      <w:pgMar w:top="1440" w:right="1440" w:bottom="1440" w:left="1440"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14A6BA" w16cid:durableId="244FCB9A"/>
  <w16cid:commentId w16cid:paraId="63E6BB42" w16cid:durableId="244FCD9C"/>
  <w16cid:commentId w16cid:paraId="0BA8CEE9" w16cid:durableId="244FD1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67A85" w14:textId="77777777" w:rsidR="004A3E6C" w:rsidRDefault="004A3E6C">
      <w:pPr>
        <w:spacing w:after="0" w:line="240" w:lineRule="auto"/>
      </w:pPr>
      <w:r>
        <w:separator/>
      </w:r>
    </w:p>
  </w:endnote>
  <w:endnote w:type="continuationSeparator" w:id="0">
    <w:p w14:paraId="5357A7C3" w14:textId="77777777" w:rsidR="004A3E6C" w:rsidRDefault="004A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40114792"/>
      <w:docPartObj>
        <w:docPartGallery w:val="Page Numbers (Bottom of Page)"/>
        <w:docPartUnique/>
      </w:docPartObj>
    </w:sdtPr>
    <w:sdtEndPr>
      <w:rPr>
        <w:rStyle w:val="PageNumber"/>
      </w:rPr>
    </w:sdtEndPr>
    <w:sdtContent>
      <w:p w14:paraId="7D2014DC" w14:textId="77777777" w:rsidR="00952EAC" w:rsidRDefault="00952EAC" w:rsidP="006A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CD3049" w14:textId="77777777" w:rsidR="00952EAC" w:rsidRDefault="00952E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61451147"/>
      <w:docPartObj>
        <w:docPartGallery w:val="Page Numbers (Bottom of Page)"/>
        <w:docPartUnique/>
      </w:docPartObj>
    </w:sdtPr>
    <w:sdtEndPr>
      <w:rPr>
        <w:rStyle w:val="PageNumber"/>
      </w:rPr>
    </w:sdtEndPr>
    <w:sdtContent>
      <w:p w14:paraId="4AC9E725" w14:textId="24E7C1B3" w:rsidR="00952EAC" w:rsidRDefault="00952EAC" w:rsidP="006A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6318C">
          <w:rPr>
            <w:rStyle w:val="PageNumber"/>
            <w:noProof/>
          </w:rPr>
          <w:t>12</w:t>
        </w:r>
        <w:r>
          <w:rPr>
            <w:rStyle w:val="PageNumber"/>
          </w:rPr>
          <w:fldChar w:fldCharType="end"/>
        </w:r>
      </w:p>
    </w:sdtContent>
  </w:sdt>
  <w:p w14:paraId="3EB55214" w14:textId="77777777" w:rsidR="00952EAC" w:rsidRDefault="00952E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5C0B6" w14:textId="77777777" w:rsidR="004A3E6C" w:rsidRDefault="004A3E6C">
      <w:pPr>
        <w:spacing w:after="0" w:line="240" w:lineRule="auto"/>
      </w:pPr>
      <w:r>
        <w:separator/>
      </w:r>
    </w:p>
  </w:footnote>
  <w:footnote w:type="continuationSeparator" w:id="0">
    <w:p w14:paraId="26FD52B8" w14:textId="77777777" w:rsidR="004A3E6C" w:rsidRDefault="004A3E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54909"/>
    <w:multiLevelType w:val="hybridMultilevel"/>
    <w:tmpl w:val="650A9F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C6A7B64"/>
    <w:multiLevelType w:val="hybridMultilevel"/>
    <w:tmpl w:val="650A9F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vasv294zztvvefefm5zfzofsrw2rtx00dv&quot;&gt;Colour_library-Saved-Converted&lt;record-ids&gt;&lt;item&gt;14611&lt;/item&gt;&lt;/record-ids&gt;&lt;/item&gt;&lt;/Libraries&gt;"/>
  </w:docVars>
  <w:rsids>
    <w:rsidRoot w:val="00095432"/>
    <w:rsid w:val="000217B9"/>
    <w:rsid w:val="00066F39"/>
    <w:rsid w:val="000716CF"/>
    <w:rsid w:val="00095432"/>
    <w:rsid w:val="000A286E"/>
    <w:rsid w:val="000C6D86"/>
    <w:rsid w:val="000D40A7"/>
    <w:rsid w:val="000D4F4E"/>
    <w:rsid w:val="00106353"/>
    <w:rsid w:val="00140970"/>
    <w:rsid w:val="00150A2B"/>
    <w:rsid w:val="00155435"/>
    <w:rsid w:val="00157E90"/>
    <w:rsid w:val="001819A9"/>
    <w:rsid w:val="001C5E89"/>
    <w:rsid w:val="001D19DE"/>
    <w:rsid w:val="001D269C"/>
    <w:rsid w:val="001E1CB8"/>
    <w:rsid w:val="00253978"/>
    <w:rsid w:val="00284A44"/>
    <w:rsid w:val="00293F85"/>
    <w:rsid w:val="002A271C"/>
    <w:rsid w:val="002B000B"/>
    <w:rsid w:val="002C0A2A"/>
    <w:rsid w:val="002E25CC"/>
    <w:rsid w:val="003300C9"/>
    <w:rsid w:val="003501F0"/>
    <w:rsid w:val="00385EA0"/>
    <w:rsid w:val="003B3E85"/>
    <w:rsid w:val="003B5116"/>
    <w:rsid w:val="003C1A9E"/>
    <w:rsid w:val="004114CD"/>
    <w:rsid w:val="0042501D"/>
    <w:rsid w:val="004379D9"/>
    <w:rsid w:val="00465258"/>
    <w:rsid w:val="00471C25"/>
    <w:rsid w:val="00474D3B"/>
    <w:rsid w:val="004947AF"/>
    <w:rsid w:val="004A3E6C"/>
    <w:rsid w:val="004D0931"/>
    <w:rsid w:val="004D6528"/>
    <w:rsid w:val="004F6682"/>
    <w:rsid w:val="004F778B"/>
    <w:rsid w:val="005334CA"/>
    <w:rsid w:val="0056225F"/>
    <w:rsid w:val="00582F27"/>
    <w:rsid w:val="005855EF"/>
    <w:rsid w:val="005944E7"/>
    <w:rsid w:val="005B0AB1"/>
    <w:rsid w:val="005D22AB"/>
    <w:rsid w:val="005F01B6"/>
    <w:rsid w:val="005F2407"/>
    <w:rsid w:val="0063476B"/>
    <w:rsid w:val="00674D51"/>
    <w:rsid w:val="006A60F3"/>
    <w:rsid w:val="006C2E94"/>
    <w:rsid w:val="006C38A0"/>
    <w:rsid w:val="006D3F35"/>
    <w:rsid w:val="006F0ECF"/>
    <w:rsid w:val="00703531"/>
    <w:rsid w:val="0074376F"/>
    <w:rsid w:val="00775DE2"/>
    <w:rsid w:val="00782409"/>
    <w:rsid w:val="007902E5"/>
    <w:rsid w:val="007A0E52"/>
    <w:rsid w:val="007A4D40"/>
    <w:rsid w:val="007A5857"/>
    <w:rsid w:val="007B24EB"/>
    <w:rsid w:val="007D1F05"/>
    <w:rsid w:val="007D2214"/>
    <w:rsid w:val="007D65D0"/>
    <w:rsid w:val="00812351"/>
    <w:rsid w:val="0081478B"/>
    <w:rsid w:val="00837101"/>
    <w:rsid w:val="0084365B"/>
    <w:rsid w:val="00846B36"/>
    <w:rsid w:val="008656E6"/>
    <w:rsid w:val="0087423A"/>
    <w:rsid w:val="00894564"/>
    <w:rsid w:val="008A218A"/>
    <w:rsid w:val="008B67E8"/>
    <w:rsid w:val="008C4C16"/>
    <w:rsid w:val="008C56C0"/>
    <w:rsid w:val="008C5D05"/>
    <w:rsid w:val="008D7553"/>
    <w:rsid w:val="008F7B7E"/>
    <w:rsid w:val="00901BE8"/>
    <w:rsid w:val="00906AD9"/>
    <w:rsid w:val="00932AE1"/>
    <w:rsid w:val="00942613"/>
    <w:rsid w:val="00943788"/>
    <w:rsid w:val="00952EAC"/>
    <w:rsid w:val="009650CA"/>
    <w:rsid w:val="0097428E"/>
    <w:rsid w:val="009E56D5"/>
    <w:rsid w:val="00A26F6C"/>
    <w:rsid w:val="00A31B71"/>
    <w:rsid w:val="00A3344B"/>
    <w:rsid w:val="00A630CB"/>
    <w:rsid w:val="00A720AE"/>
    <w:rsid w:val="00AA517B"/>
    <w:rsid w:val="00AC0811"/>
    <w:rsid w:val="00AD56E6"/>
    <w:rsid w:val="00AE7CB3"/>
    <w:rsid w:val="00B04762"/>
    <w:rsid w:val="00B32BE1"/>
    <w:rsid w:val="00B33D1D"/>
    <w:rsid w:val="00B36CB5"/>
    <w:rsid w:val="00B55912"/>
    <w:rsid w:val="00B5710D"/>
    <w:rsid w:val="00B64E69"/>
    <w:rsid w:val="00B734B4"/>
    <w:rsid w:val="00B74568"/>
    <w:rsid w:val="00B809E7"/>
    <w:rsid w:val="00B9181D"/>
    <w:rsid w:val="00BA0B33"/>
    <w:rsid w:val="00BC5100"/>
    <w:rsid w:val="00BC5250"/>
    <w:rsid w:val="00BE042A"/>
    <w:rsid w:val="00C13A15"/>
    <w:rsid w:val="00C150F8"/>
    <w:rsid w:val="00C25CAB"/>
    <w:rsid w:val="00C71F23"/>
    <w:rsid w:val="00C73B3B"/>
    <w:rsid w:val="00C77D00"/>
    <w:rsid w:val="00C925D4"/>
    <w:rsid w:val="00CA67D3"/>
    <w:rsid w:val="00CD012B"/>
    <w:rsid w:val="00CD3C27"/>
    <w:rsid w:val="00D00BA2"/>
    <w:rsid w:val="00D0240D"/>
    <w:rsid w:val="00D113D4"/>
    <w:rsid w:val="00D15B52"/>
    <w:rsid w:val="00D17836"/>
    <w:rsid w:val="00D34F68"/>
    <w:rsid w:val="00D41B1C"/>
    <w:rsid w:val="00D51432"/>
    <w:rsid w:val="00D516BC"/>
    <w:rsid w:val="00D71A44"/>
    <w:rsid w:val="00D861C3"/>
    <w:rsid w:val="00DA3E72"/>
    <w:rsid w:val="00DA4450"/>
    <w:rsid w:val="00DB05EB"/>
    <w:rsid w:val="00DB4990"/>
    <w:rsid w:val="00DC3291"/>
    <w:rsid w:val="00E017C9"/>
    <w:rsid w:val="00E01F16"/>
    <w:rsid w:val="00E247E1"/>
    <w:rsid w:val="00E32A35"/>
    <w:rsid w:val="00E33F92"/>
    <w:rsid w:val="00E53DC2"/>
    <w:rsid w:val="00E56675"/>
    <w:rsid w:val="00E622FD"/>
    <w:rsid w:val="00EB57CF"/>
    <w:rsid w:val="00EE1645"/>
    <w:rsid w:val="00EE519B"/>
    <w:rsid w:val="00EE54F2"/>
    <w:rsid w:val="00EF0A48"/>
    <w:rsid w:val="00F133B3"/>
    <w:rsid w:val="00F37517"/>
    <w:rsid w:val="00F6318C"/>
    <w:rsid w:val="00F71E38"/>
    <w:rsid w:val="00F83069"/>
    <w:rsid w:val="00FB5FAC"/>
    <w:rsid w:val="00FB613E"/>
    <w:rsid w:val="00FC36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zh-CN"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432"/>
    <w:rPr>
      <w:rFonts w:ascii="Times New Roman" w:eastAsia="Times New Roman" w:hAnsi="Times New Roman" w:cs="Times New Roman"/>
    </w:rPr>
  </w:style>
  <w:style w:type="paragraph" w:styleId="Heading1">
    <w:name w:val="heading 1"/>
    <w:basedOn w:val="Normal"/>
    <w:next w:val="Normal"/>
    <w:link w:val="Heading1Char"/>
    <w:uiPriority w:val="9"/>
    <w:qFormat/>
    <w:rsid w:val="00EE164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5432"/>
    <w:rPr>
      <w:rFonts w:eastAsiaTheme="minorEastAsia"/>
      <w:sz w:val="18"/>
      <w:szCs w:val="18"/>
    </w:rPr>
  </w:style>
  <w:style w:type="character" w:customStyle="1" w:styleId="BalloonTextChar">
    <w:name w:val="Balloon Text Char"/>
    <w:basedOn w:val="DefaultParagraphFont"/>
    <w:link w:val="BalloonText"/>
    <w:uiPriority w:val="99"/>
    <w:semiHidden/>
    <w:rsid w:val="0009543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95432"/>
    <w:rPr>
      <w:sz w:val="16"/>
      <w:szCs w:val="16"/>
    </w:rPr>
  </w:style>
  <w:style w:type="paragraph" w:styleId="CommentText">
    <w:name w:val="annotation text"/>
    <w:basedOn w:val="Normal"/>
    <w:link w:val="CommentTextChar"/>
    <w:uiPriority w:val="99"/>
    <w:unhideWhenUsed/>
    <w:rsid w:val="00095432"/>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095432"/>
    <w:rPr>
      <w:sz w:val="20"/>
      <w:szCs w:val="20"/>
    </w:rPr>
  </w:style>
  <w:style w:type="table" w:styleId="TableGrid">
    <w:name w:val="Table Grid"/>
    <w:basedOn w:val="TableNormal"/>
    <w:uiPriority w:val="39"/>
    <w:rsid w:val="00095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82F27"/>
    <w:pPr>
      <w:tabs>
        <w:tab w:val="center" w:pos="4513"/>
        <w:tab w:val="right" w:pos="9026"/>
      </w:tabs>
    </w:pPr>
  </w:style>
  <w:style w:type="character" w:customStyle="1" w:styleId="FooterChar">
    <w:name w:val="Footer Char"/>
    <w:basedOn w:val="DefaultParagraphFont"/>
    <w:link w:val="Footer"/>
    <w:uiPriority w:val="99"/>
    <w:rsid w:val="00582F27"/>
    <w:rPr>
      <w:rFonts w:ascii="Times New Roman" w:eastAsia="Times New Roman" w:hAnsi="Times New Roman" w:cs="Times New Roman"/>
    </w:rPr>
  </w:style>
  <w:style w:type="character" w:styleId="PageNumber">
    <w:name w:val="page number"/>
    <w:basedOn w:val="DefaultParagraphFont"/>
    <w:uiPriority w:val="99"/>
    <w:semiHidden/>
    <w:unhideWhenUsed/>
    <w:rsid w:val="00582F27"/>
  </w:style>
  <w:style w:type="character" w:styleId="LineNumber">
    <w:name w:val="line number"/>
    <w:basedOn w:val="DefaultParagraphFont"/>
    <w:uiPriority w:val="99"/>
    <w:semiHidden/>
    <w:unhideWhenUsed/>
    <w:rsid w:val="00582F27"/>
  </w:style>
  <w:style w:type="paragraph" w:styleId="CommentSubject">
    <w:name w:val="annotation subject"/>
    <w:basedOn w:val="CommentText"/>
    <w:next w:val="CommentText"/>
    <w:link w:val="CommentSubjectChar"/>
    <w:uiPriority w:val="99"/>
    <w:semiHidden/>
    <w:unhideWhenUsed/>
    <w:rsid w:val="0084365B"/>
    <w:pPr>
      <w:spacing w:line="240" w:lineRule="auto"/>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4365B"/>
    <w:rPr>
      <w:rFonts w:ascii="Times New Roman" w:eastAsia="Times New Roman" w:hAnsi="Times New Roman" w:cs="Times New Roman"/>
      <w:b/>
      <w:bCs/>
      <w:sz w:val="20"/>
      <w:szCs w:val="20"/>
    </w:rPr>
  </w:style>
  <w:style w:type="paragraph" w:customStyle="1" w:styleId="EndNoteBibliographyTitle">
    <w:name w:val="EndNote Bibliography Title"/>
    <w:basedOn w:val="Normal"/>
    <w:link w:val="EndNoteBibliographyTitleCar"/>
    <w:rsid w:val="00EE1645"/>
    <w:pPr>
      <w:spacing w:after="0"/>
      <w:jc w:val="center"/>
    </w:pPr>
    <w:rPr>
      <w:noProof/>
    </w:rPr>
  </w:style>
  <w:style w:type="character" w:customStyle="1" w:styleId="EndNoteBibliographyTitleCar">
    <w:name w:val="EndNote Bibliography Title Car"/>
    <w:basedOn w:val="DefaultParagraphFont"/>
    <w:link w:val="EndNoteBibliographyTitle"/>
    <w:rsid w:val="00EE1645"/>
    <w:rPr>
      <w:rFonts w:ascii="Times New Roman" w:eastAsia="Times New Roman" w:hAnsi="Times New Roman" w:cs="Times New Roman"/>
      <w:noProof/>
    </w:rPr>
  </w:style>
  <w:style w:type="paragraph" w:customStyle="1" w:styleId="EndNoteBibliography">
    <w:name w:val="EndNote Bibliography"/>
    <w:basedOn w:val="Normal"/>
    <w:link w:val="EndNoteBibliographyCar"/>
    <w:rsid w:val="00EE1645"/>
    <w:pPr>
      <w:spacing w:line="240" w:lineRule="auto"/>
    </w:pPr>
    <w:rPr>
      <w:noProof/>
    </w:rPr>
  </w:style>
  <w:style w:type="character" w:customStyle="1" w:styleId="EndNoteBibliographyCar">
    <w:name w:val="EndNote Bibliography Car"/>
    <w:basedOn w:val="DefaultParagraphFont"/>
    <w:link w:val="EndNoteBibliography"/>
    <w:rsid w:val="00EE1645"/>
    <w:rPr>
      <w:rFonts w:ascii="Times New Roman" w:eastAsia="Times New Roman" w:hAnsi="Times New Roman" w:cs="Times New Roman"/>
      <w:noProof/>
    </w:rPr>
  </w:style>
  <w:style w:type="character" w:customStyle="1" w:styleId="Heading1Char">
    <w:name w:val="Heading 1 Char"/>
    <w:basedOn w:val="DefaultParagraphFont"/>
    <w:link w:val="Heading1"/>
    <w:uiPriority w:val="9"/>
    <w:rsid w:val="00EE1645"/>
    <w:rPr>
      <w:rFonts w:asciiTheme="majorHAnsi" w:eastAsiaTheme="majorEastAsia" w:hAnsiTheme="majorHAnsi" w:cstheme="majorBidi"/>
      <w:b/>
      <w:bCs/>
      <w:color w:val="2F5496" w:themeColor="accent1" w:themeShade="BF"/>
      <w:sz w:val="28"/>
      <w:szCs w:val="28"/>
      <w:lang w:val="en-US" w:eastAsia="en-US" w:bidi="en-US"/>
    </w:rPr>
  </w:style>
  <w:style w:type="paragraph" w:styleId="ListParagraph">
    <w:name w:val="List Paragraph"/>
    <w:basedOn w:val="Normal"/>
    <w:uiPriority w:val="34"/>
    <w:qFormat/>
    <w:rsid w:val="00B809E7"/>
    <w:pPr>
      <w:spacing w:line="259" w:lineRule="auto"/>
      <w:ind w:left="720"/>
      <w:contextualSpacing/>
    </w:pPr>
    <w:rPr>
      <w:rFonts w:asciiTheme="minorHAnsi" w:eastAsia="Batang" w:hAnsiTheme="minorHAnsi" w:cstheme="minorBidi"/>
      <w:sz w:val="22"/>
      <w:szCs w:val="22"/>
      <w:lang w:eastAsia="en-US"/>
    </w:rPr>
  </w:style>
  <w:style w:type="paragraph" w:styleId="NoSpacing">
    <w:name w:val="No Spacing"/>
    <w:uiPriority w:val="1"/>
    <w:qFormat/>
    <w:rsid w:val="00B809E7"/>
    <w:rPr>
      <w:rFonts w:ascii="Times New Roman" w:eastAsia="Times New Roman" w:hAnsi="Times New Roman" w:cs="Times New Roman"/>
    </w:rPr>
  </w:style>
  <w:style w:type="character" w:styleId="Hyperlink">
    <w:name w:val="Hyperlink"/>
    <w:basedOn w:val="DefaultParagraphFont"/>
    <w:uiPriority w:val="99"/>
    <w:unhideWhenUsed/>
    <w:rsid w:val="00901BE8"/>
    <w:rPr>
      <w:color w:val="0000FF"/>
      <w:u w:val="single"/>
    </w:rPr>
  </w:style>
  <w:style w:type="character" w:styleId="FollowedHyperlink">
    <w:name w:val="FollowedHyperlink"/>
    <w:basedOn w:val="DefaultParagraphFont"/>
    <w:uiPriority w:val="99"/>
    <w:semiHidden/>
    <w:unhideWhenUsed/>
    <w:rsid w:val="004947AF"/>
    <w:rPr>
      <w:color w:val="954F72" w:themeColor="followedHyperlink"/>
      <w:u w:val="single"/>
    </w:rPr>
  </w:style>
  <w:style w:type="paragraph" w:styleId="Revision">
    <w:name w:val="Revision"/>
    <w:hidden/>
    <w:uiPriority w:val="99"/>
    <w:semiHidden/>
    <w:rsid w:val="00D00BA2"/>
    <w:pPr>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zh-CN"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432"/>
    <w:rPr>
      <w:rFonts w:ascii="Times New Roman" w:eastAsia="Times New Roman" w:hAnsi="Times New Roman" w:cs="Times New Roman"/>
    </w:rPr>
  </w:style>
  <w:style w:type="paragraph" w:styleId="Heading1">
    <w:name w:val="heading 1"/>
    <w:basedOn w:val="Normal"/>
    <w:next w:val="Normal"/>
    <w:link w:val="Heading1Char"/>
    <w:uiPriority w:val="9"/>
    <w:qFormat/>
    <w:rsid w:val="00EE164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5432"/>
    <w:rPr>
      <w:rFonts w:eastAsiaTheme="minorEastAsia"/>
      <w:sz w:val="18"/>
      <w:szCs w:val="18"/>
    </w:rPr>
  </w:style>
  <w:style w:type="character" w:customStyle="1" w:styleId="BalloonTextChar">
    <w:name w:val="Balloon Text Char"/>
    <w:basedOn w:val="DefaultParagraphFont"/>
    <w:link w:val="BalloonText"/>
    <w:uiPriority w:val="99"/>
    <w:semiHidden/>
    <w:rsid w:val="0009543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95432"/>
    <w:rPr>
      <w:sz w:val="16"/>
      <w:szCs w:val="16"/>
    </w:rPr>
  </w:style>
  <w:style w:type="paragraph" w:styleId="CommentText">
    <w:name w:val="annotation text"/>
    <w:basedOn w:val="Normal"/>
    <w:link w:val="CommentTextChar"/>
    <w:uiPriority w:val="99"/>
    <w:unhideWhenUsed/>
    <w:rsid w:val="00095432"/>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095432"/>
    <w:rPr>
      <w:sz w:val="20"/>
      <w:szCs w:val="20"/>
    </w:rPr>
  </w:style>
  <w:style w:type="table" w:styleId="TableGrid">
    <w:name w:val="Table Grid"/>
    <w:basedOn w:val="TableNormal"/>
    <w:uiPriority w:val="39"/>
    <w:rsid w:val="00095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82F27"/>
    <w:pPr>
      <w:tabs>
        <w:tab w:val="center" w:pos="4513"/>
        <w:tab w:val="right" w:pos="9026"/>
      </w:tabs>
    </w:pPr>
  </w:style>
  <w:style w:type="character" w:customStyle="1" w:styleId="FooterChar">
    <w:name w:val="Footer Char"/>
    <w:basedOn w:val="DefaultParagraphFont"/>
    <w:link w:val="Footer"/>
    <w:uiPriority w:val="99"/>
    <w:rsid w:val="00582F27"/>
    <w:rPr>
      <w:rFonts w:ascii="Times New Roman" w:eastAsia="Times New Roman" w:hAnsi="Times New Roman" w:cs="Times New Roman"/>
    </w:rPr>
  </w:style>
  <w:style w:type="character" w:styleId="PageNumber">
    <w:name w:val="page number"/>
    <w:basedOn w:val="DefaultParagraphFont"/>
    <w:uiPriority w:val="99"/>
    <w:semiHidden/>
    <w:unhideWhenUsed/>
    <w:rsid w:val="00582F27"/>
  </w:style>
  <w:style w:type="character" w:styleId="LineNumber">
    <w:name w:val="line number"/>
    <w:basedOn w:val="DefaultParagraphFont"/>
    <w:uiPriority w:val="99"/>
    <w:semiHidden/>
    <w:unhideWhenUsed/>
    <w:rsid w:val="00582F27"/>
  </w:style>
  <w:style w:type="paragraph" w:styleId="CommentSubject">
    <w:name w:val="annotation subject"/>
    <w:basedOn w:val="CommentText"/>
    <w:next w:val="CommentText"/>
    <w:link w:val="CommentSubjectChar"/>
    <w:uiPriority w:val="99"/>
    <w:semiHidden/>
    <w:unhideWhenUsed/>
    <w:rsid w:val="0084365B"/>
    <w:pPr>
      <w:spacing w:line="240" w:lineRule="auto"/>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4365B"/>
    <w:rPr>
      <w:rFonts w:ascii="Times New Roman" w:eastAsia="Times New Roman" w:hAnsi="Times New Roman" w:cs="Times New Roman"/>
      <w:b/>
      <w:bCs/>
      <w:sz w:val="20"/>
      <w:szCs w:val="20"/>
    </w:rPr>
  </w:style>
  <w:style w:type="paragraph" w:customStyle="1" w:styleId="EndNoteBibliographyTitle">
    <w:name w:val="EndNote Bibliography Title"/>
    <w:basedOn w:val="Normal"/>
    <w:link w:val="EndNoteBibliographyTitleCar"/>
    <w:rsid w:val="00EE1645"/>
    <w:pPr>
      <w:spacing w:after="0"/>
      <w:jc w:val="center"/>
    </w:pPr>
    <w:rPr>
      <w:noProof/>
    </w:rPr>
  </w:style>
  <w:style w:type="character" w:customStyle="1" w:styleId="EndNoteBibliographyTitleCar">
    <w:name w:val="EndNote Bibliography Title Car"/>
    <w:basedOn w:val="DefaultParagraphFont"/>
    <w:link w:val="EndNoteBibliographyTitle"/>
    <w:rsid w:val="00EE1645"/>
    <w:rPr>
      <w:rFonts w:ascii="Times New Roman" w:eastAsia="Times New Roman" w:hAnsi="Times New Roman" w:cs="Times New Roman"/>
      <w:noProof/>
    </w:rPr>
  </w:style>
  <w:style w:type="paragraph" w:customStyle="1" w:styleId="EndNoteBibliography">
    <w:name w:val="EndNote Bibliography"/>
    <w:basedOn w:val="Normal"/>
    <w:link w:val="EndNoteBibliographyCar"/>
    <w:rsid w:val="00EE1645"/>
    <w:pPr>
      <w:spacing w:line="240" w:lineRule="auto"/>
    </w:pPr>
    <w:rPr>
      <w:noProof/>
    </w:rPr>
  </w:style>
  <w:style w:type="character" w:customStyle="1" w:styleId="EndNoteBibliographyCar">
    <w:name w:val="EndNote Bibliography Car"/>
    <w:basedOn w:val="DefaultParagraphFont"/>
    <w:link w:val="EndNoteBibliography"/>
    <w:rsid w:val="00EE1645"/>
    <w:rPr>
      <w:rFonts w:ascii="Times New Roman" w:eastAsia="Times New Roman" w:hAnsi="Times New Roman" w:cs="Times New Roman"/>
      <w:noProof/>
    </w:rPr>
  </w:style>
  <w:style w:type="character" w:customStyle="1" w:styleId="Heading1Char">
    <w:name w:val="Heading 1 Char"/>
    <w:basedOn w:val="DefaultParagraphFont"/>
    <w:link w:val="Heading1"/>
    <w:uiPriority w:val="9"/>
    <w:rsid w:val="00EE1645"/>
    <w:rPr>
      <w:rFonts w:asciiTheme="majorHAnsi" w:eastAsiaTheme="majorEastAsia" w:hAnsiTheme="majorHAnsi" w:cstheme="majorBidi"/>
      <w:b/>
      <w:bCs/>
      <w:color w:val="2F5496" w:themeColor="accent1" w:themeShade="BF"/>
      <w:sz w:val="28"/>
      <w:szCs w:val="28"/>
      <w:lang w:val="en-US" w:eastAsia="en-US" w:bidi="en-US"/>
    </w:rPr>
  </w:style>
  <w:style w:type="paragraph" w:styleId="ListParagraph">
    <w:name w:val="List Paragraph"/>
    <w:basedOn w:val="Normal"/>
    <w:uiPriority w:val="34"/>
    <w:qFormat/>
    <w:rsid w:val="00B809E7"/>
    <w:pPr>
      <w:spacing w:line="259" w:lineRule="auto"/>
      <w:ind w:left="720"/>
      <w:contextualSpacing/>
    </w:pPr>
    <w:rPr>
      <w:rFonts w:asciiTheme="minorHAnsi" w:eastAsia="Batang" w:hAnsiTheme="minorHAnsi" w:cstheme="minorBidi"/>
      <w:sz w:val="22"/>
      <w:szCs w:val="22"/>
      <w:lang w:eastAsia="en-US"/>
    </w:rPr>
  </w:style>
  <w:style w:type="paragraph" w:styleId="NoSpacing">
    <w:name w:val="No Spacing"/>
    <w:uiPriority w:val="1"/>
    <w:qFormat/>
    <w:rsid w:val="00B809E7"/>
    <w:rPr>
      <w:rFonts w:ascii="Times New Roman" w:eastAsia="Times New Roman" w:hAnsi="Times New Roman" w:cs="Times New Roman"/>
    </w:rPr>
  </w:style>
  <w:style w:type="character" w:styleId="Hyperlink">
    <w:name w:val="Hyperlink"/>
    <w:basedOn w:val="DefaultParagraphFont"/>
    <w:uiPriority w:val="99"/>
    <w:unhideWhenUsed/>
    <w:rsid w:val="00901BE8"/>
    <w:rPr>
      <w:color w:val="0000FF"/>
      <w:u w:val="single"/>
    </w:rPr>
  </w:style>
  <w:style w:type="character" w:styleId="FollowedHyperlink">
    <w:name w:val="FollowedHyperlink"/>
    <w:basedOn w:val="DefaultParagraphFont"/>
    <w:uiPriority w:val="99"/>
    <w:semiHidden/>
    <w:unhideWhenUsed/>
    <w:rsid w:val="004947AF"/>
    <w:rPr>
      <w:color w:val="954F72" w:themeColor="followedHyperlink"/>
      <w:u w:val="single"/>
    </w:rPr>
  </w:style>
  <w:style w:type="paragraph" w:styleId="Revision">
    <w:name w:val="Revision"/>
    <w:hidden/>
    <w:uiPriority w:val="99"/>
    <w:semiHidden/>
    <w:rsid w:val="00D00BA2"/>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iff"/><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79C71-4FD8-48C6-9F8C-15D7AB73B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21414</Words>
  <Characters>122063</Characters>
  <Application>Microsoft Office Word</Application>
  <DocSecurity>0</DocSecurity>
  <Lines>1017</Lines>
  <Paragraphs>286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Tang</dc:creator>
  <cp:keywords/>
  <dc:description/>
  <cp:lastModifiedBy>Urbano, Kent</cp:lastModifiedBy>
  <cp:revision>4</cp:revision>
  <dcterms:created xsi:type="dcterms:W3CDTF">2021-05-24T19:32:00Z</dcterms:created>
  <dcterms:modified xsi:type="dcterms:W3CDTF">2021-07-16T13:56:00Z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a8116a9a-7077-398d-8e22-70fe3c457ca4</vt:lpwstr>
  </property>
  <property fmtid="{D5CDD505-2E9C-101B-9397-08002B2CF9AE}" pid="24" name="Mendeley Citation Style_1">
    <vt:lpwstr>http://www.zotero.org/styles/apa</vt:lpwstr>
  </property>
</Properties>
</file>