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4FA55" w14:textId="1B311D76" w:rsidR="0010284A" w:rsidRDefault="009105EF" w:rsidP="00D418F2">
      <w:pPr>
        <w:keepNext/>
        <w:rPr>
          <w:rFonts w:cs="Times New Roman"/>
          <w:b/>
          <w:i/>
          <w:sz w:val="32"/>
          <w:szCs w:val="32"/>
        </w:rPr>
      </w:pPr>
      <w:r w:rsidRPr="006B2AFC">
        <w:rPr>
          <w:rFonts w:cs="Times New Roman"/>
          <w:b/>
          <w:sz w:val="32"/>
          <w:szCs w:val="32"/>
        </w:rPr>
        <w:t xml:space="preserve">Administrator </w:t>
      </w:r>
      <w:r w:rsidR="00EB26A8" w:rsidRPr="006B2AFC">
        <w:rPr>
          <w:rFonts w:cs="Times New Roman"/>
          <w:b/>
          <w:sz w:val="32"/>
          <w:szCs w:val="32"/>
        </w:rPr>
        <w:t>guide</w:t>
      </w:r>
      <w:r w:rsidR="001E36B2" w:rsidRPr="006B2AFC">
        <w:rPr>
          <w:rFonts w:cs="Times New Roman"/>
          <w:b/>
          <w:sz w:val="32"/>
          <w:szCs w:val="32"/>
        </w:rPr>
        <w:t xml:space="preserve"> for the </w:t>
      </w:r>
      <w:r w:rsidR="001E36B2" w:rsidRPr="006B2AFC">
        <w:rPr>
          <w:rFonts w:cs="Times New Roman"/>
          <w:b/>
          <w:i/>
          <w:sz w:val="32"/>
          <w:szCs w:val="32"/>
        </w:rPr>
        <w:t>2018 Survey of Experts on Future Demographic Trends</w:t>
      </w:r>
      <w:r w:rsidR="00AB0A24" w:rsidRPr="006B2AFC">
        <w:rPr>
          <w:rStyle w:val="FootnoteReference"/>
          <w:rFonts w:cs="Times New Roman"/>
          <w:b/>
          <w:sz w:val="32"/>
          <w:szCs w:val="32"/>
        </w:rPr>
        <w:footnoteReference w:id="1"/>
      </w:r>
    </w:p>
    <w:p w14:paraId="0B6A1787" w14:textId="77777777" w:rsidR="001B4682" w:rsidRPr="001B4682" w:rsidRDefault="001B4682" w:rsidP="001B4682"/>
    <w:p w14:paraId="5AF4612B" w14:textId="1AD8024A" w:rsidR="003F45F0" w:rsidRDefault="003F45F0" w:rsidP="001B4682">
      <w:pPr>
        <w:pStyle w:val="Heading1"/>
      </w:pPr>
      <w:r>
        <w:t>General information</w:t>
      </w:r>
    </w:p>
    <w:p w14:paraId="023528A8" w14:textId="2D89ADF2" w:rsidR="00F42DAD" w:rsidRDefault="00A4274C" w:rsidP="00F42DAD">
      <w:r>
        <w:t xml:space="preserve">The </w:t>
      </w:r>
      <w:r>
        <w:rPr>
          <w:i/>
          <w:iCs/>
        </w:rPr>
        <w:t xml:space="preserve">2018 </w:t>
      </w:r>
      <w:r w:rsidR="00475D35">
        <w:rPr>
          <w:i/>
          <w:iCs/>
        </w:rPr>
        <w:t>Survey of Experts on</w:t>
      </w:r>
      <w:r>
        <w:rPr>
          <w:i/>
          <w:iCs/>
        </w:rPr>
        <w:t xml:space="preserve"> </w:t>
      </w:r>
      <w:r w:rsidR="00475D35">
        <w:rPr>
          <w:i/>
          <w:iCs/>
        </w:rPr>
        <w:t xml:space="preserve">Future Demographic </w:t>
      </w:r>
      <w:r w:rsidR="00B74942">
        <w:rPr>
          <w:i/>
          <w:iCs/>
        </w:rPr>
        <w:t xml:space="preserve">Trends </w:t>
      </w:r>
      <w:r>
        <w:t>was built by Statistics Canada as a protocol for expert elicitation to inform the development of assumptions for demographic projections.</w:t>
      </w:r>
      <w:r w:rsidR="002A6124">
        <w:rPr>
          <w:rStyle w:val="FootnoteReference"/>
        </w:rPr>
        <w:footnoteReference w:id="2"/>
      </w:r>
      <w:r>
        <w:t xml:space="preserve"> </w:t>
      </w:r>
      <w:r w:rsidR="00F42DAD">
        <w:t xml:space="preserve">The survey contains sections on the components of fertility, mortality and immigration, but more components can be added. </w:t>
      </w:r>
    </w:p>
    <w:p w14:paraId="5D20FAF6" w14:textId="001C000E" w:rsidR="000C785F" w:rsidRDefault="001B4682" w:rsidP="003F45F0">
      <w:r>
        <w:t xml:space="preserve">The survey </w:t>
      </w:r>
      <w:r w:rsidR="00B74942">
        <w:t>was</w:t>
      </w:r>
      <w:r>
        <w:t xml:space="preserve"> built </w:t>
      </w:r>
      <w:r w:rsidR="00A81D96">
        <w:t xml:space="preserve">using </w:t>
      </w:r>
      <w:r w:rsidR="003F45F0">
        <w:t xml:space="preserve">Microsoft </w:t>
      </w:r>
      <w:r w:rsidR="0076690C">
        <w:t>Excel 2013</w:t>
      </w:r>
      <w:r>
        <w:t xml:space="preserve">. </w:t>
      </w:r>
      <w:r w:rsidR="000C785F">
        <w:t xml:space="preserve">Although </w:t>
      </w:r>
      <w:r w:rsidR="0076690C">
        <w:t xml:space="preserve">it </w:t>
      </w:r>
      <w:r w:rsidR="00A81D96">
        <w:t xml:space="preserve">also </w:t>
      </w:r>
      <w:r w:rsidR="00E800C8">
        <w:t>appears compatible with</w:t>
      </w:r>
      <w:r w:rsidR="000C785F">
        <w:t xml:space="preserve"> other versions of MS Excel, no </w:t>
      </w:r>
      <w:r>
        <w:t xml:space="preserve">extensive testing </w:t>
      </w:r>
      <w:r w:rsidR="0076690C">
        <w:t xml:space="preserve">was </w:t>
      </w:r>
      <w:r w:rsidR="00B74942">
        <w:t xml:space="preserve">done </w:t>
      </w:r>
      <w:r w:rsidR="000C785F">
        <w:t xml:space="preserve">to verify </w:t>
      </w:r>
      <w:r w:rsidR="008E10F9">
        <w:t xml:space="preserve">whether </w:t>
      </w:r>
      <w:r w:rsidR="00A81D96">
        <w:t xml:space="preserve">the survey </w:t>
      </w:r>
      <w:r w:rsidR="008E10F9">
        <w:t>was</w:t>
      </w:r>
      <w:r w:rsidR="00A81D96">
        <w:t xml:space="preserve"> compatible </w:t>
      </w:r>
      <w:r>
        <w:t xml:space="preserve">with </w:t>
      </w:r>
      <w:r w:rsidR="000C785F">
        <w:t>all previous</w:t>
      </w:r>
      <w:r>
        <w:t xml:space="preserve"> </w:t>
      </w:r>
      <w:r w:rsidR="00364B3B">
        <w:t>and</w:t>
      </w:r>
      <w:r w:rsidR="00A81D96">
        <w:t xml:space="preserve"> </w:t>
      </w:r>
      <w:r w:rsidR="00364B3B">
        <w:t>newer</w:t>
      </w:r>
      <w:r w:rsidR="00DE7A02">
        <w:t xml:space="preserve"> </w:t>
      </w:r>
      <w:r>
        <w:t>versions of Excel.</w:t>
      </w:r>
      <w:r w:rsidR="00B4105B">
        <w:t xml:space="preserve"> </w:t>
      </w:r>
      <w:r w:rsidR="00A4274C">
        <w:t>T</w:t>
      </w:r>
      <w:r w:rsidR="003F45F0">
        <w:t>he file is saved as a Binary workbook (.</w:t>
      </w:r>
      <w:proofErr w:type="spellStart"/>
      <w:r w:rsidR="003F45F0">
        <w:t>xlsb</w:t>
      </w:r>
      <w:proofErr w:type="spellEnd"/>
      <w:r w:rsidR="003F45F0">
        <w:t>) to diminish its size so</w:t>
      </w:r>
      <w:r w:rsidR="002E44EE">
        <w:t xml:space="preserve"> that</w:t>
      </w:r>
      <w:r w:rsidR="003F45F0">
        <w:t xml:space="preserve"> it can be sent by email more easily.</w:t>
      </w:r>
    </w:p>
    <w:p w14:paraId="48956FB6" w14:textId="127B93FB" w:rsidR="0014400F" w:rsidRDefault="00C43010" w:rsidP="004B0254">
      <w:pPr>
        <w:pStyle w:val="Heading1"/>
      </w:pPr>
      <w:r>
        <w:t>Layout</w:t>
      </w:r>
    </w:p>
    <w:p w14:paraId="647B7544" w14:textId="7E6B28DB" w:rsidR="009C7DDD" w:rsidRDefault="00F42DAD" w:rsidP="0014400F">
      <w:r>
        <w:t xml:space="preserve">The Microsoft Excel-based survey contains </w:t>
      </w:r>
      <w:r w:rsidR="005D1F34">
        <w:t xml:space="preserve">both </w:t>
      </w:r>
      <w:r w:rsidR="0076690C">
        <w:t>visible</w:t>
      </w:r>
      <w:r>
        <w:t xml:space="preserve"> </w:t>
      </w:r>
      <w:r w:rsidR="004B0254">
        <w:t xml:space="preserve">and </w:t>
      </w:r>
      <w:r w:rsidR="0076690C">
        <w:t>hidden</w:t>
      </w:r>
      <w:r w:rsidR="005D1F34">
        <w:t xml:space="preserve"> worksheets</w:t>
      </w:r>
      <w:r w:rsidR="004B0254">
        <w:t xml:space="preserve">. </w:t>
      </w:r>
      <w:r w:rsidR="00C61156">
        <w:t>Most of the visible sheets are designed to collect data from experts in regard to the future development of some demographic indicators. The hidden sheets are where calculations are made in the background</w:t>
      </w:r>
      <w:r w:rsidR="00A0106E">
        <w:t>,</w:t>
      </w:r>
      <w:r w:rsidR="00C61156">
        <w:t xml:space="preserve"> and require no direct inputs from experts. </w:t>
      </w:r>
      <w:r w:rsidR="000D37EE">
        <w:t xml:space="preserve">The role of each sheet is explained in </w:t>
      </w:r>
      <w:r w:rsidR="00E736B9">
        <w:t xml:space="preserve">more </w:t>
      </w:r>
      <w:r w:rsidR="000D37EE">
        <w:t xml:space="preserve">detail in section </w:t>
      </w:r>
      <w:r w:rsidR="00367C0A">
        <w:t>3.</w:t>
      </w:r>
    </w:p>
    <w:p w14:paraId="415171F7" w14:textId="6CE07236" w:rsidR="000D37EE" w:rsidRDefault="00E736B9" w:rsidP="0014400F">
      <w:r w:rsidRPr="00E736B9">
        <w:t xml:space="preserve">In order for administrators to access or modify the content of the visible and hidden </w:t>
      </w:r>
      <w:r w:rsidR="00364B3B">
        <w:t>work</w:t>
      </w:r>
      <w:r w:rsidRPr="00E736B9">
        <w:t>sheets, some procedures must be followed. This is described in the following section.</w:t>
      </w:r>
    </w:p>
    <w:p w14:paraId="683411EC" w14:textId="6046BB18" w:rsidR="00782795" w:rsidRDefault="0010152A" w:rsidP="0010152A">
      <w:pPr>
        <w:pStyle w:val="Heading2"/>
      </w:pPr>
      <w:r>
        <w:t xml:space="preserve">2.1   </w:t>
      </w:r>
      <w:r w:rsidR="00C61156">
        <w:t>Accessing v</w:t>
      </w:r>
      <w:r w:rsidR="00782795">
        <w:t xml:space="preserve">isible </w:t>
      </w:r>
      <w:r w:rsidR="002A6124">
        <w:t xml:space="preserve">sheets </w:t>
      </w:r>
    </w:p>
    <w:p w14:paraId="7880A744" w14:textId="6421A833" w:rsidR="00191B99" w:rsidRDefault="004B0254" w:rsidP="0014400F">
      <w:r>
        <w:t>There are eleven visible sheets:</w:t>
      </w:r>
    </w:p>
    <w:p w14:paraId="1620DA66" w14:textId="0567301C" w:rsidR="00D418F2" w:rsidRPr="004B0254" w:rsidRDefault="00D418F2" w:rsidP="00580810">
      <w:pPr>
        <w:pStyle w:val="ListParagraph"/>
        <w:numPr>
          <w:ilvl w:val="0"/>
          <w:numId w:val="8"/>
        </w:numPr>
      </w:pPr>
      <w:r w:rsidRPr="004B0254">
        <w:t>Info</w:t>
      </w:r>
    </w:p>
    <w:p w14:paraId="409B8D55" w14:textId="77777777" w:rsidR="00580810" w:rsidRPr="004B0254" w:rsidRDefault="00580810" w:rsidP="00580810">
      <w:pPr>
        <w:pStyle w:val="ListParagraph"/>
        <w:numPr>
          <w:ilvl w:val="0"/>
          <w:numId w:val="8"/>
        </w:numPr>
      </w:pPr>
      <w:r w:rsidRPr="004B0254">
        <w:t>Intro</w:t>
      </w:r>
    </w:p>
    <w:p w14:paraId="2A89C05C" w14:textId="77777777" w:rsidR="00580810" w:rsidRPr="004B0254" w:rsidRDefault="00580810" w:rsidP="00580810">
      <w:pPr>
        <w:pStyle w:val="ListParagraph"/>
        <w:numPr>
          <w:ilvl w:val="0"/>
          <w:numId w:val="8"/>
        </w:numPr>
      </w:pPr>
      <w:r w:rsidRPr="004B0254">
        <w:t>Experience</w:t>
      </w:r>
    </w:p>
    <w:p w14:paraId="01A55208" w14:textId="77777777" w:rsidR="00580810" w:rsidRPr="004B0254" w:rsidRDefault="00580810" w:rsidP="00580810">
      <w:pPr>
        <w:pStyle w:val="ListParagraph"/>
        <w:numPr>
          <w:ilvl w:val="0"/>
          <w:numId w:val="8"/>
        </w:numPr>
      </w:pPr>
      <w:r w:rsidRPr="004B0254">
        <w:t>Fertility</w:t>
      </w:r>
    </w:p>
    <w:p w14:paraId="3E48B0C2" w14:textId="77777777" w:rsidR="00580810" w:rsidRPr="004B0254" w:rsidRDefault="00580810" w:rsidP="00580810">
      <w:pPr>
        <w:pStyle w:val="ListParagraph"/>
        <w:numPr>
          <w:ilvl w:val="0"/>
          <w:numId w:val="8"/>
        </w:numPr>
      </w:pPr>
      <w:proofErr w:type="spellStart"/>
      <w:r w:rsidRPr="004B0254">
        <w:lastRenderedPageBreak/>
        <w:t>FER_data</w:t>
      </w:r>
      <w:proofErr w:type="spellEnd"/>
    </w:p>
    <w:p w14:paraId="05B1D0A2" w14:textId="77777777" w:rsidR="00580810" w:rsidRPr="004B0254" w:rsidRDefault="00580810" w:rsidP="00580810">
      <w:pPr>
        <w:pStyle w:val="ListParagraph"/>
        <w:numPr>
          <w:ilvl w:val="0"/>
          <w:numId w:val="8"/>
        </w:numPr>
      </w:pPr>
      <w:r w:rsidRPr="004B0254">
        <w:t>Mortality</w:t>
      </w:r>
    </w:p>
    <w:p w14:paraId="119D80BD" w14:textId="77777777" w:rsidR="00580810" w:rsidRPr="004B0254" w:rsidRDefault="00580810" w:rsidP="00580810">
      <w:pPr>
        <w:pStyle w:val="ListParagraph"/>
        <w:numPr>
          <w:ilvl w:val="0"/>
          <w:numId w:val="8"/>
        </w:numPr>
      </w:pPr>
      <w:proofErr w:type="spellStart"/>
      <w:r w:rsidRPr="004B0254">
        <w:t>MOR_Data</w:t>
      </w:r>
      <w:proofErr w:type="spellEnd"/>
    </w:p>
    <w:p w14:paraId="62609ABD" w14:textId="77777777" w:rsidR="00580810" w:rsidRPr="004B0254" w:rsidRDefault="00580810" w:rsidP="00580810">
      <w:pPr>
        <w:pStyle w:val="ListParagraph"/>
        <w:numPr>
          <w:ilvl w:val="0"/>
          <w:numId w:val="8"/>
        </w:numPr>
      </w:pPr>
      <w:r w:rsidRPr="004B0254">
        <w:t>Immigration</w:t>
      </w:r>
    </w:p>
    <w:p w14:paraId="2F1D3AD3" w14:textId="77777777" w:rsidR="00580810" w:rsidRPr="004B0254" w:rsidRDefault="00580810" w:rsidP="00580810">
      <w:pPr>
        <w:pStyle w:val="ListParagraph"/>
        <w:numPr>
          <w:ilvl w:val="0"/>
          <w:numId w:val="8"/>
        </w:numPr>
      </w:pPr>
      <w:proofErr w:type="spellStart"/>
      <w:r w:rsidRPr="004B0254">
        <w:t>IMM_Data</w:t>
      </w:r>
      <w:proofErr w:type="spellEnd"/>
    </w:p>
    <w:p w14:paraId="0F66754A" w14:textId="77777777" w:rsidR="00580810" w:rsidRPr="004B0254" w:rsidRDefault="00580810" w:rsidP="00580810">
      <w:pPr>
        <w:pStyle w:val="ListParagraph"/>
        <w:numPr>
          <w:ilvl w:val="0"/>
          <w:numId w:val="8"/>
        </w:numPr>
      </w:pPr>
      <w:r w:rsidRPr="004B0254">
        <w:t>End</w:t>
      </w:r>
    </w:p>
    <w:p w14:paraId="02A2434C" w14:textId="294BF0E4" w:rsidR="0010152A" w:rsidRDefault="00580810" w:rsidP="0010152A">
      <w:pPr>
        <w:pStyle w:val="ListParagraph"/>
        <w:numPr>
          <w:ilvl w:val="0"/>
          <w:numId w:val="8"/>
        </w:numPr>
      </w:pPr>
      <w:r w:rsidRPr="004B0254">
        <w:t>Summary</w:t>
      </w:r>
    </w:p>
    <w:p w14:paraId="78EB4A24" w14:textId="798A6AF7" w:rsidR="004B0254" w:rsidRDefault="005215A7" w:rsidP="004B0254">
      <w:r>
        <w:t>The conten</w:t>
      </w:r>
      <w:r w:rsidR="00FB60FB">
        <w:t>t of some of the visible sheets is locked</w:t>
      </w:r>
      <w:r w:rsidR="004B0254">
        <w:t xml:space="preserve">, so that </w:t>
      </w:r>
      <w:r>
        <w:t xml:space="preserve">experts can only access and modify the </w:t>
      </w:r>
      <w:r w:rsidR="004B0254">
        <w:t>cells</w:t>
      </w:r>
      <w:r>
        <w:t xml:space="preserve"> where they </w:t>
      </w:r>
      <w:r w:rsidR="008926B3">
        <w:t>are required to enter their inputs</w:t>
      </w:r>
      <w:r w:rsidR="004B0254">
        <w:t xml:space="preserve">. </w:t>
      </w:r>
      <w:r>
        <w:t>Administrators can unlock the content by</w:t>
      </w:r>
      <w:r w:rsidR="004B0254">
        <w:t xml:space="preserve"> following this procedure:</w:t>
      </w:r>
    </w:p>
    <w:p w14:paraId="2B25BE66" w14:textId="4E366E8E" w:rsidR="004B0254" w:rsidRDefault="008926B3" w:rsidP="004B0254">
      <w:pPr>
        <w:pStyle w:val="ListParagraph"/>
        <w:numPr>
          <w:ilvl w:val="0"/>
          <w:numId w:val="9"/>
        </w:numPr>
      </w:pPr>
      <w:r>
        <w:t xml:space="preserve">Select </w:t>
      </w:r>
      <w:r w:rsidR="005215A7">
        <w:t xml:space="preserve">the </w:t>
      </w:r>
      <w:r w:rsidR="004B0254">
        <w:t xml:space="preserve">sheet that </w:t>
      </w:r>
      <w:r w:rsidR="005215A7">
        <w:t>that needs to be</w:t>
      </w:r>
      <w:r w:rsidR="004B0254">
        <w:t xml:space="preserve"> unlock</w:t>
      </w:r>
      <w:r w:rsidR="005215A7">
        <w:t>ed</w:t>
      </w:r>
      <w:r w:rsidR="004B0254">
        <w:t>,</w:t>
      </w:r>
    </w:p>
    <w:p w14:paraId="62062239" w14:textId="77777777" w:rsidR="004B0254" w:rsidRDefault="004B0254" w:rsidP="004B0254">
      <w:pPr>
        <w:pStyle w:val="ListParagraph"/>
        <w:numPr>
          <w:ilvl w:val="0"/>
          <w:numId w:val="9"/>
        </w:numPr>
      </w:pPr>
      <w:r>
        <w:t xml:space="preserve">click on ‘Unprotect Sheet’ under the ‘REVIEW’ tab, </w:t>
      </w:r>
    </w:p>
    <w:p w14:paraId="205BD660" w14:textId="77777777" w:rsidR="004B0254" w:rsidRDefault="004B0254" w:rsidP="004B0254">
      <w:pPr>
        <w:pStyle w:val="ListParagraph"/>
        <w:numPr>
          <w:ilvl w:val="0"/>
          <w:numId w:val="9"/>
        </w:numPr>
      </w:pPr>
      <w:proofErr w:type="gramStart"/>
      <w:r>
        <w:t>enter</w:t>
      </w:r>
      <w:proofErr w:type="gramEnd"/>
      <w:r>
        <w:t xml:space="preserve"> the password (2043).</w:t>
      </w:r>
    </w:p>
    <w:p w14:paraId="3D8E71FA" w14:textId="4E037C80" w:rsidR="00C61156" w:rsidRDefault="00C61156" w:rsidP="00C61156">
      <w:r>
        <w:t>Note that the</w:t>
      </w:r>
      <w:r w:rsidRPr="00C61156">
        <w:rPr>
          <w:i/>
        </w:rPr>
        <w:t xml:space="preserve"> </w:t>
      </w:r>
      <w:r w:rsidRPr="00C61156">
        <w:rPr>
          <w:b/>
        </w:rPr>
        <w:t>Info</w:t>
      </w:r>
      <w:r>
        <w:t xml:space="preserve"> sheet provides general information for the </w:t>
      </w:r>
      <w:r w:rsidR="005215A7">
        <w:t>administrators</w:t>
      </w:r>
      <w:r>
        <w:t>; this sheet should be hidden or deleted in the version of the survey sent to experts.</w:t>
      </w:r>
    </w:p>
    <w:p w14:paraId="59FDCE16" w14:textId="1D9FCBF4" w:rsidR="0010152A" w:rsidRDefault="005950F0" w:rsidP="0010152A">
      <w:pPr>
        <w:pStyle w:val="Heading2"/>
      </w:pPr>
      <w:r>
        <w:t>2.2</w:t>
      </w:r>
      <w:r w:rsidR="0010152A">
        <w:t xml:space="preserve">   </w:t>
      </w:r>
      <w:r w:rsidR="00C61156">
        <w:t>Accessing h</w:t>
      </w:r>
      <w:r w:rsidR="0010152A">
        <w:t xml:space="preserve">idden sheets </w:t>
      </w:r>
    </w:p>
    <w:p w14:paraId="7FB5FC23" w14:textId="75DD0045" w:rsidR="006E361B" w:rsidRDefault="00C61156" w:rsidP="00580810">
      <w:r>
        <w:t>Hidden sheets are where background c</w:t>
      </w:r>
      <w:r w:rsidR="00E31904">
        <w:t>omputation</w:t>
      </w:r>
      <w:r>
        <w:t>s</w:t>
      </w:r>
      <w:r w:rsidR="00E31904">
        <w:t xml:space="preserve"> </w:t>
      </w:r>
      <w:r>
        <w:t>are made.</w:t>
      </w:r>
      <w:r w:rsidR="007C76E8">
        <w:t xml:space="preserve"> </w:t>
      </w:r>
      <w:r w:rsidR="005950F0">
        <w:t xml:space="preserve">These sheets </w:t>
      </w:r>
      <w:r>
        <w:t xml:space="preserve">are not visible to experts, but can be accessed by the </w:t>
      </w:r>
      <w:r w:rsidR="005215A7">
        <w:t>administrators</w:t>
      </w:r>
      <w:r>
        <w:t xml:space="preserve"> </w:t>
      </w:r>
      <w:r w:rsidR="007709DA">
        <w:t>f</w:t>
      </w:r>
      <w:r w:rsidR="005950F0">
        <w:t>ollow</w:t>
      </w:r>
      <w:r w:rsidR="007709DA">
        <w:t>ing</w:t>
      </w:r>
      <w:r w:rsidR="005950F0">
        <w:t xml:space="preserve"> this procedure:</w:t>
      </w:r>
    </w:p>
    <w:p w14:paraId="1E31FC4E" w14:textId="3207FA83" w:rsidR="000C785F" w:rsidRDefault="008926B3" w:rsidP="000C785F">
      <w:pPr>
        <w:pStyle w:val="ListParagraph"/>
        <w:numPr>
          <w:ilvl w:val="0"/>
          <w:numId w:val="20"/>
        </w:numPr>
      </w:pPr>
      <w:r>
        <w:t xml:space="preserve">Access </w:t>
      </w:r>
      <w:r w:rsidR="00F06F0F">
        <w:t xml:space="preserve">the </w:t>
      </w:r>
      <w:r w:rsidR="000C785F" w:rsidRPr="005950F0">
        <w:rPr>
          <w:i/>
        </w:rPr>
        <w:t>Visual Basic</w:t>
      </w:r>
      <w:r w:rsidR="000C785F">
        <w:t xml:space="preserve"> </w:t>
      </w:r>
      <w:r w:rsidR="00F06F0F">
        <w:t xml:space="preserve">editor </w:t>
      </w:r>
      <w:r w:rsidR="000C785F">
        <w:t>by clicking on ‘</w:t>
      </w:r>
      <w:r w:rsidR="000C785F" w:rsidRPr="005950F0">
        <w:rPr>
          <w:i/>
        </w:rPr>
        <w:t>Visual Basic</w:t>
      </w:r>
      <w:r w:rsidR="000C785F">
        <w:t>’ under the ‘</w:t>
      </w:r>
      <w:r w:rsidR="000C785F" w:rsidRPr="005950F0">
        <w:rPr>
          <w:i/>
        </w:rPr>
        <w:t>DEVELOPER</w:t>
      </w:r>
      <w:r w:rsidR="000C785F">
        <w:t>’ tab</w:t>
      </w:r>
      <w:r w:rsidR="005950F0">
        <w:t xml:space="preserve"> in the ribbon</w:t>
      </w:r>
      <w:r w:rsidR="001E3295">
        <w:t>;</w:t>
      </w:r>
      <w:r w:rsidR="0034036A">
        <w:rPr>
          <w:rStyle w:val="FootnoteReference"/>
        </w:rPr>
        <w:footnoteReference w:id="3"/>
      </w:r>
    </w:p>
    <w:p w14:paraId="7EA903F7" w14:textId="331DDB61" w:rsidR="000C785F" w:rsidRDefault="000C785F" w:rsidP="000C785F">
      <w:pPr>
        <w:pStyle w:val="ListParagraph"/>
        <w:numPr>
          <w:ilvl w:val="0"/>
          <w:numId w:val="20"/>
        </w:numPr>
      </w:pPr>
      <w:r>
        <w:t>click on the ‘</w:t>
      </w:r>
      <w:r w:rsidRPr="005950F0">
        <w:rPr>
          <w:i/>
        </w:rPr>
        <w:t>Project Explorer</w:t>
      </w:r>
      <w:r>
        <w:t xml:space="preserve">’ icon (or </w:t>
      </w:r>
      <w:r w:rsidR="005950F0">
        <w:t xml:space="preserve">enter </w:t>
      </w:r>
      <w:r w:rsidR="001E3295">
        <w:t>Ctrl + R);</w:t>
      </w:r>
    </w:p>
    <w:p w14:paraId="350A0D72" w14:textId="13E0BCF4" w:rsidR="000C785F" w:rsidRDefault="005215A7" w:rsidP="000C785F">
      <w:pPr>
        <w:pStyle w:val="ListParagraph"/>
        <w:numPr>
          <w:ilvl w:val="0"/>
          <w:numId w:val="20"/>
        </w:numPr>
      </w:pPr>
      <w:r>
        <w:t xml:space="preserve">select the desired sheet from the list (all </w:t>
      </w:r>
      <w:r w:rsidR="000C785F">
        <w:t>sheets are shown, eve</w:t>
      </w:r>
      <w:r w:rsidR="001E3295">
        <w:t>n those not previously visible);</w:t>
      </w:r>
    </w:p>
    <w:p w14:paraId="5DB2ABD9" w14:textId="1FD0D7CA" w:rsidR="000C785F" w:rsidRDefault="0058340B" w:rsidP="000C785F">
      <w:pPr>
        <w:pStyle w:val="ListParagraph"/>
        <w:numPr>
          <w:ilvl w:val="0"/>
          <w:numId w:val="20"/>
        </w:numPr>
      </w:pPr>
      <w:r>
        <w:t>in</w:t>
      </w:r>
      <w:r w:rsidR="00CC44B2">
        <w:t xml:space="preserve"> the</w:t>
      </w:r>
      <w:r w:rsidR="001E3295">
        <w:t xml:space="preserve"> ‘</w:t>
      </w:r>
      <w:r w:rsidR="001E3295" w:rsidRPr="003E0668">
        <w:rPr>
          <w:i/>
        </w:rPr>
        <w:t>Properties’</w:t>
      </w:r>
      <w:r>
        <w:t xml:space="preserve"> window</w:t>
      </w:r>
      <w:r w:rsidR="001E3295">
        <w:t xml:space="preserve">, </w:t>
      </w:r>
      <w:r w:rsidR="000C785F">
        <w:t>search for the row named ‘Visible</w:t>
      </w:r>
      <w:r w:rsidR="001E3295">
        <w:t>,</w:t>
      </w:r>
      <w:r w:rsidR="000C785F">
        <w:t xml:space="preserve">’ and </w:t>
      </w:r>
      <w:r w:rsidR="001E3295">
        <w:t xml:space="preserve">from the drop-down menu </w:t>
      </w:r>
      <w:r w:rsidR="000C785F">
        <w:t>change the status from ‘</w:t>
      </w:r>
      <w:r w:rsidR="000C785F" w:rsidRPr="005950F0">
        <w:rPr>
          <w:i/>
        </w:rPr>
        <w:t>2 – </w:t>
      </w:r>
      <w:proofErr w:type="spellStart"/>
      <w:r w:rsidR="000C785F" w:rsidRPr="005950F0">
        <w:rPr>
          <w:i/>
        </w:rPr>
        <w:t>xlSheetVeryHidden</w:t>
      </w:r>
      <w:proofErr w:type="spellEnd"/>
      <w:r w:rsidR="000C785F">
        <w:t>’</w:t>
      </w:r>
      <w:r w:rsidR="000C785F" w:rsidRPr="00370618">
        <w:t xml:space="preserve"> </w:t>
      </w:r>
      <w:r w:rsidR="000C785F">
        <w:t>to ‘</w:t>
      </w:r>
      <w:r w:rsidR="000C785F" w:rsidRPr="005950F0">
        <w:rPr>
          <w:i/>
        </w:rPr>
        <w:t>- 1 – </w:t>
      </w:r>
      <w:proofErr w:type="spellStart"/>
      <w:r w:rsidR="000C785F" w:rsidRPr="005950F0">
        <w:rPr>
          <w:i/>
        </w:rPr>
        <w:t>xlSheetVisible</w:t>
      </w:r>
      <w:proofErr w:type="spellEnd"/>
      <w:r w:rsidR="000C785F">
        <w:t>’</w:t>
      </w:r>
      <w:r w:rsidR="001E3295">
        <w:t>;</w:t>
      </w:r>
    </w:p>
    <w:p w14:paraId="14BB6C47" w14:textId="59D83A07" w:rsidR="007709DA" w:rsidRDefault="005215A7" w:rsidP="000C785F">
      <w:pPr>
        <w:pStyle w:val="ListParagraph"/>
        <w:numPr>
          <w:ilvl w:val="0"/>
          <w:numId w:val="20"/>
        </w:numPr>
      </w:pPr>
      <w:r>
        <w:t xml:space="preserve">right-click on the </w:t>
      </w:r>
      <w:r w:rsidR="000C785F">
        <w:t>sheet from the list</w:t>
      </w:r>
      <w:r w:rsidR="00837BF3">
        <w:t xml:space="preserve"> in the Project Explorer,</w:t>
      </w:r>
      <w:r w:rsidR="000C785F">
        <w:t xml:space="preserve"> and select ‘View Object’ to se</w:t>
      </w:r>
      <w:r>
        <w:t xml:space="preserve">e the </w:t>
      </w:r>
      <w:r w:rsidR="007709DA">
        <w:t xml:space="preserve">sheet (or </w:t>
      </w:r>
      <w:r>
        <w:t xml:space="preserve">enter </w:t>
      </w:r>
      <w:r w:rsidR="007709DA">
        <w:t>Shift + F7)</w:t>
      </w:r>
      <w:r w:rsidR="006252D4">
        <w:t>;</w:t>
      </w:r>
    </w:p>
    <w:p w14:paraId="4A0FE578" w14:textId="77223BE5" w:rsidR="000C785F" w:rsidRDefault="000C785F" w:rsidP="00580810">
      <w:pPr>
        <w:pStyle w:val="ListParagraph"/>
        <w:numPr>
          <w:ilvl w:val="0"/>
          <w:numId w:val="20"/>
        </w:numPr>
      </w:pPr>
      <w:proofErr w:type="gramStart"/>
      <w:r>
        <w:t>exit</w:t>
      </w:r>
      <w:proofErr w:type="gramEnd"/>
      <w:r>
        <w:t xml:space="preserve"> the </w:t>
      </w:r>
      <w:r w:rsidR="00F06F0F">
        <w:t xml:space="preserve">Visual Basic editor </w:t>
      </w:r>
      <w:r>
        <w:t>by clicking ‘</w:t>
      </w:r>
      <w:r w:rsidRPr="007709DA">
        <w:rPr>
          <w:i/>
        </w:rPr>
        <w:t>Close and return to Microsoft Excel</w:t>
      </w:r>
      <w:r w:rsidR="007709DA">
        <w:t>’ under the ‘FILE</w:t>
      </w:r>
      <w:r>
        <w:t>’</w:t>
      </w:r>
      <w:r w:rsidR="007709DA">
        <w:t xml:space="preserve"> tab</w:t>
      </w:r>
      <w:r>
        <w:t xml:space="preserve"> (or </w:t>
      </w:r>
      <w:r w:rsidR="007709DA">
        <w:t xml:space="preserve">enter </w:t>
      </w:r>
      <w:r>
        <w:t>Alt + Q).</w:t>
      </w:r>
      <w:r w:rsidRPr="001E0D2B">
        <w:t xml:space="preserve"> </w:t>
      </w:r>
    </w:p>
    <w:p w14:paraId="6F43C892" w14:textId="77777777" w:rsidR="00A4274C" w:rsidRDefault="00EA375D" w:rsidP="00A4274C">
      <w:pPr>
        <w:pStyle w:val="Heading1"/>
      </w:pPr>
      <w:r>
        <w:lastRenderedPageBreak/>
        <w:t xml:space="preserve">Fitting the </w:t>
      </w:r>
      <w:proofErr w:type="spellStart"/>
      <w:r w:rsidRPr="0014400F">
        <w:rPr>
          <w:i/>
        </w:rPr>
        <w:t>metalog</w:t>
      </w:r>
      <w:proofErr w:type="spellEnd"/>
      <w:r w:rsidR="009043D2">
        <w:rPr>
          <w:rStyle w:val="FootnoteReference"/>
          <w:i/>
        </w:rPr>
        <w:footnoteReference w:id="4"/>
      </w:r>
      <w:r>
        <w:t xml:space="preserve"> distribution:</w:t>
      </w:r>
    </w:p>
    <w:p w14:paraId="34C52260" w14:textId="6D49B9A1" w:rsidR="00E917AE" w:rsidRPr="00A4274C" w:rsidRDefault="005950F0" w:rsidP="005950F0">
      <w:pPr>
        <w:pStyle w:val="Heading2"/>
      </w:pPr>
      <w:r>
        <w:t>3.1   Background</w:t>
      </w:r>
    </w:p>
    <w:p w14:paraId="54A609DC" w14:textId="203D5F8B" w:rsidR="007237E4" w:rsidRDefault="00EA375D" w:rsidP="00EA375D">
      <w:r>
        <w:t xml:space="preserve">The </w:t>
      </w:r>
      <w:proofErr w:type="spellStart"/>
      <w:r>
        <w:t>metalog</w:t>
      </w:r>
      <w:proofErr w:type="spellEnd"/>
      <w:r>
        <w:t xml:space="preserve"> (“meta-logistic”) distribution is a logistic distribution </w:t>
      </w:r>
      <w:r w:rsidR="00554DC1">
        <w:t>whose</w:t>
      </w:r>
      <w:r>
        <w:t xml:space="preserve"> quantile function</w:t>
      </w:r>
      <w:r w:rsidR="00554DC1">
        <w:t xml:space="preserve"> has been</w:t>
      </w:r>
      <w:r>
        <w:t xml:space="preserve"> modified to incorporate additional shape parameters. It falls into the class of Quantile-Parameterized Distribution</w:t>
      </w:r>
      <w:r w:rsidR="00554DC1">
        <w:t>s</w:t>
      </w:r>
      <w:r>
        <w:t xml:space="preserve"> (QPD</w:t>
      </w:r>
      <w:r w:rsidR="00554DC1">
        <w:t>s</w:t>
      </w:r>
      <w:r>
        <w:t xml:space="preserve">) developed by </w:t>
      </w:r>
      <w:proofErr w:type="spellStart"/>
      <w:r>
        <w:t>Keelin</w:t>
      </w:r>
      <w:proofErr w:type="spellEnd"/>
      <w:r>
        <w:t xml:space="preserve"> </w:t>
      </w:r>
      <w:r w:rsidR="00554DC1">
        <w:t>and Powley (2011</w:t>
      </w:r>
      <w:r>
        <w:t>),</w:t>
      </w:r>
      <w:r w:rsidR="00554DC1">
        <w:t xml:space="preserve"> which refers to any continuous probability distribution </w:t>
      </w:r>
      <w:r w:rsidR="00EC797F">
        <w:t>with a quantile function that can be re-expressed as the sum of linearly independent</w:t>
      </w:r>
      <w:r w:rsidR="009839EA">
        <w:t xml:space="preserve"> functions of cumulative probability.</w:t>
      </w:r>
      <w:r w:rsidR="009839EA">
        <w:rPr>
          <w:rStyle w:val="FootnoteReference"/>
        </w:rPr>
        <w:footnoteReference w:id="5"/>
      </w:r>
      <w:r w:rsidR="00554DC1">
        <w:t xml:space="preserve"> Any distribution that falls into this category can be used as a base</w:t>
      </w:r>
      <w:r w:rsidR="007237E4">
        <w:t xml:space="preserve"> distribution, and additional parameters can be added to either its quantile function</w:t>
      </w:r>
      <w:r w:rsidR="00DF0A0C">
        <w:t>, PDF</w:t>
      </w:r>
      <w:r w:rsidR="007237E4">
        <w:t xml:space="preserve"> or CDF to give the distribution greater flexibility in modelling uncertainty (see for example the “Q-Normal</w:t>
      </w:r>
      <w:r w:rsidR="00CF652E">
        <w:t>,</w:t>
      </w:r>
      <w:r w:rsidR="007237E4">
        <w:t>”</w:t>
      </w:r>
      <w:r w:rsidR="00CF652E">
        <w:t xml:space="preserve"> ibid).</w:t>
      </w:r>
    </w:p>
    <w:p w14:paraId="00D52527" w14:textId="77777777" w:rsidR="00EA375D" w:rsidRDefault="00554DC1" w:rsidP="007237E4">
      <w:pPr>
        <w:autoSpaceDE w:val="0"/>
        <w:autoSpaceDN w:val="0"/>
        <w:adjustRightInd w:val="0"/>
        <w:spacing w:after="0" w:line="240" w:lineRule="auto"/>
      </w:pPr>
      <w:r>
        <w:t xml:space="preserve">The logistic distribution is chosen as </w:t>
      </w:r>
      <w:r w:rsidR="00D800E2">
        <w:t xml:space="preserve">a </w:t>
      </w:r>
      <w:r>
        <w:t xml:space="preserve">base distribution by </w:t>
      </w:r>
      <w:proofErr w:type="spellStart"/>
      <w:r>
        <w:t>Keelin</w:t>
      </w:r>
      <w:proofErr w:type="spellEnd"/>
      <w:r>
        <w:t xml:space="preserve"> (2016) because, in addition to being a QPD, it has convenient clos</w:t>
      </w:r>
      <w:r w:rsidR="007237E4">
        <w:t xml:space="preserve">ed-form expressions for its PDF, </w:t>
      </w:r>
      <w:r>
        <w:t>CDF</w:t>
      </w:r>
      <w:r w:rsidR="007237E4">
        <w:t xml:space="preserve"> and quantile function</w:t>
      </w:r>
      <w:r w:rsidR="00711FD8">
        <w:t>, and possesses oth</w:t>
      </w:r>
      <w:r w:rsidR="007237E4">
        <w:t xml:space="preserve">er desirable </w:t>
      </w:r>
      <w:r w:rsidR="00711FD8">
        <w:t>characteristics</w:t>
      </w:r>
      <w:r w:rsidR="007237E4">
        <w:t xml:space="preserve"> such as “</w:t>
      </w:r>
      <w:r w:rsidR="007237E4" w:rsidRPr="007237E4">
        <w:rPr>
          <w:rFonts w:cs="Times New Roman"/>
        </w:rPr>
        <w:t>smoothness and symmetry</w:t>
      </w:r>
      <w:r w:rsidR="007237E4">
        <w:rPr>
          <w:rFonts w:cs="Times New Roman"/>
        </w:rPr>
        <w:t xml:space="preserve">; infinite differentiability in </w:t>
      </w:r>
      <w:r w:rsidR="007237E4" w:rsidRPr="007237E4">
        <w:rPr>
          <w:rFonts w:cs="Times New Roman"/>
        </w:rPr>
        <w:t>closed form; tail behavior that is “in between” the lighter-tailed beta a</w:t>
      </w:r>
      <w:r w:rsidR="007237E4">
        <w:rPr>
          <w:rFonts w:cs="Times New Roman"/>
        </w:rPr>
        <w:t xml:space="preserve">nd normal distributions and the </w:t>
      </w:r>
      <w:r w:rsidR="007237E4" w:rsidRPr="007237E4">
        <w:rPr>
          <w:rFonts w:cs="Times New Roman"/>
        </w:rPr>
        <w:t>heavier-tailed student t distributions, and its wide range of fully-investigated and well-known properties</w:t>
      </w:r>
      <w:r w:rsidR="007237E4">
        <w:rPr>
          <w:rFonts w:cs="Times New Roman"/>
        </w:rPr>
        <w:t xml:space="preserve">.” (p. 12, </w:t>
      </w:r>
      <w:proofErr w:type="spellStart"/>
      <w:r w:rsidR="007237E4">
        <w:t>Keelin</w:t>
      </w:r>
      <w:proofErr w:type="spellEnd"/>
      <w:r w:rsidR="007237E4">
        <w:t>, 2016)</w:t>
      </w:r>
      <w:r w:rsidR="00D800E2">
        <w:t xml:space="preserve">. To demonstrate, we adopt </w:t>
      </w:r>
      <w:proofErr w:type="spellStart"/>
      <w:r w:rsidR="00D800E2">
        <w:t>Keelin’s</w:t>
      </w:r>
      <w:proofErr w:type="spellEnd"/>
      <w:r w:rsidR="00D800E2">
        <w:t xml:space="preserve"> </w:t>
      </w:r>
      <w:r w:rsidR="0013046E">
        <w:t>notation</w:t>
      </w:r>
      <w:r w:rsidR="00D800E2">
        <w:t xml:space="preserve"> and define the (unmodified) quantile function of the logistic distribution as follows:</w:t>
      </w:r>
    </w:p>
    <w:p w14:paraId="0BFEEFAF" w14:textId="77777777" w:rsidR="00D800E2" w:rsidRDefault="00D800E2" w:rsidP="007237E4">
      <w:pPr>
        <w:autoSpaceDE w:val="0"/>
        <w:autoSpaceDN w:val="0"/>
        <w:adjustRightInd w:val="0"/>
        <w:spacing w:after="0" w:line="240" w:lineRule="auto"/>
      </w:pPr>
    </w:p>
    <w:p w14:paraId="4E3DCDFD" w14:textId="77777777" w:rsidR="001E36B2" w:rsidRPr="00D800E2" w:rsidRDefault="00D800E2" w:rsidP="00D800E2">
      <w:pPr>
        <w:autoSpaceDE w:val="0"/>
        <w:autoSpaceDN w:val="0"/>
        <w:adjustRightInd w:val="0"/>
        <w:spacing w:after="0" w:line="240" w:lineRule="auto"/>
        <w:rPr>
          <w:rFonts w:eastAsiaTheme="minorEastAsia"/>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y</m:t>
              </m:r>
            </m:e>
          </m:d>
          <m:r>
            <w:rPr>
              <w:rFonts w:ascii="Cambria Math" w:hAnsi="Cambria Math" w:cs="Times New Roman"/>
            </w:rPr>
            <m:t xml:space="preserve">=μ+s </m:t>
          </m:r>
          <m:r>
            <m:rPr>
              <m:sty m:val="p"/>
            </m:rP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1-y</m:t>
                  </m:r>
                </m:den>
              </m:f>
            </m:e>
          </m:d>
        </m:oMath>
      </m:oMathPara>
    </w:p>
    <w:p w14:paraId="341437D8" w14:textId="77777777" w:rsidR="00D800E2" w:rsidRDefault="00D800E2" w:rsidP="00D800E2">
      <w:pPr>
        <w:autoSpaceDE w:val="0"/>
        <w:autoSpaceDN w:val="0"/>
        <w:adjustRightInd w:val="0"/>
        <w:spacing w:after="0" w:line="240" w:lineRule="auto"/>
        <w:rPr>
          <w:rFonts w:eastAsiaTheme="minorEastAsia"/>
        </w:rPr>
      </w:pPr>
    </w:p>
    <w:p w14:paraId="06AF1BDC" w14:textId="77777777" w:rsidR="00D800E2" w:rsidRDefault="00D800E2" w:rsidP="00D800E2">
      <w:pPr>
        <w:autoSpaceDE w:val="0"/>
        <w:autoSpaceDN w:val="0"/>
        <w:adjustRightInd w:val="0"/>
        <w:spacing w:after="0" w:line="240" w:lineRule="auto"/>
      </w:pPr>
      <m:oMathPara>
        <m:oMath>
          <m:r>
            <w:rPr>
              <w:rFonts w:ascii="Cambria Math" w:hAnsi="Cambria Math"/>
            </w:rPr>
            <m:t>0&lt;y&lt;1,</m:t>
          </m:r>
        </m:oMath>
      </m:oMathPara>
    </w:p>
    <w:p w14:paraId="06CC77DB" w14:textId="77777777" w:rsidR="001E36B2" w:rsidRDefault="001E36B2" w:rsidP="001E36B2"/>
    <w:p w14:paraId="6D1EB11F" w14:textId="77777777" w:rsidR="0013046E" w:rsidRDefault="00F672BB" w:rsidP="001E36B2">
      <w:pPr>
        <w:rPr>
          <w:rFonts w:eastAsiaTheme="minorEastAsia"/>
        </w:rPr>
      </w:pPr>
      <w:proofErr w:type="gramStart"/>
      <w:r>
        <w:t>where</w:t>
      </w:r>
      <w:proofErr w:type="gramEnd"/>
      <w:r>
        <w:t xml:space="preserve"> </w:t>
      </w:r>
      <m:oMath>
        <m:r>
          <w:rPr>
            <w:rFonts w:ascii="Cambria Math" w:hAnsi="Cambria Math" w:cs="Times New Roman"/>
          </w:rPr>
          <m:t>μ</m:t>
        </m:r>
      </m:oMath>
      <w:r w:rsidR="00D800E2">
        <w:rPr>
          <w:rFonts w:eastAsiaTheme="minorEastAsia"/>
        </w:rPr>
        <w:t xml:space="preserve"> is the mean, media</w:t>
      </w:r>
      <w:r w:rsidR="0013046E">
        <w:rPr>
          <w:rFonts w:eastAsiaTheme="minorEastAsia"/>
        </w:rPr>
        <w:t xml:space="preserve">n, and mode of the distribution, and </w:t>
      </w:r>
      <m:oMath>
        <m:r>
          <w:rPr>
            <w:rFonts w:ascii="Cambria Math" w:eastAsiaTheme="minorEastAsia" w:hAnsi="Cambria Math"/>
          </w:rPr>
          <m:t>s=</m:t>
        </m:r>
        <m:f>
          <m:fPr>
            <m:ctrlPr>
              <w:rPr>
                <w:rFonts w:ascii="Cambria Math" w:hAnsi="Cambria Math" w:cs="Times New Roman"/>
                <w:i/>
              </w:rPr>
            </m:ctrlPr>
          </m:fPr>
          <m:num>
            <m:r>
              <w:rPr>
                <w:rFonts w:ascii="Cambria Math" w:hAnsi="Cambria Math" w:cs="Times New Roman"/>
              </w:rPr>
              <m:t>σ√3</m:t>
            </m:r>
          </m:num>
          <m:den>
            <m:r>
              <w:rPr>
                <w:rFonts w:ascii="Cambria Math" w:hAnsi="Cambria Math" w:cs="Times New Roman"/>
              </w:rPr>
              <m:t>π</m:t>
            </m:r>
          </m:den>
        </m:f>
      </m:oMath>
      <w:r w:rsidR="0013046E">
        <w:rPr>
          <w:rFonts w:eastAsiaTheme="minorEastAsia"/>
        </w:rPr>
        <w:t xml:space="preserve">, where </w:t>
      </w:r>
      <m:oMath>
        <m:r>
          <w:rPr>
            <w:rFonts w:ascii="Cambria Math" w:hAnsi="Cambria Math" w:cs="Times New Roman"/>
          </w:rPr>
          <m:t>σ</m:t>
        </m:r>
      </m:oMath>
      <w:r w:rsidR="0013046E">
        <w:rPr>
          <w:rFonts w:eastAsiaTheme="minorEastAsia"/>
        </w:rPr>
        <w:t xml:space="preserve"> is the standard deviation. Given the quantile function is linear in its parameters, the logistic distribution is a QPD </w:t>
      </w:r>
      <w:r>
        <w:rPr>
          <w:rFonts w:eastAsiaTheme="minorEastAsia"/>
        </w:rPr>
        <w:t>by definition.</w:t>
      </w:r>
      <w:r w:rsidR="0013046E">
        <w:rPr>
          <w:rFonts w:eastAsiaTheme="minorEastAsia"/>
        </w:rPr>
        <w:t xml:space="preserve"> </w:t>
      </w:r>
    </w:p>
    <w:p w14:paraId="71BAA8C5" w14:textId="42A51BA8" w:rsidR="00E917AE" w:rsidRDefault="00E917AE" w:rsidP="001E36B2">
      <w:pPr>
        <w:rPr>
          <w:rFonts w:eastAsiaTheme="minorEastAsia"/>
        </w:rPr>
      </w:pPr>
      <w:r>
        <w:t xml:space="preserve">To modify the quantile function, we re-express </w:t>
      </w:r>
      <m:oMath>
        <m:r>
          <w:rPr>
            <w:rFonts w:ascii="Cambria Math" w:hAnsi="Cambria Math" w:cs="Times New Roman"/>
          </w:rPr>
          <m:t>μ</m:t>
        </m:r>
      </m:oMath>
      <w:r>
        <w:rPr>
          <w:rFonts w:eastAsiaTheme="minorEastAsia"/>
        </w:rPr>
        <w:t xml:space="preserve"> and </w:t>
      </w:r>
      <m:oMath>
        <m:r>
          <w:rPr>
            <w:rFonts w:ascii="Cambria Math" w:eastAsiaTheme="minorEastAsia" w:hAnsi="Cambria Math"/>
          </w:rPr>
          <m:t>s</m:t>
        </m:r>
      </m:oMath>
      <w:r>
        <w:rPr>
          <w:rFonts w:eastAsiaTheme="minorEastAsia"/>
        </w:rPr>
        <w:t xml:space="preserve"> in terms </w:t>
      </w:r>
      <w:r w:rsidR="007B4E86">
        <w:rPr>
          <w:rFonts w:eastAsiaTheme="minorEastAsia"/>
        </w:rPr>
        <w:t>of</w:t>
      </w:r>
      <m:oMath>
        <m:r>
          <w:rPr>
            <w:rFonts w:ascii="Cambria Math" w:eastAsiaTheme="minorEastAsia" w:hAnsi="Cambria Math"/>
          </w:rPr>
          <m:t xml:space="preserve"> </m:t>
        </m:r>
        <m:r>
          <w:rPr>
            <w:rFonts w:ascii="Cambria Math" w:hAnsi="Cambria Math"/>
          </w:rPr>
          <m:t>y</m:t>
        </m:r>
      </m:oMath>
      <w:r>
        <w:rPr>
          <w:rFonts w:eastAsiaTheme="minorEastAsia"/>
        </w:rPr>
        <w:t xml:space="preserve">, and add shape </w:t>
      </w:r>
      <w:r w:rsidR="00B24AA1">
        <w:rPr>
          <w:rFonts w:eastAsiaTheme="minorEastAsia"/>
        </w:rPr>
        <w:t>parameters</w:t>
      </w:r>
      <w:r w:rsidR="00B24AA1">
        <w:rPr>
          <w:rStyle w:val="FootnoteReference"/>
          <w:rFonts w:eastAsiaTheme="minorEastAsia"/>
        </w:rPr>
        <w:footnoteReference w:id="6"/>
      </w:r>
      <w:r w:rsidR="00B24AA1">
        <w:rPr>
          <w:rFonts w:eastAsiaTheme="minorEastAsia"/>
        </w:rPr>
        <w:t xml:space="preserve"> in the form of real</w:t>
      </w:r>
      <w:r w:rsidR="00030677">
        <w:rPr>
          <w:rFonts w:eastAsiaTheme="minorEastAsia"/>
        </w:rPr>
        <w:t>-valued</w:t>
      </w:r>
      <w:r w:rsidR="00B24AA1">
        <w:rPr>
          <w:rFonts w:eastAsiaTheme="minorEastAsia"/>
        </w:rPr>
        <w:t xml:space="preserve"> constants, </w:t>
      </w:r>
      <m:oMath>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i</m:t>
            </m:r>
          </m:sub>
        </m:sSub>
        <m:r>
          <w:rPr>
            <w:rFonts w:ascii="Cambria Math" w:hAnsi="Cambria Math" w:cs="Calibri"/>
            <w:vertAlign w:val="subscript"/>
          </w:rPr>
          <m:t>:</m:t>
        </m:r>
      </m:oMath>
    </w:p>
    <w:p w14:paraId="20E98B4C" w14:textId="77777777" w:rsidR="00E917AE" w:rsidRPr="007B4E86" w:rsidRDefault="007B4E86" w:rsidP="001E36B2">
      <w:pPr>
        <w:rPr>
          <w:rFonts w:eastAsiaTheme="minorEastAsia"/>
        </w:rPr>
      </w:pPr>
      <m:oMathPara>
        <m:oMath>
          <m:r>
            <w:rPr>
              <w:rFonts w:ascii="Cambria Math" w:eastAsiaTheme="minorEastAsia" w:hAnsi="Cambria Math"/>
              <w:vertAlign w:val="subscript"/>
            </w:rPr>
            <m:t>μ</m:t>
          </m:r>
          <m:r>
            <w:rPr>
              <w:rFonts w:ascii="Cambria Math" w:hAnsi="Cambria Math" w:cs="Calibri"/>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1</m:t>
              </m:r>
            </m:sub>
          </m:sSub>
          <m:r>
            <m:rPr>
              <m:sty m:val="p"/>
            </m:rPr>
            <w:rPr>
              <w:rFonts w:ascii="Cambria Math" w:hAnsi="Cambria Math" w:cs="Calibri"/>
            </w:rPr>
            <m:t xml:space="preserve"> +</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4</m:t>
              </m:r>
            </m:sub>
          </m:sSub>
          <m:d>
            <m:dPr>
              <m:ctrlPr>
                <w:rPr>
                  <w:rFonts w:ascii="Cambria Math" w:hAnsi="Cambria Math" w:cs="Calibri"/>
                </w:rPr>
              </m:ctrlPr>
            </m:dPr>
            <m:e>
              <m:r>
                <m:rPr>
                  <m:sty m:val="p"/>
                </m:rPr>
                <w:rPr>
                  <w:rFonts w:ascii="Cambria Math" w:hAnsi="Cambria Math" w:cs="Calibri"/>
                </w:rPr>
                <m:t>y -0.5</m:t>
              </m:r>
            </m:e>
          </m:d>
          <m:r>
            <m:rPr>
              <m:sty m:val="p"/>
            </m:rPr>
            <w:rPr>
              <w:rFonts w:ascii="Cambria Math" w:hAnsi="Cambria Math" w:cs="Calibri"/>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5</m:t>
              </m:r>
            </m:sub>
          </m:sSub>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y-0.5</m:t>
                  </m:r>
                </m:e>
              </m:d>
            </m:e>
            <m:sup>
              <m:r>
                <w:rPr>
                  <w:rFonts w:ascii="Cambria Math" w:hAnsi="Cambria Math" w:cs="Calibri"/>
                </w:rPr>
                <m:t>2</m:t>
              </m:r>
            </m:sup>
          </m:sSup>
          <m:r>
            <m:rPr>
              <m:sty m:val="p"/>
            </m:rPr>
            <w:rPr>
              <w:rFonts w:ascii="Cambria Math" w:hAnsi="Cambria Math" w:cs="Calibri"/>
            </w:rPr>
            <m:t xml:space="preserve">+ </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7</m:t>
              </m:r>
            </m:sub>
          </m:sSub>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y-0.5</m:t>
                  </m:r>
                </m:e>
              </m:d>
            </m:e>
            <m:sup>
              <m:r>
                <w:rPr>
                  <w:rFonts w:ascii="Cambria Math" w:hAnsi="Cambria Math" w:cs="Calibri"/>
                </w:rPr>
                <m:t>3</m:t>
              </m:r>
            </m:sup>
          </m:sSup>
          <m:r>
            <m:rPr>
              <m:sty m:val="p"/>
            </m:rPr>
            <w:rPr>
              <w:rFonts w:ascii="Cambria Math" w:hAnsi="Cambria Math" w:cs="Calibri"/>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9</m:t>
              </m:r>
            </m:sub>
          </m:sSub>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y-0.5</m:t>
                  </m:r>
                </m:e>
              </m:d>
            </m:e>
            <m:sup>
              <m:r>
                <w:rPr>
                  <w:rFonts w:ascii="Cambria Math" w:hAnsi="Cambria Math" w:cs="Calibri"/>
                </w:rPr>
                <m:t>4</m:t>
              </m:r>
            </m:sup>
          </m:sSup>
          <m:r>
            <m:rPr>
              <m:sty m:val="p"/>
            </m:rPr>
            <w:rPr>
              <w:rFonts w:ascii="Cambria Math" w:hAnsi="Cambria Math" w:cs="Calibri"/>
            </w:rPr>
            <m:t xml:space="preserve">… </m:t>
          </m:r>
        </m:oMath>
      </m:oMathPara>
    </w:p>
    <w:p w14:paraId="3A91B4A8" w14:textId="77777777" w:rsidR="00EB26A8" w:rsidRDefault="007B4E86" w:rsidP="001E36B2">
      <m:oMathPara>
        <m:oMath>
          <m:r>
            <w:rPr>
              <w:rFonts w:ascii="Cambria Math" w:eastAsiaTheme="minorEastAsia" w:hAnsi="Cambria Math"/>
              <w:vertAlign w:val="subscript"/>
            </w:rPr>
            <m:t>s</m:t>
          </m:r>
          <m:r>
            <w:rPr>
              <w:rFonts w:ascii="Cambria Math" w:hAnsi="Cambria Math" w:cs="Calibri"/>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2</m:t>
              </m:r>
            </m:sub>
          </m:sSub>
          <m:r>
            <m:rPr>
              <m:sty m:val="p"/>
            </m:rPr>
            <w:rPr>
              <w:rFonts w:ascii="Cambria Math" w:hAnsi="Cambria Math" w:cs="Calibri"/>
            </w:rPr>
            <m:t xml:space="preserve"> +</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3</m:t>
              </m:r>
            </m:sub>
          </m:sSub>
          <m:d>
            <m:dPr>
              <m:ctrlPr>
                <w:rPr>
                  <w:rFonts w:ascii="Cambria Math" w:hAnsi="Cambria Math" w:cs="Calibri"/>
                </w:rPr>
              </m:ctrlPr>
            </m:dPr>
            <m:e>
              <m:r>
                <m:rPr>
                  <m:sty m:val="p"/>
                </m:rPr>
                <w:rPr>
                  <w:rFonts w:ascii="Cambria Math" w:hAnsi="Cambria Math" w:cs="Calibri"/>
                </w:rPr>
                <m:t>y -0.5</m:t>
              </m:r>
            </m:e>
          </m:d>
          <m:r>
            <m:rPr>
              <m:sty m:val="p"/>
            </m:rPr>
            <w:rPr>
              <w:rFonts w:ascii="Cambria Math" w:hAnsi="Cambria Math" w:cs="Calibri"/>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6</m:t>
              </m:r>
            </m:sub>
          </m:sSub>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y-0.5</m:t>
                  </m:r>
                </m:e>
              </m:d>
            </m:e>
            <m:sup>
              <m:r>
                <w:rPr>
                  <w:rFonts w:ascii="Cambria Math" w:hAnsi="Cambria Math" w:cs="Calibri"/>
                </w:rPr>
                <m:t>2</m:t>
              </m:r>
            </m:sup>
          </m:sSup>
          <m:r>
            <m:rPr>
              <m:sty m:val="p"/>
            </m:rPr>
            <w:rPr>
              <w:rFonts w:ascii="Cambria Math" w:hAnsi="Cambria Math" w:cs="Calibri"/>
            </w:rPr>
            <m:t xml:space="preserve">+ </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8</m:t>
              </m:r>
            </m:sub>
          </m:sSub>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y-0.5</m:t>
                  </m:r>
                </m:e>
              </m:d>
            </m:e>
            <m:sup>
              <m:r>
                <w:rPr>
                  <w:rFonts w:ascii="Cambria Math" w:hAnsi="Cambria Math" w:cs="Calibri"/>
                </w:rPr>
                <m:t>3</m:t>
              </m:r>
            </m:sup>
          </m:sSup>
          <m:r>
            <m:rPr>
              <m:sty m:val="p"/>
            </m:rPr>
            <w:rPr>
              <w:rFonts w:ascii="Cambria Math" w:hAnsi="Cambria Math" w:cs="Calibri"/>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10</m:t>
              </m:r>
            </m:sub>
          </m:sSub>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y-0.5</m:t>
                  </m:r>
                </m:e>
              </m:d>
            </m:e>
            <m:sup>
              <m:r>
                <w:rPr>
                  <w:rFonts w:ascii="Cambria Math" w:hAnsi="Cambria Math" w:cs="Calibri"/>
                </w:rPr>
                <m:t>4</m:t>
              </m:r>
            </m:sup>
          </m:sSup>
          <m:r>
            <m:rPr>
              <m:sty m:val="p"/>
            </m:rPr>
            <w:rPr>
              <w:rFonts w:ascii="Cambria Math" w:hAnsi="Cambria Math" w:cs="Calibri"/>
            </w:rPr>
            <m:t xml:space="preserve">… </m:t>
          </m:r>
        </m:oMath>
      </m:oMathPara>
    </w:p>
    <w:p w14:paraId="02CC66E7" w14:textId="2010CCC8" w:rsidR="00EB26A8" w:rsidRPr="0000317D" w:rsidRDefault="00EB26A8" w:rsidP="001E36B2">
      <w:r>
        <w:t xml:space="preserve">Substituting these expressions for </w:t>
      </w:r>
      <m:oMath>
        <m:r>
          <w:rPr>
            <w:rFonts w:ascii="Cambria Math" w:hAnsi="Cambria Math" w:cs="Times New Roman"/>
          </w:rPr>
          <m:t>μ</m:t>
        </m:r>
      </m:oMath>
      <w:r>
        <w:rPr>
          <w:rFonts w:eastAsiaTheme="minorEastAsia"/>
        </w:rPr>
        <w:t xml:space="preserve"> and </w:t>
      </w:r>
      <m:oMath>
        <m:r>
          <w:rPr>
            <w:rFonts w:ascii="Cambria Math" w:eastAsiaTheme="minorEastAsia" w:hAnsi="Cambria Math"/>
          </w:rPr>
          <m:t>s</m:t>
        </m:r>
      </m:oMath>
      <w:r>
        <w:rPr>
          <w:rFonts w:eastAsiaTheme="minorEastAsia"/>
        </w:rPr>
        <w:t xml:space="preserve"> back into the quantile function returns a new quantile function whose properties</w:t>
      </w:r>
      <w:r w:rsidR="00583A74">
        <w:rPr>
          <w:rFonts w:eastAsiaTheme="minorEastAsia"/>
        </w:rPr>
        <w:t xml:space="preserve"> can</w:t>
      </w:r>
      <w:r>
        <w:rPr>
          <w:rFonts w:eastAsiaTheme="minorEastAsia"/>
        </w:rPr>
        <w:t xml:space="preserve"> </w:t>
      </w:r>
      <w:r w:rsidR="0000317D">
        <w:rPr>
          <w:rFonts w:eastAsiaTheme="minorEastAsia"/>
        </w:rPr>
        <w:t>vary</w:t>
      </w:r>
      <w:r>
        <w:rPr>
          <w:rFonts w:eastAsiaTheme="minorEastAsia"/>
        </w:rPr>
        <w:t xml:space="preserve"> systematically with the choice(s) </w:t>
      </w:r>
      <w:r w:rsidR="0000317D">
        <w:rPr>
          <w:rFonts w:eastAsiaTheme="minorEastAsia"/>
        </w:rPr>
        <w:t>of</w:t>
      </w:r>
      <m:oMath>
        <m:r>
          <w:rPr>
            <w:rFonts w:ascii="Cambria Math" w:eastAsiaTheme="minorEastAsia" w:hAnsi="Cambria Math"/>
          </w:rPr>
          <m:t xml:space="preserve"> </m:t>
        </m:r>
        <m:r>
          <m:rPr>
            <m:sty m:val="p"/>
          </m:rPr>
          <w:rPr>
            <w:rFonts w:ascii="Cambria Math" w:hAnsi="Cambria Math"/>
          </w:rPr>
          <m:t xml:space="preserve"> </m:t>
        </m:r>
        <m:r>
          <m:rPr>
            <m:sty m:val="b"/>
          </m:rPr>
          <w:rPr>
            <w:rFonts w:ascii="Cambria Math" w:eastAsiaTheme="minorEastAsia" w:hAnsi="Cambria Math"/>
            <w:vertAlign w:val="subscript"/>
          </w:rPr>
          <m:t>a</m:t>
        </m:r>
        <m:r>
          <w:rPr>
            <w:rFonts w:ascii="Cambria Math" w:eastAsiaTheme="minorEastAsia" w:hAnsi="Cambria Math"/>
            <w:vertAlign w:val="subscript"/>
          </w:rPr>
          <m:t>=</m:t>
        </m:r>
        <m:d>
          <m:dPr>
            <m:ctrlPr>
              <w:rPr>
                <w:rFonts w:ascii="Cambria Math" w:eastAsiaTheme="minorEastAsia" w:hAnsi="Cambria Math"/>
                <w:i/>
                <w:vertAlign w:val="subscript"/>
              </w:rPr>
            </m:ctrlPr>
          </m:dPr>
          <m:e>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1</m:t>
                </m:r>
              </m:sub>
            </m:sSub>
            <m:r>
              <w:rPr>
                <w:rFonts w:ascii="Cambria Math" w:hAnsi="Cambria Math" w:cs="Calibri"/>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2</m:t>
                </m:r>
              </m:sub>
            </m:sSub>
            <m:r>
              <w:rPr>
                <w:rFonts w:ascii="Cambria Math" w:hAnsi="Cambria Math" w:cs="Calibri"/>
                <w:vertAlign w:val="subscript"/>
              </w:rPr>
              <m:t xml:space="preserve">,…., </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n</m:t>
                </m:r>
              </m:sub>
            </m:sSub>
            <m:ctrlPr>
              <w:rPr>
                <w:rFonts w:ascii="Cambria Math" w:hAnsi="Cambria Math" w:cs="Calibri"/>
                <w:i/>
                <w:vertAlign w:val="subscript"/>
              </w:rPr>
            </m:ctrlPr>
          </m:e>
        </m:d>
        <m:r>
          <m:rPr>
            <m:sty m:val="p"/>
          </m:rPr>
          <w:rPr>
            <w:rFonts w:ascii="Cambria Math" w:eastAsiaTheme="minorEastAsia" w:hAnsi="Cambria Math"/>
            <w:vertAlign w:val="subscript"/>
          </w:rPr>
          <m:t xml:space="preserve">. </m:t>
        </m:r>
      </m:oMath>
      <w:r w:rsidRPr="00B24AA1">
        <w:rPr>
          <w:rFonts w:eastAsiaTheme="minorEastAsia"/>
        </w:rPr>
        <w:t>For</w:t>
      </w:r>
      <w:r>
        <w:rPr>
          <w:rFonts w:eastAsiaTheme="minorEastAsia"/>
        </w:rPr>
        <w:t xml:space="preserve"> example, certain values of the shape parameters will result in left- or right-skewed distributions, </w:t>
      </w:r>
      <w:r w:rsidR="0000317D">
        <w:rPr>
          <w:rFonts w:eastAsiaTheme="minorEastAsia"/>
        </w:rPr>
        <w:t xml:space="preserve">distributions with lighter </w:t>
      </w:r>
      <w:r w:rsidR="0000317D">
        <w:rPr>
          <w:rFonts w:eastAsiaTheme="minorEastAsia"/>
        </w:rPr>
        <w:lastRenderedPageBreak/>
        <w:t xml:space="preserve">or heavier tails, etc. A larger number of shape parameters implies greater flexibility; </w:t>
      </w:r>
      <w:proofErr w:type="gramStart"/>
      <w:r w:rsidR="0000317D">
        <w:rPr>
          <w:rFonts w:eastAsiaTheme="minorEastAsia"/>
        </w:rPr>
        <w:t xml:space="preserve">if </w:t>
      </w:r>
      <w:proofErr w:type="gramEnd"/>
      <m:oMath>
        <m:r>
          <w:rPr>
            <w:rFonts w:ascii="Cambria Math" w:hAnsi="Cambria Math" w:cs="Calibri"/>
            <w:vertAlign w:val="subscript"/>
          </w:rPr>
          <m:t>n≥5</m:t>
        </m:r>
      </m:oMath>
      <w:r w:rsidR="0000317D">
        <w:rPr>
          <w:rFonts w:eastAsiaTheme="minorEastAsia"/>
        </w:rPr>
        <w:t>, then the metalog can be used to describe multi-modal distributions</w:t>
      </w:r>
      <w:r w:rsidR="00583A74">
        <w:rPr>
          <w:rFonts w:eastAsiaTheme="minorEastAsia"/>
        </w:rPr>
        <w:t>, for example</w:t>
      </w:r>
      <w:r w:rsidR="0000317D">
        <w:rPr>
          <w:rFonts w:eastAsiaTheme="minorEastAsia"/>
        </w:rPr>
        <w:t>.</w:t>
      </w:r>
      <w:r w:rsidR="00E149EC">
        <w:rPr>
          <w:rStyle w:val="FootnoteReference"/>
          <w:rFonts w:eastAsiaTheme="minorEastAsia"/>
        </w:rPr>
        <w:footnoteReference w:id="7"/>
      </w:r>
    </w:p>
    <w:p w14:paraId="76946589" w14:textId="77777777" w:rsidR="00CF652E" w:rsidRDefault="00F34579" w:rsidP="001E36B2">
      <w:pPr>
        <w:rPr>
          <w:rFonts w:eastAsiaTheme="minorEastAsia"/>
        </w:rPr>
      </w:pPr>
      <w:r>
        <w:t>The number of terms,</w:t>
      </w:r>
      <m:oMath>
        <m:r>
          <w:rPr>
            <w:rFonts w:ascii="Cambria Math" w:hAnsi="Cambria Math" w:cs="Calibri"/>
            <w:vertAlign w:val="subscript"/>
          </w:rPr>
          <m:t xml:space="preserve"> n</m:t>
        </m:r>
      </m:oMath>
      <w:proofErr w:type="gramStart"/>
      <w:r>
        <w:rPr>
          <w:rFonts w:eastAsiaTheme="minorEastAsia"/>
          <w:vertAlign w:val="subscript"/>
        </w:rPr>
        <w:t>,</w:t>
      </w:r>
      <w:proofErr w:type="gramEnd"/>
      <w:r>
        <w:t xml:space="preserve"> in</w:t>
      </w:r>
      <w:r w:rsidR="009B553C">
        <w:t xml:space="preserve"> the vector of shape parameters,</w:t>
      </w:r>
      <w:r>
        <w:t xml:space="preserve"> </w:t>
      </w:r>
      <m:oMath>
        <m:r>
          <m:rPr>
            <m:sty m:val="b"/>
          </m:rPr>
          <w:rPr>
            <w:rFonts w:ascii="Cambria Math" w:eastAsiaTheme="minorEastAsia" w:hAnsi="Cambria Math"/>
            <w:vertAlign w:val="subscript"/>
          </w:rPr>
          <m:t>a</m:t>
        </m:r>
        <m:r>
          <w:rPr>
            <w:rFonts w:ascii="Cambria Math" w:eastAsiaTheme="minorEastAsia" w:hAnsi="Cambria Math"/>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1</m:t>
            </m:r>
          </m:sub>
        </m:sSub>
        <m:r>
          <w:rPr>
            <w:rFonts w:ascii="Cambria Math" w:hAnsi="Cambria Math" w:cs="Calibri"/>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2</m:t>
            </m:r>
          </m:sub>
        </m:sSub>
        <m:r>
          <w:rPr>
            <w:rFonts w:ascii="Cambria Math" w:hAnsi="Cambria Math" w:cs="Calibri"/>
            <w:vertAlign w:val="subscript"/>
          </w:rPr>
          <m:t xml:space="preserve">,…., </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n</m:t>
            </m:r>
          </m:sub>
        </m:sSub>
        <m:r>
          <w:rPr>
            <w:rFonts w:ascii="Cambria Math" w:hAnsi="Cambria Math" w:cs="Calibri"/>
            <w:vertAlign w:val="subscript"/>
          </w:rPr>
          <m:t>)</m:t>
        </m:r>
      </m:oMath>
      <w:r w:rsidR="00AF00F8">
        <w:rPr>
          <w:rFonts w:eastAsiaTheme="minorEastAsia"/>
        </w:rPr>
        <w:t>,</w:t>
      </w:r>
      <w:r>
        <w:rPr>
          <w:rFonts w:eastAsiaTheme="minorEastAsia"/>
          <w:vertAlign w:val="subscript"/>
        </w:rPr>
        <w:t xml:space="preserve"> </w:t>
      </w:r>
      <w:r w:rsidR="009B553C">
        <w:rPr>
          <w:rFonts w:eastAsiaTheme="minorEastAsia"/>
          <w:vertAlign w:val="subscript"/>
        </w:rPr>
        <w:t xml:space="preserve"> </w:t>
      </w:r>
      <w:r w:rsidR="009B553C">
        <w:rPr>
          <w:rFonts w:eastAsiaTheme="minorEastAsia"/>
        </w:rPr>
        <w:t>is h</w:t>
      </w:r>
      <w:r w:rsidR="00583A74">
        <w:rPr>
          <w:rFonts w:eastAsiaTheme="minorEastAsia"/>
        </w:rPr>
        <w:t>ow we refer to the distribution. I</w:t>
      </w:r>
      <w:r w:rsidR="009B553C">
        <w:rPr>
          <w:rFonts w:eastAsiaTheme="minorEastAsia"/>
        </w:rPr>
        <w:t>n the case of the</w:t>
      </w:r>
      <w:r w:rsidR="00EB26A8">
        <w:rPr>
          <w:rFonts w:eastAsiaTheme="minorEastAsia"/>
        </w:rPr>
        <w:t xml:space="preserve"> </w:t>
      </w:r>
      <w:r w:rsidR="00EB26A8" w:rsidRPr="00EB26A8">
        <w:rPr>
          <w:rFonts w:eastAsiaTheme="minorEastAsia"/>
          <w:i/>
        </w:rPr>
        <w:t>2018 Survey of Experts on Future Demographic Trends</w:t>
      </w:r>
      <w:r w:rsidR="009B553C">
        <w:rPr>
          <w:rFonts w:eastAsiaTheme="minorEastAsia"/>
        </w:rPr>
        <w:t xml:space="preserve">, we selected </w:t>
      </w:r>
      <m:oMath>
        <m:r>
          <w:rPr>
            <w:rFonts w:ascii="Cambria Math" w:hAnsi="Cambria Math" w:cs="Calibri"/>
            <w:vertAlign w:val="subscript"/>
          </w:rPr>
          <m:t>n=5</m:t>
        </m:r>
      </m:oMath>
      <w:r w:rsidR="009B553C">
        <w:rPr>
          <w:rFonts w:eastAsiaTheme="minorEastAsia"/>
          <w:vertAlign w:val="subscript"/>
        </w:rPr>
        <w:t xml:space="preserve"> </w:t>
      </w:r>
      <w:r w:rsidR="004E6771">
        <w:rPr>
          <w:rFonts w:eastAsiaTheme="minorEastAsia"/>
        </w:rPr>
        <w:t xml:space="preserve">in most cases </w:t>
      </w:r>
      <w:r w:rsidR="009B553C">
        <w:rPr>
          <w:rFonts w:eastAsiaTheme="minorEastAsia"/>
        </w:rPr>
        <w:t xml:space="preserve">and so refer to the fitted distribution as a </w:t>
      </w:r>
      <w:r w:rsidR="008B2272">
        <w:rPr>
          <w:rFonts w:eastAsiaTheme="minorEastAsia"/>
        </w:rPr>
        <w:t>“</w:t>
      </w:r>
      <w:r w:rsidR="00EB26A8">
        <w:rPr>
          <w:rFonts w:eastAsiaTheme="minorEastAsia"/>
        </w:rPr>
        <w:t>five</w:t>
      </w:r>
      <w:r w:rsidR="009B553C">
        <w:rPr>
          <w:rFonts w:eastAsiaTheme="minorEastAsia"/>
        </w:rPr>
        <w:t xml:space="preserve">-term </w:t>
      </w:r>
      <w:proofErr w:type="spellStart"/>
      <w:r w:rsidR="009B553C">
        <w:rPr>
          <w:rFonts w:eastAsiaTheme="minorEastAsia"/>
        </w:rPr>
        <w:t>metalog</w:t>
      </w:r>
      <w:proofErr w:type="spellEnd"/>
      <w:r w:rsidR="009B553C">
        <w:rPr>
          <w:rFonts w:eastAsiaTheme="minorEastAsia"/>
        </w:rPr>
        <w:t xml:space="preserve"> distribution</w:t>
      </w:r>
      <w:r w:rsidR="00EB26A8">
        <w:rPr>
          <w:rFonts w:eastAsiaTheme="minorEastAsia"/>
        </w:rPr>
        <w:t>.</w:t>
      </w:r>
      <w:r w:rsidR="008B2272">
        <w:rPr>
          <w:rFonts w:eastAsiaTheme="minorEastAsia"/>
        </w:rPr>
        <w:t>”</w:t>
      </w:r>
      <w:r w:rsidR="00F672BB">
        <w:rPr>
          <w:rFonts w:eastAsiaTheme="minorEastAsia"/>
        </w:rPr>
        <w:t xml:space="preserve"> After substitution, the quantile function of the five-term </w:t>
      </w:r>
      <w:proofErr w:type="spellStart"/>
      <w:r w:rsidR="00F672BB">
        <w:rPr>
          <w:rFonts w:eastAsiaTheme="minorEastAsia"/>
        </w:rPr>
        <w:t>metalog</w:t>
      </w:r>
      <w:proofErr w:type="spellEnd"/>
      <w:r w:rsidR="00F672BB">
        <w:rPr>
          <w:rFonts w:eastAsiaTheme="minorEastAsia"/>
        </w:rPr>
        <w:t xml:space="preserve"> is given by:</w:t>
      </w:r>
    </w:p>
    <w:p w14:paraId="36082CC3" w14:textId="77777777" w:rsidR="00CF652E" w:rsidRDefault="00CF652E" w:rsidP="001E36B2">
      <w:pPr>
        <w:rPr>
          <w:rFonts w:eastAsiaTheme="minorEastAsia"/>
        </w:rPr>
      </w:pPr>
    </w:p>
    <w:p w14:paraId="72AA0649" w14:textId="77777777" w:rsidR="00F672BB" w:rsidRPr="009B553C" w:rsidRDefault="008633DF" w:rsidP="001E36B2">
      <m:oMathPara>
        <m:oMath>
          <m:sSub>
            <m:sSubPr>
              <m:ctrlPr>
                <w:rPr>
                  <w:rFonts w:ascii="Cambria Math" w:hAnsi="Cambria Math"/>
                  <w:i/>
                </w:rPr>
              </m:ctrlPr>
            </m:sSubPr>
            <m:e>
              <m:r>
                <w:rPr>
                  <w:rFonts w:ascii="Cambria Math" w:hAnsi="Cambria Math"/>
                </w:rPr>
                <m:t>M</m:t>
              </m:r>
            </m:e>
            <m:sub>
              <m:r>
                <w:rPr>
                  <w:rFonts w:ascii="Cambria Math" w:hAnsi="Cambria Math"/>
                </w:rPr>
                <m:t>5</m:t>
              </m:r>
            </m:sub>
          </m:sSub>
          <m:d>
            <m:dPr>
              <m:ctrlPr>
                <w:rPr>
                  <w:rFonts w:ascii="Cambria Math" w:hAnsi="Cambria Math"/>
                  <w:i/>
                </w:rPr>
              </m:ctrlPr>
            </m:dPr>
            <m:e>
              <m:r>
                <w:rPr>
                  <w:rFonts w:ascii="Cambria Math" w:hAnsi="Cambria Math"/>
                </w:rPr>
                <m:t>y</m:t>
              </m:r>
            </m:e>
          </m:d>
          <m:r>
            <w:rPr>
              <w:rFonts w:ascii="Cambria Math" w:hAnsi="Cambria Math"/>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1</m:t>
              </m:r>
            </m:sub>
          </m:sSub>
          <m:r>
            <w:rPr>
              <w:rFonts w:ascii="Cambria Math" w:hAnsi="Cambria Math" w:cs="Calibri"/>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2</m:t>
              </m:r>
            </m:sub>
          </m:sSub>
          <m:func>
            <m:funcPr>
              <m:ctrlPr>
                <w:rPr>
                  <w:rFonts w:ascii="Cambria Math" w:hAnsi="Cambria Math" w:cs="Calibri"/>
                  <w:vertAlign w:val="subscript"/>
                </w:rPr>
              </m:ctrlPr>
            </m:funcPr>
            <m:fName>
              <m:r>
                <m:rPr>
                  <m:sty m:val="p"/>
                </m:rPr>
                <w:rPr>
                  <w:rFonts w:ascii="Cambria Math" w:hAnsi="Cambria Math" w:cs="Calibri"/>
                  <w:vertAlign w:val="subscript"/>
                </w:rPr>
                <m:t>ln</m:t>
              </m:r>
            </m:fName>
            <m:e>
              <m:d>
                <m:dPr>
                  <m:ctrlPr>
                    <w:rPr>
                      <w:rFonts w:ascii="Cambria Math" w:hAnsi="Cambria Math" w:cs="Calibri"/>
                      <w:i/>
                      <w:vertAlign w:val="subscript"/>
                    </w:rPr>
                  </m:ctrlPr>
                </m:dPr>
                <m:e>
                  <m:f>
                    <m:fPr>
                      <m:ctrlPr>
                        <w:rPr>
                          <w:rFonts w:ascii="Cambria Math" w:hAnsi="Cambria Math" w:cs="Calibri"/>
                          <w:i/>
                          <w:vertAlign w:val="subscript"/>
                        </w:rPr>
                      </m:ctrlPr>
                    </m:fPr>
                    <m:num>
                      <m:r>
                        <w:rPr>
                          <w:rFonts w:ascii="Cambria Math" w:hAnsi="Cambria Math" w:cs="Calibri"/>
                          <w:vertAlign w:val="subscript"/>
                        </w:rPr>
                        <m:t>y</m:t>
                      </m:r>
                    </m:num>
                    <m:den>
                      <m:r>
                        <w:rPr>
                          <w:rFonts w:ascii="Cambria Math" w:hAnsi="Cambria Math" w:cs="Calibri"/>
                          <w:vertAlign w:val="subscript"/>
                        </w:rPr>
                        <m:t>1-y</m:t>
                      </m:r>
                    </m:den>
                  </m:f>
                </m:e>
              </m:d>
            </m:e>
          </m:func>
          <m:r>
            <w:rPr>
              <w:rFonts w:ascii="Cambria Math" w:hAnsi="Cambria Math" w:cs="Calibri"/>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3</m:t>
              </m:r>
            </m:sub>
          </m:sSub>
          <m:d>
            <m:dPr>
              <m:ctrlPr>
                <w:rPr>
                  <w:rFonts w:ascii="Cambria Math" w:hAnsi="Cambria Math" w:cs="Calibri"/>
                  <w:i/>
                  <w:vertAlign w:val="subscript"/>
                </w:rPr>
              </m:ctrlPr>
            </m:dPr>
            <m:e>
              <m:r>
                <w:rPr>
                  <w:rFonts w:ascii="Cambria Math" w:hAnsi="Cambria Math" w:cs="Calibri"/>
                  <w:vertAlign w:val="subscript"/>
                </w:rPr>
                <m:t>y-0.5</m:t>
              </m:r>
            </m:e>
          </m:d>
          <m:func>
            <m:funcPr>
              <m:ctrlPr>
                <w:rPr>
                  <w:rFonts w:ascii="Cambria Math" w:hAnsi="Cambria Math" w:cs="Calibri"/>
                  <w:vertAlign w:val="subscript"/>
                </w:rPr>
              </m:ctrlPr>
            </m:funcPr>
            <m:fName>
              <m:r>
                <m:rPr>
                  <m:sty m:val="p"/>
                </m:rPr>
                <w:rPr>
                  <w:rFonts w:ascii="Cambria Math" w:hAnsi="Cambria Math" w:cs="Calibri"/>
                  <w:vertAlign w:val="subscript"/>
                </w:rPr>
                <m:t>ln</m:t>
              </m:r>
            </m:fName>
            <m:e>
              <m:d>
                <m:dPr>
                  <m:ctrlPr>
                    <w:rPr>
                      <w:rFonts w:ascii="Cambria Math" w:hAnsi="Cambria Math" w:cs="Calibri"/>
                      <w:i/>
                      <w:vertAlign w:val="subscript"/>
                    </w:rPr>
                  </m:ctrlPr>
                </m:dPr>
                <m:e>
                  <m:f>
                    <m:fPr>
                      <m:ctrlPr>
                        <w:rPr>
                          <w:rFonts w:ascii="Cambria Math" w:hAnsi="Cambria Math" w:cs="Calibri"/>
                          <w:i/>
                          <w:vertAlign w:val="subscript"/>
                        </w:rPr>
                      </m:ctrlPr>
                    </m:fPr>
                    <m:num>
                      <m:r>
                        <w:rPr>
                          <w:rFonts w:ascii="Cambria Math" w:hAnsi="Cambria Math" w:cs="Calibri"/>
                          <w:vertAlign w:val="subscript"/>
                        </w:rPr>
                        <m:t>y</m:t>
                      </m:r>
                    </m:num>
                    <m:den>
                      <m:r>
                        <w:rPr>
                          <w:rFonts w:ascii="Cambria Math" w:hAnsi="Cambria Math" w:cs="Calibri"/>
                          <w:vertAlign w:val="subscript"/>
                        </w:rPr>
                        <m:t>1-y</m:t>
                      </m:r>
                    </m:den>
                  </m:f>
                </m:e>
              </m:d>
              <m:r>
                <w:rPr>
                  <w:rFonts w:ascii="Cambria Math" w:hAnsi="Cambria Math" w:cs="Calibri"/>
                  <w:vertAlign w:val="subscript"/>
                </w:rPr>
                <m:t>+</m:t>
              </m:r>
            </m:e>
          </m:func>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4</m:t>
              </m:r>
            </m:sub>
          </m:sSub>
          <m:d>
            <m:dPr>
              <m:ctrlPr>
                <w:rPr>
                  <w:rFonts w:ascii="Cambria Math" w:hAnsi="Cambria Math" w:cs="Calibri"/>
                  <w:i/>
                  <w:vertAlign w:val="subscript"/>
                </w:rPr>
              </m:ctrlPr>
            </m:dPr>
            <m:e>
              <m:r>
                <w:rPr>
                  <w:rFonts w:ascii="Cambria Math" w:hAnsi="Cambria Math" w:cs="Calibri"/>
                  <w:vertAlign w:val="subscript"/>
                </w:rPr>
                <m:t>y-0.5</m:t>
              </m:r>
            </m:e>
          </m:d>
          <m:r>
            <w:rPr>
              <w:rFonts w:ascii="Cambria Math" w:hAnsi="Cambria Math" w:cs="Calibri"/>
              <w:vertAlign w:val="subscript"/>
            </w:rPr>
            <m:t>+</m:t>
          </m:r>
          <m:sSub>
            <m:sSubPr>
              <m:ctrlPr>
                <w:rPr>
                  <w:rFonts w:ascii="Cambria Math" w:hAnsi="Cambria Math" w:cs="Calibri"/>
                  <w:vertAlign w:val="subscript"/>
                </w:rPr>
              </m:ctrlPr>
            </m:sSubPr>
            <m:e>
              <m:r>
                <w:rPr>
                  <w:rFonts w:ascii="Cambria Math" w:hAnsi="Cambria Math" w:cs="Calibri"/>
                  <w:vertAlign w:val="subscript"/>
                </w:rPr>
                <m:t>a</m:t>
              </m:r>
            </m:e>
            <m:sub>
              <m:r>
                <w:rPr>
                  <w:rFonts w:ascii="Cambria Math" w:hAnsi="Cambria Math" w:cs="Calibri"/>
                  <w:vertAlign w:val="subscript"/>
                </w:rPr>
                <m:t>5</m:t>
              </m:r>
            </m:sub>
          </m:sSub>
          <m:sSup>
            <m:sSupPr>
              <m:ctrlPr>
                <w:rPr>
                  <w:rFonts w:ascii="Cambria Math" w:hAnsi="Cambria Math" w:cs="Calibri"/>
                  <w:i/>
                  <w:vertAlign w:val="subscript"/>
                </w:rPr>
              </m:ctrlPr>
            </m:sSupPr>
            <m:e>
              <m:r>
                <w:rPr>
                  <w:rFonts w:ascii="Cambria Math" w:hAnsi="Cambria Math" w:cs="Calibri"/>
                  <w:vertAlign w:val="subscript"/>
                </w:rPr>
                <m:t>(y-0.5)</m:t>
              </m:r>
            </m:e>
            <m:sup>
              <m:r>
                <w:rPr>
                  <w:rFonts w:ascii="Cambria Math" w:hAnsi="Cambria Math" w:cs="Calibri"/>
                  <w:vertAlign w:val="subscript"/>
                </w:rPr>
                <m:t>2</m:t>
              </m:r>
            </m:sup>
          </m:sSup>
          <m:r>
            <w:rPr>
              <w:rFonts w:ascii="Cambria Math" w:hAnsi="Cambria Math" w:cs="Calibri"/>
              <w:vertAlign w:val="subscript"/>
            </w:rPr>
            <m:t>.</m:t>
          </m:r>
        </m:oMath>
      </m:oMathPara>
    </w:p>
    <w:p w14:paraId="7FC0095D" w14:textId="77777777" w:rsidR="00E917AE" w:rsidRDefault="00E917AE" w:rsidP="00E917AE"/>
    <w:p w14:paraId="053435E4" w14:textId="77777777" w:rsidR="00927A38" w:rsidRDefault="00927A38" w:rsidP="00E917AE">
      <w:pPr>
        <w:rPr>
          <w:rFonts w:eastAsiaTheme="minorEastAsia"/>
        </w:rPr>
      </w:pPr>
      <w:r>
        <w:t>The corresponding PDF,</w:t>
      </w:r>
      <m:oMath>
        <m:sSub>
          <m:sSubPr>
            <m:ctrlPr>
              <w:rPr>
                <w:rFonts w:ascii="Cambria Math" w:hAnsi="Cambria Math"/>
                <w:i/>
              </w:rPr>
            </m:ctrlPr>
          </m:sSubPr>
          <m:e>
            <m:r>
              <w:rPr>
                <w:rFonts w:ascii="Cambria Math" w:hAnsi="Cambria Math"/>
              </w:rPr>
              <m:t xml:space="preserve"> m</m:t>
            </m:r>
          </m:e>
          <m:sub>
            <m:r>
              <w:rPr>
                <w:rFonts w:ascii="Cambria Math" w:hAnsi="Cambria Math"/>
              </w:rPr>
              <m:t>5</m:t>
            </m:r>
          </m:sub>
        </m:sSub>
        <m:d>
          <m:dPr>
            <m:ctrlPr>
              <w:rPr>
                <w:rFonts w:ascii="Cambria Math" w:hAnsi="Cambria Math"/>
                <w:i/>
              </w:rPr>
            </m:ctrlPr>
          </m:dPr>
          <m:e>
            <m:r>
              <w:rPr>
                <w:rFonts w:ascii="Cambria Math" w:hAnsi="Cambria Math"/>
              </w:rPr>
              <m:t>y</m:t>
            </m:r>
          </m:e>
        </m:d>
      </m:oMath>
      <w:proofErr w:type="gramStart"/>
      <w:r w:rsidRPr="00927A38">
        <w:rPr>
          <w:rFonts w:eastAsiaTheme="minorEastAsia"/>
        </w:rPr>
        <w:t>,</w:t>
      </w:r>
      <w:proofErr w:type="gramEnd"/>
      <w:r>
        <w:t xml:space="preserve"> is easily obtainable by differentiating </w:t>
      </w:r>
      <m:oMath>
        <m:sSub>
          <m:sSubPr>
            <m:ctrlPr>
              <w:rPr>
                <w:rFonts w:ascii="Cambria Math" w:hAnsi="Cambria Math"/>
                <w:i/>
              </w:rPr>
            </m:ctrlPr>
          </m:sSubPr>
          <m:e>
            <m:r>
              <w:rPr>
                <w:rFonts w:ascii="Cambria Math" w:hAnsi="Cambria Math"/>
              </w:rPr>
              <m:t>M</m:t>
            </m:r>
          </m:e>
          <m:sub>
            <m:r>
              <w:rPr>
                <w:rFonts w:ascii="Cambria Math" w:hAnsi="Cambria Math"/>
              </w:rPr>
              <m:t>5</m:t>
            </m:r>
          </m:sub>
        </m:sSub>
        <m:d>
          <m:dPr>
            <m:ctrlPr>
              <w:rPr>
                <w:rFonts w:ascii="Cambria Math" w:hAnsi="Cambria Math"/>
                <w:i/>
              </w:rPr>
            </m:ctrlPr>
          </m:dPr>
          <m:e>
            <m:r>
              <w:rPr>
                <w:rFonts w:ascii="Cambria Math" w:hAnsi="Cambria Math"/>
              </w:rPr>
              <m:t>y</m:t>
            </m:r>
          </m:e>
        </m:d>
      </m:oMath>
      <w:r>
        <w:rPr>
          <w:rFonts w:eastAsiaTheme="minorEastAsia"/>
        </w:rPr>
        <w:t xml:space="preserve"> with respect to </w:t>
      </w:r>
      <m:oMath>
        <m:r>
          <w:rPr>
            <w:rFonts w:ascii="Cambria Math" w:hAnsi="Cambria Math" w:cs="Calibri"/>
            <w:vertAlign w:val="subscript"/>
          </w:rPr>
          <m:t>y</m:t>
        </m:r>
      </m:oMath>
      <w:r>
        <w:rPr>
          <w:rFonts w:eastAsiaTheme="minorEastAsia"/>
          <w:vertAlign w:val="subscript"/>
        </w:rPr>
        <w:t xml:space="preserve"> </w:t>
      </w:r>
      <w:r>
        <w:rPr>
          <w:rFonts w:eastAsiaTheme="minorEastAsia"/>
        </w:rPr>
        <w:t>and then solving for the inverse.</w:t>
      </w:r>
    </w:p>
    <w:p w14:paraId="1C03C714" w14:textId="4FD65212" w:rsidR="00FD56EC" w:rsidRDefault="00F553B1" w:rsidP="00B678C8">
      <w:pPr>
        <w:rPr>
          <w:rFonts w:eastAsiaTheme="minorEastAsia"/>
        </w:rPr>
      </w:pPr>
      <w:r>
        <w:t xml:space="preserve">Because </w:t>
      </w:r>
      <m:oMath>
        <m:sSub>
          <m:sSubPr>
            <m:ctrlPr>
              <w:rPr>
                <w:rFonts w:ascii="Cambria Math" w:hAnsi="Cambria Math"/>
                <w:i/>
              </w:rPr>
            </m:ctrlPr>
          </m:sSubPr>
          <m:e>
            <m:r>
              <w:rPr>
                <w:rFonts w:ascii="Cambria Math" w:hAnsi="Cambria Math"/>
              </w:rPr>
              <m:t>M</m:t>
            </m:r>
          </m:e>
          <m:sub>
            <m:r>
              <w:rPr>
                <w:rFonts w:ascii="Cambria Math" w:hAnsi="Cambria Math"/>
              </w:rPr>
              <m:t>5</m:t>
            </m:r>
          </m:sub>
        </m:sSub>
        <m:d>
          <m:dPr>
            <m:ctrlPr>
              <w:rPr>
                <w:rFonts w:ascii="Cambria Math" w:hAnsi="Cambria Math"/>
                <w:i/>
              </w:rPr>
            </m:ctrlPr>
          </m:dPr>
          <m:e>
            <m:r>
              <w:rPr>
                <w:rFonts w:ascii="Cambria Math" w:hAnsi="Cambria Math"/>
              </w:rPr>
              <m:t>y</m:t>
            </m:r>
          </m:e>
        </m:d>
      </m:oMath>
      <w:r>
        <w:t xml:space="preserve"> is linear in</w:t>
      </w:r>
      <m:oMath>
        <m:r>
          <w:rPr>
            <w:rFonts w:ascii="Cambria Math" w:hAnsi="Cambria Math"/>
          </w:rPr>
          <m:t xml:space="preserve"> </m:t>
        </m:r>
        <m:r>
          <m:rPr>
            <m:sty m:val="b"/>
          </m:rPr>
          <w:rPr>
            <w:rFonts w:ascii="Cambria Math" w:eastAsiaTheme="minorEastAsia" w:hAnsi="Cambria Math"/>
            <w:vertAlign w:val="subscript"/>
          </w:rPr>
          <m:t>a</m:t>
        </m:r>
      </m:oMath>
      <w:r>
        <w:rPr>
          <w:rFonts w:eastAsiaTheme="minorEastAsia"/>
          <w:b/>
          <w:vertAlign w:val="subscript"/>
        </w:rPr>
        <w:t>,</w:t>
      </w:r>
      <w:r>
        <w:t xml:space="preserve"> least squares estimation can be used to solve for </w:t>
      </w:r>
      <w:r>
        <w:rPr>
          <w:rFonts w:eastAsiaTheme="minorEastAsia"/>
        </w:rPr>
        <w:t>the parameters</w:t>
      </w:r>
      <w:r w:rsidR="00E32C3E">
        <w:rPr>
          <w:rFonts w:eastAsiaTheme="minorEastAsia"/>
        </w:rPr>
        <w:t>, given a set of quantile/</w:t>
      </w:r>
      <w:r>
        <w:rPr>
          <w:rFonts w:eastAsiaTheme="minorEastAsia"/>
        </w:rPr>
        <w:t xml:space="preserve">probability pairs, </w:t>
      </w:r>
      <m:oMath>
        <m:r>
          <m:rPr>
            <m:sty m:val="b"/>
          </m:rPr>
          <w:rPr>
            <w:rFonts w:ascii="Cambria Math" w:eastAsiaTheme="minorEastAsia" w:hAnsi="Cambria Math"/>
            <w:vertAlign w:val="subscript"/>
          </w:rPr>
          <m:t>x</m:t>
        </m:r>
        <m:r>
          <w:rPr>
            <w:rFonts w:ascii="Cambria Math" w:eastAsiaTheme="minorEastAsia" w:hAnsi="Cambria Math"/>
            <w:vertAlign w:val="subscript"/>
          </w:rPr>
          <m:t>=(</m:t>
        </m:r>
        <m:sSub>
          <m:sSubPr>
            <m:ctrlPr>
              <w:rPr>
                <w:rFonts w:ascii="Cambria Math" w:hAnsi="Cambria Math" w:cs="Calibri"/>
                <w:vertAlign w:val="subscript"/>
              </w:rPr>
            </m:ctrlPr>
          </m:sSubPr>
          <m:e>
            <m:r>
              <w:rPr>
                <w:rFonts w:ascii="Cambria Math" w:hAnsi="Cambria Math" w:cs="Calibri"/>
                <w:vertAlign w:val="subscript"/>
              </w:rPr>
              <m:t>x</m:t>
            </m:r>
          </m:e>
          <m:sub>
            <m:r>
              <w:rPr>
                <w:rFonts w:ascii="Cambria Math" w:hAnsi="Cambria Math" w:cs="Calibri"/>
                <w:vertAlign w:val="subscript"/>
              </w:rPr>
              <m:t>1</m:t>
            </m:r>
          </m:sub>
        </m:sSub>
        <m:r>
          <w:rPr>
            <w:rFonts w:ascii="Cambria Math" w:hAnsi="Cambria Math" w:cs="Calibri"/>
            <w:vertAlign w:val="subscript"/>
          </w:rPr>
          <m:t xml:space="preserve">,…., </m:t>
        </m:r>
        <m:sSub>
          <m:sSubPr>
            <m:ctrlPr>
              <w:rPr>
                <w:rFonts w:ascii="Cambria Math" w:hAnsi="Cambria Math" w:cs="Calibri"/>
                <w:vertAlign w:val="subscript"/>
              </w:rPr>
            </m:ctrlPr>
          </m:sSubPr>
          <m:e>
            <m:r>
              <w:rPr>
                <w:rFonts w:ascii="Cambria Math" w:hAnsi="Cambria Math" w:cs="Calibri"/>
                <w:vertAlign w:val="subscript"/>
              </w:rPr>
              <m:t>x</m:t>
            </m:r>
          </m:e>
          <m:sub>
            <m:r>
              <w:rPr>
                <w:rFonts w:ascii="Cambria Math" w:hAnsi="Cambria Math" w:cs="Calibri"/>
                <w:vertAlign w:val="subscript"/>
              </w:rPr>
              <m:t>5</m:t>
            </m:r>
          </m:sub>
        </m:sSub>
        <m:r>
          <w:rPr>
            <w:rFonts w:ascii="Cambria Math" w:hAnsi="Cambria Math" w:cs="Calibri"/>
            <w:vertAlign w:val="subscript"/>
          </w:rPr>
          <m:t>)</m:t>
        </m:r>
      </m:oMath>
      <w:r>
        <w:rPr>
          <w:rFonts w:eastAsiaTheme="minorEastAsia"/>
          <w:vertAlign w:val="subscript"/>
        </w:rPr>
        <w:t xml:space="preserve"> </w:t>
      </w:r>
      <w:r w:rsidR="00E32C3E">
        <w:rPr>
          <w:rFonts w:eastAsiaTheme="minorEastAsia"/>
        </w:rPr>
        <w:t>and</w:t>
      </w:r>
      <m:oMath>
        <m:r>
          <w:rPr>
            <w:rFonts w:ascii="Cambria Math" w:eastAsiaTheme="minorEastAsia" w:hAnsi="Cambria Math"/>
          </w:rPr>
          <m:t xml:space="preserve"> </m:t>
        </m:r>
        <m:r>
          <m:rPr>
            <m:sty m:val="b"/>
          </m:rPr>
          <w:rPr>
            <w:rFonts w:ascii="Cambria Math" w:eastAsiaTheme="minorEastAsia" w:hAnsi="Cambria Math"/>
            <w:vertAlign w:val="subscript"/>
          </w:rPr>
          <m:t>y</m:t>
        </m:r>
        <m:r>
          <w:rPr>
            <w:rFonts w:ascii="Cambria Math" w:eastAsiaTheme="minorEastAsia" w:hAnsi="Cambria Math"/>
            <w:vertAlign w:val="subscript"/>
          </w:rPr>
          <m:t>=(</m:t>
        </m:r>
        <m:sSub>
          <m:sSubPr>
            <m:ctrlPr>
              <w:rPr>
                <w:rFonts w:ascii="Cambria Math" w:hAnsi="Cambria Math" w:cs="Calibri"/>
                <w:vertAlign w:val="subscript"/>
              </w:rPr>
            </m:ctrlPr>
          </m:sSubPr>
          <m:e>
            <m:r>
              <w:rPr>
                <w:rFonts w:ascii="Cambria Math" w:hAnsi="Cambria Math" w:cs="Calibri"/>
                <w:vertAlign w:val="subscript"/>
              </w:rPr>
              <m:t>y</m:t>
            </m:r>
          </m:e>
          <m:sub>
            <m:r>
              <w:rPr>
                <w:rFonts w:ascii="Cambria Math" w:hAnsi="Cambria Math" w:cs="Calibri"/>
                <w:vertAlign w:val="subscript"/>
              </w:rPr>
              <m:t>1</m:t>
            </m:r>
          </m:sub>
        </m:sSub>
        <m:r>
          <w:rPr>
            <w:rFonts w:ascii="Cambria Math" w:hAnsi="Cambria Math" w:cs="Calibri"/>
            <w:vertAlign w:val="subscript"/>
          </w:rPr>
          <m:t xml:space="preserve">,…., </m:t>
        </m:r>
        <m:sSub>
          <m:sSubPr>
            <m:ctrlPr>
              <w:rPr>
                <w:rFonts w:ascii="Cambria Math" w:hAnsi="Cambria Math" w:cs="Calibri"/>
                <w:vertAlign w:val="subscript"/>
              </w:rPr>
            </m:ctrlPr>
          </m:sSubPr>
          <m:e>
            <m:r>
              <w:rPr>
                <w:rFonts w:ascii="Cambria Math" w:hAnsi="Cambria Math" w:cs="Calibri"/>
                <w:vertAlign w:val="subscript"/>
              </w:rPr>
              <m:t>y</m:t>
            </m:r>
          </m:e>
          <m:sub>
            <m:r>
              <w:rPr>
                <w:rFonts w:ascii="Cambria Math" w:hAnsi="Cambria Math" w:cs="Calibri"/>
                <w:vertAlign w:val="subscript"/>
              </w:rPr>
              <m:t>5</m:t>
            </m:r>
          </m:sub>
        </m:sSub>
        <m:r>
          <w:rPr>
            <w:rFonts w:ascii="Cambria Math" w:hAnsi="Cambria Math" w:cs="Calibri"/>
            <w:vertAlign w:val="subscript"/>
          </w:rPr>
          <m:t>)</m:t>
        </m:r>
      </m:oMath>
      <w:r>
        <w:rPr>
          <w:rFonts w:eastAsiaTheme="minorEastAsia"/>
        </w:rPr>
        <w:t>.</w:t>
      </w:r>
      <w:r w:rsidR="005409CA">
        <w:rPr>
          <w:rStyle w:val="FootnoteReference"/>
          <w:rFonts w:eastAsiaTheme="minorEastAsia"/>
        </w:rPr>
        <w:footnoteReference w:id="8"/>
      </w:r>
      <w:r>
        <w:rPr>
          <w:rFonts w:eastAsiaTheme="minorEastAsia"/>
        </w:rPr>
        <w:t xml:space="preserve"> </w:t>
      </w:r>
      <w:r w:rsidR="00E32C3E">
        <w:rPr>
          <w:rFonts w:eastAsiaTheme="minorEastAsia"/>
        </w:rPr>
        <w:t xml:space="preserve">These pairs are what we elicit from experts with the use of the survey, in order to </w:t>
      </w:r>
      <w:r w:rsidR="00AF00F8">
        <w:rPr>
          <w:rFonts w:eastAsiaTheme="minorEastAsia"/>
        </w:rPr>
        <w:t>obtain</w:t>
      </w:r>
      <w:r w:rsidR="00E32C3E">
        <w:rPr>
          <w:rFonts w:eastAsiaTheme="minorEastAsia"/>
        </w:rPr>
        <w:t xml:space="preserve"> a set of</w:t>
      </w:r>
      <m:oMath>
        <m:r>
          <w:rPr>
            <w:rFonts w:ascii="Cambria Math" w:eastAsiaTheme="minorEastAsia" w:hAnsi="Cambria Math"/>
          </w:rPr>
          <m:t xml:space="preserve"> </m:t>
        </m:r>
        <m:r>
          <m:rPr>
            <m:sty m:val="b"/>
          </m:rPr>
          <w:rPr>
            <w:rFonts w:ascii="Cambria Math" w:eastAsiaTheme="minorEastAsia" w:hAnsi="Cambria Math"/>
            <w:vertAlign w:val="subscript"/>
          </w:rPr>
          <m:t>a</m:t>
        </m:r>
      </m:oMath>
      <w:r w:rsidR="00E32C3E">
        <w:rPr>
          <w:rFonts w:eastAsiaTheme="minorEastAsia"/>
        </w:rPr>
        <w:t xml:space="preserve"> that can be used to describe the distribution of each expert </w:t>
      </w:r>
      <w:r w:rsidR="00113B5F">
        <w:rPr>
          <w:rFonts w:eastAsiaTheme="minorEastAsia"/>
        </w:rPr>
        <w:t xml:space="preserve">and </w:t>
      </w:r>
      <w:r w:rsidR="00E32C3E">
        <w:rPr>
          <w:rFonts w:eastAsiaTheme="minorEastAsia"/>
        </w:rPr>
        <w:t xml:space="preserve">for each component. </w:t>
      </w:r>
      <w:r>
        <w:rPr>
          <w:rFonts w:eastAsiaTheme="minorEastAsia"/>
        </w:rPr>
        <w:t xml:space="preserve">Incorporating </w:t>
      </w:r>
      <w:r w:rsidR="004529DB">
        <w:rPr>
          <w:rFonts w:eastAsiaTheme="minorEastAsia"/>
        </w:rPr>
        <w:t xml:space="preserve">more than five </w:t>
      </w:r>
      <w:r>
        <w:rPr>
          <w:rFonts w:eastAsiaTheme="minorEastAsia"/>
        </w:rPr>
        <w:t xml:space="preserve">shape parameters would </w:t>
      </w:r>
      <w:r w:rsidR="00E32C3E">
        <w:rPr>
          <w:rFonts w:eastAsiaTheme="minorEastAsia"/>
        </w:rPr>
        <w:t>require elicitin</w:t>
      </w:r>
      <w:r w:rsidR="004529DB">
        <w:rPr>
          <w:rFonts w:eastAsiaTheme="minorEastAsia"/>
        </w:rPr>
        <w:t>g a greater number of quantiles.</w:t>
      </w:r>
    </w:p>
    <w:p w14:paraId="57F918DD" w14:textId="0D5AC987" w:rsidR="00FD56EC" w:rsidRPr="00A4274C" w:rsidRDefault="000D37EE" w:rsidP="00A4274C">
      <w:pPr>
        <w:pStyle w:val="Heading2"/>
      </w:pPr>
      <w:r>
        <w:t>3</w:t>
      </w:r>
      <w:r w:rsidR="00A4274C" w:rsidRPr="00A4274C">
        <w:t>.2</w:t>
      </w:r>
      <w:r w:rsidR="00A4274C" w:rsidRPr="00A4274C">
        <w:tab/>
      </w:r>
      <w:r w:rsidR="00FD56EC" w:rsidRPr="00A4274C">
        <w:t>Implementation</w:t>
      </w:r>
    </w:p>
    <w:p w14:paraId="31FCC97A" w14:textId="77777777" w:rsidR="009105EF" w:rsidRDefault="009105EF" w:rsidP="009105EF">
      <w:r>
        <w:t xml:space="preserve">We describe the </w:t>
      </w:r>
      <w:r w:rsidR="007E631D">
        <w:t xml:space="preserve">process of fitting a </w:t>
      </w:r>
      <w:proofErr w:type="spellStart"/>
      <w:r w:rsidR="007E631D">
        <w:t>metalog</w:t>
      </w:r>
      <w:proofErr w:type="spellEnd"/>
      <w:r w:rsidR="007E631D">
        <w:t xml:space="preserve"> distribution for only</w:t>
      </w:r>
      <w:r>
        <w:t xml:space="preserve"> the fertility component, since the implementation is identical across all components. </w:t>
      </w:r>
    </w:p>
    <w:p w14:paraId="49CA09B6" w14:textId="5E761649" w:rsidR="006B2FFA" w:rsidRDefault="005409CA" w:rsidP="009105EF">
      <w:r>
        <w:t>The fertility</w:t>
      </w:r>
      <w:r w:rsidR="00B95F3F">
        <w:t xml:space="preserve"> component has six associated </w:t>
      </w:r>
      <w:r w:rsidR="00FB60FB">
        <w:t>sheets</w:t>
      </w:r>
      <w:r w:rsidR="007E631D">
        <w:t xml:space="preserve"> </w:t>
      </w:r>
      <w:r w:rsidR="00B95F3F">
        <w:t xml:space="preserve">in the file: two visible </w:t>
      </w:r>
      <w:r w:rsidR="00FB60FB">
        <w:t>sheets</w:t>
      </w:r>
      <w:r w:rsidR="00B95F3F">
        <w:t xml:space="preserve"> (</w:t>
      </w:r>
      <w:r w:rsidR="00B95F3F" w:rsidRPr="00B95F3F">
        <w:rPr>
          <w:b/>
        </w:rPr>
        <w:t>Fertility</w:t>
      </w:r>
      <w:r w:rsidR="00B95F3F">
        <w:t xml:space="preserve"> and </w:t>
      </w:r>
      <w:proofErr w:type="spellStart"/>
      <w:r w:rsidR="00B95F3F" w:rsidRPr="00B95F3F">
        <w:rPr>
          <w:b/>
        </w:rPr>
        <w:t>FER_data</w:t>
      </w:r>
      <w:proofErr w:type="spellEnd"/>
      <w:r w:rsidR="00B95F3F">
        <w:t xml:space="preserve">); and four hidden </w:t>
      </w:r>
      <w:r w:rsidR="00FB60FB">
        <w:t>sheets</w:t>
      </w:r>
      <w:r w:rsidR="00B95F3F">
        <w:t xml:space="preserve"> (</w:t>
      </w:r>
      <w:proofErr w:type="spellStart"/>
      <w:r w:rsidR="00B95F3F" w:rsidRPr="00B95F3F">
        <w:rPr>
          <w:b/>
        </w:rPr>
        <w:t>All_FER</w:t>
      </w:r>
      <w:proofErr w:type="spellEnd"/>
      <w:r w:rsidR="00B95F3F">
        <w:t xml:space="preserve">, </w:t>
      </w:r>
      <w:proofErr w:type="spellStart"/>
      <w:r w:rsidR="00B95F3F" w:rsidRPr="00B95F3F">
        <w:rPr>
          <w:b/>
        </w:rPr>
        <w:t>u_FER</w:t>
      </w:r>
      <w:proofErr w:type="spellEnd"/>
      <w:r w:rsidR="00B95F3F" w:rsidRPr="00B95F3F">
        <w:t>,</w:t>
      </w:r>
      <w:r w:rsidR="00B95F3F">
        <w:t xml:space="preserve"> </w:t>
      </w:r>
      <w:proofErr w:type="spellStart"/>
      <w:r w:rsidR="00B95F3F" w:rsidRPr="00B95F3F">
        <w:rPr>
          <w:b/>
        </w:rPr>
        <w:t>s_FER</w:t>
      </w:r>
      <w:proofErr w:type="spellEnd"/>
      <w:r w:rsidR="00B95F3F">
        <w:t xml:space="preserve"> and </w:t>
      </w:r>
      <w:proofErr w:type="spellStart"/>
      <w:r w:rsidR="00B95F3F" w:rsidRPr="00B95F3F">
        <w:rPr>
          <w:b/>
        </w:rPr>
        <w:t>b_FER</w:t>
      </w:r>
      <w:proofErr w:type="spellEnd"/>
      <w:r w:rsidR="00B95F3F">
        <w:t>)</w:t>
      </w:r>
      <w:r>
        <w:t>.</w:t>
      </w:r>
      <w:r w:rsidR="00853A4B">
        <w:t xml:space="preserve"> The </w:t>
      </w:r>
      <w:r w:rsidR="00853A4B" w:rsidRPr="00853A4B">
        <w:rPr>
          <w:b/>
        </w:rPr>
        <w:t>Fertility</w:t>
      </w:r>
      <w:r w:rsidR="00853A4B">
        <w:t xml:space="preserve"> </w:t>
      </w:r>
      <w:r w:rsidR="00FB60FB">
        <w:t>sheet</w:t>
      </w:r>
      <w:r w:rsidR="00853A4B">
        <w:t xml:space="preserve"> is where experts provide their inputs and view their resulting probability distribution, and the </w:t>
      </w:r>
      <w:proofErr w:type="spellStart"/>
      <w:r w:rsidR="00853A4B" w:rsidRPr="00853A4B">
        <w:rPr>
          <w:b/>
        </w:rPr>
        <w:t>FER</w:t>
      </w:r>
      <w:r w:rsidR="00853A4B">
        <w:t>_</w:t>
      </w:r>
      <w:r w:rsidR="00853A4B" w:rsidRPr="00853A4B">
        <w:rPr>
          <w:b/>
        </w:rPr>
        <w:t>data</w:t>
      </w:r>
      <w:proofErr w:type="spellEnd"/>
      <w:r w:rsidR="00853A4B">
        <w:t xml:space="preserve"> </w:t>
      </w:r>
      <w:r w:rsidR="00FB60FB">
        <w:t>sheet</w:t>
      </w:r>
      <w:r w:rsidR="00853A4B">
        <w:t xml:space="preserve"> provides experts with historical data to help inform their decisions.</w:t>
      </w:r>
      <w:r>
        <w:t xml:space="preserve"> The hidden </w:t>
      </w:r>
      <w:r w:rsidR="00FB60FB">
        <w:t>sheets</w:t>
      </w:r>
      <w:r>
        <w:t xml:space="preserve"> are where the experts</w:t>
      </w:r>
      <w:r w:rsidR="00853A4B">
        <w:t>’</w:t>
      </w:r>
      <w:r>
        <w:t xml:space="preserve"> responses are converted </w:t>
      </w:r>
      <w:r w:rsidR="00853A4B">
        <w:t xml:space="preserve">into probability distributions – </w:t>
      </w:r>
      <w:r>
        <w:t>i.e. where the parameters are estimated, where feasibil</w:t>
      </w:r>
      <w:r w:rsidR="00853A4B">
        <w:t xml:space="preserve">ity is assessed, and where the </w:t>
      </w:r>
      <w:r w:rsidR="00102B95">
        <w:t>visualization of their distribution</w:t>
      </w:r>
      <w:r w:rsidR="00853A4B">
        <w:t xml:space="preserve"> </w:t>
      </w:r>
      <w:r w:rsidR="00102B95">
        <w:t>provided</w:t>
      </w:r>
      <w:r w:rsidR="00853A4B">
        <w:t xml:space="preserve"> in the </w:t>
      </w:r>
      <w:r w:rsidR="00853A4B" w:rsidRPr="00853A4B">
        <w:rPr>
          <w:b/>
        </w:rPr>
        <w:t>Fertility</w:t>
      </w:r>
      <w:r w:rsidR="00853A4B">
        <w:t xml:space="preserve"> </w:t>
      </w:r>
      <w:r w:rsidR="00FB60FB">
        <w:t>sheet</w:t>
      </w:r>
      <w:r w:rsidR="00853A4B">
        <w:t xml:space="preserve"> is produced. </w:t>
      </w:r>
    </w:p>
    <w:p w14:paraId="58D52627" w14:textId="174C5A0F" w:rsidR="00B2450F" w:rsidRDefault="00853A4B" w:rsidP="00B2450F">
      <w:r>
        <w:t>For the large part</w:t>
      </w:r>
      <w:r w:rsidR="00102B95">
        <w:t xml:space="preserve">, </w:t>
      </w:r>
      <w:r w:rsidR="006B2FFA">
        <w:t>the hidden</w:t>
      </w:r>
      <w:r w:rsidR="00102B95">
        <w:t xml:space="preserve"> </w:t>
      </w:r>
      <w:r w:rsidR="00FB60FB">
        <w:t>sheets</w:t>
      </w:r>
      <w:r>
        <w:t xml:space="preserve"> can be ignored by both administrators and respondents. </w:t>
      </w:r>
      <w:r w:rsidR="000D57E0">
        <w:t xml:space="preserve">However, it may be </w:t>
      </w:r>
      <w:r w:rsidR="004D6010">
        <w:t>important f</w:t>
      </w:r>
      <w:r w:rsidR="00BE2129">
        <w:t xml:space="preserve">or administrators to understand the calculations being performed in these </w:t>
      </w:r>
      <w:r w:rsidR="00FB60FB">
        <w:t>sheets</w:t>
      </w:r>
      <w:r w:rsidR="00BE2129">
        <w:t xml:space="preserve"> in the event that a respondent encounters some diffi</w:t>
      </w:r>
      <w:r w:rsidR="00EE5E7F">
        <w:t>culty responding to the survey.</w:t>
      </w:r>
      <w:r w:rsidR="008B6E7C">
        <w:t xml:space="preserve"> Which </w:t>
      </w:r>
      <w:r w:rsidR="00FB60FB">
        <w:t>sheets</w:t>
      </w:r>
      <w:r w:rsidR="008B6E7C">
        <w:t xml:space="preserve"> are relevant </w:t>
      </w:r>
      <w:r w:rsidR="008B6E7C">
        <w:lastRenderedPageBreak/>
        <w:t xml:space="preserve">depends on whether or not the distribution described by experts in the </w:t>
      </w:r>
      <w:r w:rsidR="008B6E7C" w:rsidRPr="008B6E7C">
        <w:rPr>
          <w:b/>
        </w:rPr>
        <w:t>Fertility</w:t>
      </w:r>
      <w:r w:rsidR="008B6E7C">
        <w:t xml:space="preserve"> </w:t>
      </w:r>
      <w:r w:rsidR="00FB60FB">
        <w:t>sheet</w:t>
      </w:r>
      <w:r w:rsidR="008B6E7C">
        <w:t xml:space="preserve"> is </w:t>
      </w:r>
      <w:r w:rsidR="00426879">
        <w:t>bounded</w:t>
      </w:r>
      <w:r w:rsidR="008B6E7C">
        <w:t xml:space="preserve">, semi-bounded, or </w:t>
      </w:r>
      <w:r w:rsidR="00426879">
        <w:t>unbounded</w:t>
      </w:r>
      <w:r w:rsidR="00CE155A">
        <w:t>.</w:t>
      </w:r>
      <w:r w:rsidR="00CE155A">
        <w:rPr>
          <w:rStyle w:val="FootnoteReference"/>
        </w:rPr>
        <w:footnoteReference w:id="9"/>
      </w:r>
    </w:p>
    <w:p w14:paraId="4A1391FC" w14:textId="7EE9FCE0" w:rsidR="000C6B9D" w:rsidRDefault="00B2450F" w:rsidP="009043D2">
      <w:r>
        <w:t xml:space="preserve">After </w:t>
      </w:r>
      <w:r w:rsidRPr="00B2450F">
        <w:rPr>
          <w:b/>
        </w:rPr>
        <w:t>Step 1</w:t>
      </w:r>
      <w:r>
        <w:t xml:space="preserve"> in the </w:t>
      </w:r>
      <w:r w:rsidRPr="00B2450F">
        <w:rPr>
          <w:b/>
        </w:rPr>
        <w:t>Fertility</w:t>
      </w:r>
      <w:r>
        <w:t xml:space="preserve"> </w:t>
      </w:r>
      <w:r w:rsidR="00FB60FB">
        <w:t>sheet</w:t>
      </w:r>
      <w:r>
        <w:t xml:space="preserve">, where experts are asked to provide qualitative arguments for their beliefs on future fertility, </w:t>
      </w:r>
      <w:r w:rsidR="00C44039">
        <w:t xml:space="preserve">in </w:t>
      </w:r>
      <w:r w:rsidR="00C44039" w:rsidRPr="00C44039">
        <w:rPr>
          <w:b/>
        </w:rPr>
        <w:t>Step 2</w:t>
      </w:r>
      <w:r w:rsidR="00C44039">
        <w:t xml:space="preserve"> </w:t>
      </w:r>
      <w:r>
        <w:t>experts are required to provide inputs in the form of a plausible lower bound, upper bound, and median for the Canada total period fertility rate in 2043.</w:t>
      </w:r>
      <w:r w:rsidR="005B6716">
        <w:t xml:space="preserve"> What determines the boundedness of the distribution is the associated confidence level they provide with their estimate of a lower and </w:t>
      </w:r>
      <w:r w:rsidR="00A45028">
        <w:t>upper bound</w:t>
      </w:r>
      <w:r w:rsidR="005B6716">
        <w:t xml:space="preserve"> (</w:t>
      </w:r>
      <w:r w:rsidR="005B6716" w:rsidRPr="005B6716">
        <w:rPr>
          <w:b/>
        </w:rPr>
        <w:t>Step 2b)</w:t>
      </w:r>
      <w:r w:rsidR="005B6716">
        <w:t xml:space="preserve"> in </w:t>
      </w:r>
      <w:r w:rsidR="005B6716" w:rsidRPr="005B6716">
        <w:rPr>
          <w:b/>
        </w:rPr>
        <w:t>Figure 1</w:t>
      </w:r>
      <w:r w:rsidR="005B6716">
        <w:t>).</w:t>
      </w:r>
    </w:p>
    <w:p w14:paraId="14DC36AA" w14:textId="77777777" w:rsidR="005B6716" w:rsidRPr="00C30D39" w:rsidRDefault="005B6716" w:rsidP="00B678C8">
      <w:pPr>
        <w:pStyle w:val="Heading3"/>
        <w:ind w:left="0" w:firstLine="0"/>
      </w:pPr>
      <w:r w:rsidRPr="005B6716">
        <w:rPr>
          <w:b/>
        </w:rPr>
        <w:t>Figure 1</w:t>
      </w:r>
      <w:r w:rsidR="00C30D39">
        <w:t xml:space="preserve">: Screenshot </w:t>
      </w:r>
      <w:r w:rsidRPr="005B6716">
        <w:t>of</w:t>
      </w:r>
      <w:r w:rsidR="00C30D39">
        <w:t xml:space="preserve"> the</w:t>
      </w:r>
      <w:r w:rsidRPr="005B6716">
        <w:t xml:space="preserve"> 2018 Survey of Experts on Future Demographic Trends</w:t>
      </w:r>
      <w:r w:rsidR="00C30D39">
        <w:t xml:space="preserve"> questionnaire</w:t>
      </w:r>
    </w:p>
    <w:p w14:paraId="5F29E4DC" w14:textId="77777777" w:rsidR="00B2450F" w:rsidRDefault="00B2450F" w:rsidP="00B2450F">
      <w:r>
        <w:rPr>
          <w:noProof/>
          <w:lang w:eastAsia="en-CA"/>
        </w:rPr>
        <w:drawing>
          <wp:anchor distT="0" distB="0" distL="114300" distR="114300" simplePos="0" relativeHeight="251658240" behindDoc="1" locked="0" layoutInCell="1" allowOverlap="1" wp14:anchorId="1D0E9F3D" wp14:editId="55AF6889">
            <wp:simplePos x="0" y="0"/>
            <wp:positionH relativeFrom="margin">
              <wp:align>center</wp:align>
            </wp:positionH>
            <wp:positionV relativeFrom="paragraph">
              <wp:posOffset>14605</wp:posOffset>
            </wp:positionV>
            <wp:extent cx="3405600" cy="3834000"/>
            <wp:effectExtent l="0" t="0" r="4445" b="0"/>
            <wp:wrapTight wrapText="bothSides">
              <wp:wrapPolygon edited="0">
                <wp:start x="0" y="0"/>
                <wp:lineTo x="0" y="21468"/>
                <wp:lineTo x="21507" y="21468"/>
                <wp:lineTo x="215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05600" cy="3834000"/>
                    </a:xfrm>
                    <a:prstGeom prst="rect">
                      <a:avLst/>
                    </a:prstGeom>
                  </pic:spPr>
                </pic:pic>
              </a:graphicData>
            </a:graphic>
            <wp14:sizeRelH relativeFrom="page">
              <wp14:pctWidth>0</wp14:pctWidth>
            </wp14:sizeRelH>
            <wp14:sizeRelV relativeFrom="page">
              <wp14:pctHeight>0</wp14:pctHeight>
            </wp14:sizeRelV>
          </wp:anchor>
        </w:drawing>
      </w:r>
    </w:p>
    <w:p w14:paraId="653DA23D" w14:textId="77777777" w:rsidR="00B2450F" w:rsidRDefault="00B2450F" w:rsidP="00B2450F"/>
    <w:p w14:paraId="0885E198" w14:textId="77777777" w:rsidR="005B6716" w:rsidRDefault="005B6716" w:rsidP="00B2450F"/>
    <w:p w14:paraId="132C391F" w14:textId="77777777" w:rsidR="005B6716" w:rsidRDefault="005B6716" w:rsidP="00B2450F"/>
    <w:p w14:paraId="229816E1" w14:textId="77777777" w:rsidR="005B6716" w:rsidRDefault="005B6716" w:rsidP="00B2450F"/>
    <w:p w14:paraId="3FB28D8E" w14:textId="77777777" w:rsidR="005B6716" w:rsidRDefault="005B6716" w:rsidP="00B2450F"/>
    <w:p w14:paraId="3FED55EE" w14:textId="77777777" w:rsidR="005B6716" w:rsidRDefault="005B6716" w:rsidP="00B2450F"/>
    <w:p w14:paraId="0F066108" w14:textId="77777777" w:rsidR="005B6716" w:rsidRDefault="005B6716" w:rsidP="00B2450F"/>
    <w:p w14:paraId="02C53405" w14:textId="77777777" w:rsidR="005B6716" w:rsidRDefault="005B6716" w:rsidP="00B2450F"/>
    <w:p w14:paraId="62695B90" w14:textId="77777777" w:rsidR="005B6716" w:rsidRDefault="005B6716" w:rsidP="00B2450F"/>
    <w:p w14:paraId="7EEA828C" w14:textId="77777777" w:rsidR="005B6716" w:rsidRDefault="005B6716" w:rsidP="00B2450F"/>
    <w:p w14:paraId="059F2089" w14:textId="77777777" w:rsidR="005B6716" w:rsidRDefault="005B6716" w:rsidP="00B2450F"/>
    <w:p w14:paraId="44AFDBFF" w14:textId="77777777" w:rsidR="005B6716" w:rsidRDefault="005B6716" w:rsidP="00B2450F"/>
    <w:p w14:paraId="29979044" w14:textId="77777777" w:rsidR="005B6716" w:rsidRDefault="005B6716" w:rsidP="00B2450F"/>
    <w:p w14:paraId="00B4060E" w14:textId="77777777" w:rsidR="008633DF" w:rsidRDefault="008633DF" w:rsidP="008633DF"/>
    <w:p w14:paraId="7CBF5727" w14:textId="77777777" w:rsidR="008633DF" w:rsidRDefault="008633DF" w:rsidP="008633DF">
      <w:r>
        <w:t xml:space="preserve">The minimum confidence level an expert is permitted to provide is 90%; any value lower than this, and the expert is advised to re-think their response and widen their bounds so that the associated range covers no less than 90% (and no more than 100%) of future possible values of the TFR. </w:t>
      </w:r>
      <w:r w:rsidRPr="000C6B9D">
        <w:t>If the confidence level is 100%, then the lower and upper bounds are taken to be absolute upper and lower limits, and a bounded distribution is selected.</w:t>
      </w:r>
      <w:r>
        <w:t xml:space="preserve">  However, as experts rarely provide a confidence limit of 100%, a bounded distribution is rarely fit. The unbounded and semi-bounded distributions are fit depending on other conditions related to experts’ inputs, and are described in their respective sections.</w:t>
      </w:r>
    </w:p>
    <w:p w14:paraId="537F7637" w14:textId="77777777" w:rsidR="008633DF" w:rsidRDefault="008633DF" w:rsidP="008633DF">
      <w:r>
        <w:lastRenderedPageBreak/>
        <w:t xml:space="preserve">If an unbounded, semi-bounded or bounded </w:t>
      </w:r>
      <w:proofErr w:type="spellStart"/>
      <w:r>
        <w:t>metalog</w:t>
      </w:r>
      <w:proofErr w:type="spellEnd"/>
      <w:r>
        <w:t xml:space="preserve"> distribution cannot be fit for any reason, experts will be notified in the </w:t>
      </w:r>
      <w:r w:rsidRPr="00E149EC">
        <w:rPr>
          <w:b/>
        </w:rPr>
        <w:t>Fertility</w:t>
      </w:r>
      <w:r>
        <w:t xml:space="preserve"> sheet (a message reading “</w:t>
      </w:r>
      <w:r w:rsidRPr="00E149EC">
        <w:rPr>
          <w:b/>
        </w:rPr>
        <w:t>Curve fitting not possible with these inputs”</w:t>
      </w:r>
      <w:r>
        <w:t xml:space="preserve"> is displayed on the graph). However, a rudimentary histogram is fit to the experts’ inputs regardless of whether or not a curve is fit, and is still displayed on the graph.</w:t>
      </w:r>
    </w:p>
    <w:p w14:paraId="0BB9A1AA" w14:textId="53B61FE0" w:rsidR="000D6AFF" w:rsidRDefault="000D37EE" w:rsidP="00A4274C">
      <w:pPr>
        <w:pStyle w:val="Heading3"/>
      </w:pPr>
      <w:r>
        <w:t>3</w:t>
      </w:r>
      <w:r w:rsidR="000D6AFF">
        <w:t>.2.1 Unbounded distribution</w:t>
      </w:r>
    </w:p>
    <w:p w14:paraId="439850C7" w14:textId="01BD57A7" w:rsidR="00F8765B" w:rsidRDefault="00E258EA" w:rsidP="00E258EA">
      <w:r>
        <w:t xml:space="preserve">An unbounded </w:t>
      </w:r>
      <w:proofErr w:type="spellStart"/>
      <w:r>
        <w:t>metalog</w:t>
      </w:r>
      <w:proofErr w:type="spellEnd"/>
      <w:r>
        <w:t xml:space="preserve"> </w:t>
      </w:r>
      <w:r w:rsidR="000D6AFF">
        <w:t xml:space="preserve">is the distribution fit most often to experts’ inputs, </w:t>
      </w:r>
      <w:r w:rsidR="00F8765B">
        <w:t>on the condition</w:t>
      </w:r>
      <w:r w:rsidR="000D6AFF">
        <w:t xml:space="preserve"> </w:t>
      </w:r>
      <w:r w:rsidR="00F8765B">
        <w:t>that they provide</w:t>
      </w:r>
      <w:r>
        <w:t xml:space="preserve"> </w:t>
      </w:r>
      <w:r w:rsidR="00F8765B">
        <w:t>both</w:t>
      </w:r>
      <w:r>
        <w:t xml:space="preserve"> a lower bound sufficiently far from zero in </w:t>
      </w:r>
      <w:r w:rsidRPr="00E258EA">
        <w:rPr>
          <w:b/>
        </w:rPr>
        <w:t>Step 2a)</w:t>
      </w:r>
      <w:r>
        <w:t xml:space="preserve"> and </w:t>
      </w:r>
      <w:r w:rsidR="000D6AFF">
        <w:t>confidence level strictly less than 100%</w:t>
      </w:r>
      <w:r>
        <w:t xml:space="preserve"> in </w:t>
      </w:r>
      <w:r w:rsidRPr="00E258EA">
        <w:rPr>
          <w:b/>
        </w:rPr>
        <w:t>Step 2b)</w:t>
      </w:r>
      <w:r w:rsidR="00F8765B">
        <w:t xml:space="preserve">. If both these conditions are not met, then a semi-bounded or bounded </w:t>
      </w:r>
      <w:proofErr w:type="spellStart"/>
      <w:r w:rsidR="00F8765B">
        <w:t>metalog</w:t>
      </w:r>
      <w:proofErr w:type="spellEnd"/>
      <w:r w:rsidR="00F8765B">
        <w:t xml:space="preserve"> distribution may be selected instead.</w:t>
      </w:r>
    </w:p>
    <w:p w14:paraId="52676A69" w14:textId="7641F163" w:rsidR="00E258EA" w:rsidRDefault="00E258EA" w:rsidP="00E258EA">
      <w:r>
        <w:t xml:space="preserve">When an unbounded distribution is fit, parameters are estimated in the </w:t>
      </w:r>
      <w:proofErr w:type="spellStart"/>
      <w:r>
        <w:rPr>
          <w:b/>
        </w:rPr>
        <w:t>u</w:t>
      </w:r>
      <w:r w:rsidRPr="0069171E">
        <w:rPr>
          <w:b/>
        </w:rPr>
        <w:t>_FER</w:t>
      </w:r>
      <w:proofErr w:type="spellEnd"/>
      <w:r w:rsidR="00FB60FB">
        <w:t xml:space="preserve"> sheet</w:t>
      </w:r>
      <w:r>
        <w:t xml:space="preserve">. All cells and tables in the </w:t>
      </w:r>
      <w:proofErr w:type="spellStart"/>
      <w:r>
        <w:rPr>
          <w:b/>
        </w:rPr>
        <w:t>u</w:t>
      </w:r>
      <w:r w:rsidRPr="000D6433">
        <w:rPr>
          <w:b/>
        </w:rPr>
        <w:t>_FER</w:t>
      </w:r>
      <w:proofErr w:type="spellEnd"/>
      <w:r w:rsidR="00FB60FB">
        <w:t xml:space="preserve"> sheet</w:t>
      </w:r>
      <w:r>
        <w:t xml:space="preserve"> are coded in three different colours:</w:t>
      </w:r>
    </w:p>
    <w:p w14:paraId="646A2FE2" w14:textId="77777777" w:rsidR="00E258EA" w:rsidRDefault="00E258EA" w:rsidP="00E258EA">
      <w:pPr>
        <w:pStyle w:val="ListParagraph"/>
        <w:numPr>
          <w:ilvl w:val="0"/>
          <w:numId w:val="2"/>
        </w:numPr>
      </w:pPr>
      <w:r w:rsidRPr="00C01E74">
        <w:rPr>
          <w:i/>
        </w:rPr>
        <w:t>light yellow</w:t>
      </w:r>
      <w:r>
        <w:t>: indicates the contents of these cells are required inputs and/or can be modified;</w:t>
      </w:r>
    </w:p>
    <w:p w14:paraId="58BBE6F6" w14:textId="77777777" w:rsidR="00E258EA" w:rsidRDefault="00E258EA" w:rsidP="00E258EA">
      <w:pPr>
        <w:pStyle w:val="ListParagraph"/>
        <w:numPr>
          <w:ilvl w:val="0"/>
          <w:numId w:val="2"/>
        </w:numPr>
      </w:pPr>
      <w:r w:rsidRPr="00C01E74">
        <w:rPr>
          <w:i/>
        </w:rPr>
        <w:t>light blue</w:t>
      </w:r>
      <w:r>
        <w:t>: indicates optional inputs;</w:t>
      </w:r>
    </w:p>
    <w:p w14:paraId="3B9860DB" w14:textId="77777777" w:rsidR="00E258EA" w:rsidRDefault="00E258EA" w:rsidP="00E258EA">
      <w:pPr>
        <w:pStyle w:val="ListParagraph"/>
        <w:numPr>
          <w:ilvl w:val="0"/>
          <w:numId w:val="2"/>
        </w:numPr>
      </w:pPr>
      <w:r w:rsidRPr="00C01E74">
        <w:rPr>
          <w:i/>
        </w:rPr>
        <w:t>light green</w:t>
      </w:r>
      <w:r>
        <w:t>: indicates the contents of the cells do not need to be modified</w:t>
      </w:r>
    </w:p>
    <w:p w14:paraId="5FC88434" w14:textId="69D3068A" w:rsidR="00E258EA" w:rsidRDefault="00E258EA" w:rsidP="00E258EA">
      <w:r>
        <w:t xml:space="preserve">Within this </w:t>
      </w:r>
      <w:r w:rsidR="00FB60FB">
        <w:t>sheet</w:t>
      </w:r>
      <w:r>
        <w:t>, a number of calculations are being done:</w:t>
      </w:r>
    </w:p>
    <w:p w14:paraId="2A84A625" w14:textId="0ECBDEBD" w:rsidR="00E258EA" w:rsidRDefault="00E258EA" w:rsidP="00E258EA">
      <w:pPr>
        <w:pStyle w:val="ListParagraph"/>
        <w:numPr>
          <w:ilvl w:val="0"/>
          <w:numId w:val="3"/>
        </w:numPr>
      </w:pPr>
      <w:r>
        <w:t xml:space="preserve">A two- </w:t>
      </w:r>
      <w:r w:rsidR="00125D24">
        <w:t>to</w:t>
      </w:r>
      <w:r>
        <w:t xml:space="preserve"> </w:t>
      </w:r>
      <w:r w:rsidR="00125D24">
        <w:t>five</w:t>
      </w:r>
      <w:r>
        <w:t xml:space="preserve">- parameter </w:t>
      </w:r>
      <w:proofErr w:type="spellStart"/>
      <w:r>
        <w:t>metalog</w:t>
      </w:r>
      <w:proofErr w:type="spellEnd"/>
      <w:r>
        <w:t xml:space="preserve"> distribution are fit to the data, using least-squares estimation to estimate </w:t>
      </w:r>
      <w:r w:rsidRPr="00C01E74">
        <w:rPr>
          <w:b/>
        </w:rPr>
        <w:t>a</w:t>
      </w:r>
      <w:r>
        <w:rPr>
          <w:b/>
        </w:rPr>
        <w:t xml:space="preserve"> </w:t>
      </w:r>
      <w:r>
        <w:t xml:space="preserve">(see the table with the header “Matrix inversion”). Regardless of the </w:t>
      </w:r>
      <w:r w:rsidR="006C0B20">
        <w:t>selected</w:t>
      </w:r>
      <m:oMath>
        <m:r>
          <w:rPr>
            <w:rFonts w:ascii="Cambria Math" w:hAnsi="Cambria Math"/>
          </w:rPr>
          <m:t xml:space="preserve"> </m:t>
        </m:r>
        <m:r>
          <w:rPr>
            <w:rFonts w:ascii="Cambria Math" w:hAnsi="Cambria Math" w:cs="Calibri"/>
            <w:vertAlign w:val="subscript"/>
          </w:rPr>
          <m:t>n</m:t>
        </m:r>
      </m:oMath>
      <w:r>
        <w:rPr>
          <w:rFonts w:eastAsiaTheme="minorEastAsia"/>
        </w:rPr>
        <w:t xml:space="preserve">, metalog distributions with terns </w:t>
      </w:r>
      <m:oMath>
        <m:r>
          <w:rPr>
            <w:rFonts w:ascii="Cambria Math" w:eastAsiaTheme="minorEastAsia" w:hAnsi="Cambria Math"/>
          </w:rPr>
          <m:t>2,…,n-2,n-1</m:t>
        </m:r>
        <m:r>
          <w:rPr>
            <w:rFonts w:ascii="Cambria Math" w:hAnsi="Cambria Math"/>
          </w:rPr>
          <m:t>,n</m:t>
        </m:r>
      </m:oMath>
      <w:r>
        <w:rPr>
          <w:rFonts w:eastAsiaTheme="minorEastAsia"/>
        </w:rPr>
        <w:t xml:space="preserve"> are fit to the data simultaneously. </w:t>
      </w:r>
      <w:r w:rsidR="00125D24">
        <w:rPr>
          <w:rFonts w:eastAsiaTheme="minorEastAsia"/>
        </w:rPr>
        <w:t>In this case,</w:t>
      </w:r>
      <m:oMath>
        <m:r>
          <w:rPr>
            <w:rFonts w:ascii="Cambria Math" w:eastAsiaTheme="minorEastAsia" w:hAnsi="Cambria Math"/>
          </w:rPr>
          <m:t xml:space="preserve"> </m:t>
        </m:r>
        <m:r>
          <w:rPr>
            <w:rFonts w:ascii="Cambria Math" w:hAnsi="Cambria Math" w:cs="Calibri"/>
            <w:vertAlign w:val="subscript"/>
          </w:rPr>
          <m:t>n=5</m:t>
        </m:r>
      </m:oMath>
      <w:proofErr w:type="gramStart"/>
      <w:r w:rsidR="00125D24">
        <w:rPr>
          <w:rFonts w:eastAsiaTheme="minorEastAsia"/>
        </w:rPr>
        <w:t>,</w:t>
      </w:r>
      <w:proofErr w:type="gramEnd"/>
      <w:r w:rsidR="00125D24">
        <w:rPr>
          <w:rFonts w:eastAsiaTheme="minorEastAsia"/>
        </w:rPr>
        <w:t xml:space="preserve"> so metalog distributions with terms </w:t>
      </w:r>
      <m:oMath>
        <m:r>
          <w:rPr>
            <w:rFonts w:ascii="Cambria Math" w:eastAsiaTheme="minorEastAsia" w:hAnsi="Cambria Math"/>
          </w:rPr>
          <m:t>n=2, 3, …,5</m:t>
        </m:r>
      </m:oMath>
      <w:r w:rsidR="00125D24">
        <w:rPr>
          <w:rFonts w:eastAsiaTheme="minorEastAsia"/>
        </w:rPr>
        <w:t xml:space="preserve"> are fit. </w:t>
      </w:r>
      <w:r>
        <w:rPr>
          <w:rFonts w:eastAsiaTheme="minorEastAsia"/>
        </w:rPr>
        <w:t>If solutions are found</w:t>
      </w:r>
      <w:r w:rsidR="00AD38F4">
        <w:rPr>
          <w:rFonts w:eastAsiaTheme="minorEastAsia"/>
        </w:rPr>
        <w:t xml:space="preserve"> for </w:t>
      </w:r>
      <w:proofErr w:type="gramStart"/>
      <w:r w:rsidR="00AD38F4">
        <w:rPr>
          <w:rFonts w:eastAsiaTheme="minorEastAsia"/>
        </w:rPr>
        <w:t xml:space="preserve">these </w:t>
      </w:r>
      <w:proofErr w:type="gramEnd"/>
      <m:oMath>
        <m:r>
          <w:rPr>
            <w:rFonts w:ascii="Cambria Math" w:eastAsiaTheme="minorEastAsia" w:hAnsi="Cambria Math"/>
          </w:rPr>
          <m:t>n</m:t>
        </m:r>
      </m:oMath>
      <w:r>
        <w:rPr>
          <w:rFonts w:eastAsiaTheme="minorEastAsia"/>
        </w:rPr>
        <w:t xml:space="preserve">, the </w:t>
      </w:r>
      <w:r w:rsidR="004C311D">
        <w:rPr>
          <w:rFonts w:eastAsiaTheme="minorEastAsia"/>
        </w:rPr>
        <w:t>table</w:t>
      </w:r>
      <w:r>
        <w:rPr>
          <w:rFonts w:eastAsiaTheme="minorEastAsia"/>
        </w:rPr>
        <w:t xml:space="preserve"> header will read </w:t>
      </w:r>
      <w:r>
        <w:t>“Matrix inversion successful”.</w:t>
      </w:r>
    </w:p>
    <w:p w14:paraId="3DE69875" w14:textId="77777777" w:rsidR="00E258EA" w:rsidRDefault="00E258EA" w:rsidP="00E258EA">
      <w:pPr>
        <w:pStyle w:val="ListParagraph"/>
      </w:pPr>
    </w:p>
    <w:p w14:paraId="52739120" w14:textId="6DB0378E" w:rsidR="00E258EA" w:rsidRPr="004C311D" w:rsidRDefault="00E258EA" w:rsidP="00E258EA">
      <w:pPr>
        <w:pStyle w:val="ListParagraph"/>
        <w:numPr>
          <w:ilvl w:val="0"/>
          <w:numId w:val="3"/>
        </w:numPr>
      </w:pPr>
      <w:r>
        <w:t>After the parameters are estimated, values from the resulting quantile function and PDF,</w:t>
      </w:r>
      <m:oMath>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n</m:t>
            </m:r>
          </m:sub>
        </m:sSub>
        <m:d>
          <m:dPr>
            <m:ctrlPr>
              <w:rPr>
                <w:rFonts w:ascii="Cambria Math" w:hAnsi="Cambria Math"/>
                <w:i/>
              </w:rPr>
            </m:ctrlPr>
          </m:dPr>
          <m:e>
            <m:r>
              <w:rPr>
                <w:rFonts w:ascii="Cambria Math" w:hAnsi="Cambria Math"/>
              </w:rPr>
              <m:t>y</m:t>
            </m:r>
          </m:e>
        </m:d>
      </m:oMath>
      <w:proofErr w:type="gramStart"/>
      <w:r>
        <w:rPr>
          <w:rFonts w:eastAsiaTheme="minorEastAsia"/>
        </w:rPr>
        <w:t>,</w:t>
      </w:r>
      <w:proofErr w:type="gramEnd"/>
      <w:r>
        <w:rPr>
          <w:rFonts w:eastAsiaTheme="minorEastAsia"/>
        </w:rPr>
        <w:t xml:space="preserve"> and </w:t>
      </w:r>
      <m:oMath>
        <m:sSub>
          <m:sSubPr>
            <m:ctrlPr>
              <w:rPr>
                <w:rFonts w:ascii="Cambria Math" w:hAnsi="Cambria Math"/>
                <w:i/>
              </w:rPr>
            </m:ctrlPr>
          </m:sSubPr>
          <m:e>
            <m:r>
              <w:rPr>
                <w:rFonts w:ascii="Cambria Math" w:hAnsi="Cambria Math"/>
              </w:rPr>
              <m:t>m</m:t>
            </m:r>
          </m:e>
          <m:sub>
            <m:r>
              <w:rPr>
                <w:rFonts w:ascii="Cambria Math" w:hAnsi="Cambria Math"/>
              </w:rPr>
              <m:t>n</m:t>
            </m:r>
          </m:sub>
        </m:sSub>
        <m:d>
          <m:dPr>
            <m:ctrlPr>
              <w:rPr>
                <w:rFonts w:ascii="Cambria Math" w:hAnsi="Cambria Math"/>
                <w:i/>
              </w:rPr>
            </m:ctrlPr>
          </m:dPr>
          <m:e>
            <m:r>
              <w:rPr>
                <w:rFonts w:ascii="Cambria Math" w:hAnsi="Cambria Math"/>
              </w:rPr>
              <m:t>y</m:t>
            </m:r>
          </m:e>
        </m:d>
      </m:oMath>
      <w:r>
        <w:rPr>
          <w:rFonts w:eastAsiaTheme="minorEastAsia"/>
        </w:rPr>
        <w:t>, are computed for</w:t>
      </w:r>
      <w:r w:rsidR="004C311D">
        <w:rPr>
          <w:rFonts w:eastAsiaTheme="minorEastAsia"/>
        </w:rPr>
        <w:t xml:space="preserve"> all</w:t>
      </w:r>
      <m:oMath>
        <m:r>
          <w:rPr>
            <w:rFonts w:ascii="Cambria Math" w:hAnsi="Cambria Math"/>
          </w:rPr>
          <m:t xml:space="preserve"> n</m:t>
        </m:r>
      </m:oMath>
      <w:r>
        <w:rPr>
          <w:rFonts w:eastAsiaTheme="minorEastAsia"/>
        </w:rPr>
        <w:t xml:space="preserve">, and the feasibility of the estimated </w:t>
      </w:r>
      <w:r w:rsidRPr="00C01E74">
        <w:rPr>
          <w:b/>
        </w:rPr>
        <w:t>a</w:t>
      </w:r>
      <w:r>
        <w:rPr>
          <w:b/>
        </w:rPr>
        <w:t xml:space="preserve"> </w:t>
      </w:r>
      <w:r w:rsidRPr="00122F08">
        <w:t>is ass</w:t>
      </w:r>
      <w:r>
        <w:t xml:space="preserve">essed. The algorithm works sequentially so that if the parameters are feasible for the highest </w:t>
      </w:r>
      <m:oMath>
        <m:r>
          <w:rPr>
            <w:rFonts w:ascii="Cambria Math" w:hAnsi="Cambria Math"/>
          </w:rPr>
          <m:t>n</m:t>
        </m:r>
      </m:oMath>
      <w:r>
        <w:rPr>
          <w:rFonts w:eastAsiaTheme="minorEastAsia"/>
        </w:rPr>
        <w:t xml:space="preserve"> selected (here, </w:t>
      </w:r>
      <w:r w:rsidR="004C311D">
        <w:rPr>
          <w:rFonts w:eastAsiaTheme="minorEastAsia"/>
        </w:rPr>
        <w:t>5</w:t>
      </w:r>
      <w:r>
        <w:rPr>
          <w:rFonts w:eastAsiaTheme="minorEastAsia"/>
        </w:rPr>
        <w:t xml:space="preserve">), then the final fitted distribution will be an </w:t>
      </w:r>
      <m:oMath>
        <m:r>
          <w:rPr>
            <w:rFonts w:ascii="Cambria Math" w:hAnsi="Cambria Math"/>
          </w:rPr>
          <m:t>n</m:t>
        </m:r>
      </m:oMath>
      <w:r>
        <w:rPr>
          <w:rFonts w:eastAsiaTheme="minorEastAsia"/>
        </w:rPr>
        <w:t xml:space="preserve">-term metalog. If this is not feasible, then the </w:t>
      </w:r>
      <m:oMath>
        <m:r>
          <w:rPr>
            <w:rFonts w:ascii="Cambria Math" w:eastAsiaTheme="minorEastAsia" w:hAnsi="Cambria Math"/>
          </w:rPr>
          <m:t>(</m:t>
        </m:r>
        <m:r>
          <w:rPr>
            <w:rFonts w:ascii="Cambria Math" w:hAnsi="Cambria Math"/>
          </w:rPr>
          <m:t>n</m:t>
        </m:r>
      </m:oMath>
      <w:r>
        <w:rPr>
          <w:rFonts w:eastAsiaTheme="minorEastAsia"/>
        </w:rPr>
        <w:t>-1)-term metalog is selected, if feasible, and so on, etc.</w:t>
      </w:r>
      <w:r>
        <w:rPr>
          <w:rStyle w:val="FootnoteReference"/>
          <w:rFonts w:eastAsiaTheme="minorEastAsia"/>
        </w:rPr>
        <w:footnoteReference w:id="10"/>
      </w:r>
    </w:p>
    <w:p w14:paraId="52991850" w14:textId="68E8BE76" w:rsidR="004C311D" w:rsidRDefault="004C311D" w:rsidP="004C311D">
      <w:r>
        <w:t xml:space="preserve">There is a message key on the far bottom-right hand of the </w:t>
      </w:r>
      <w:r w:rsidR="00FB60FB">
        <w:t xml:space="preserve">sheet </w:t>
      </w:r>
      <w:r>
        <w:t xml:space="preserve">that lists what messages will be displayed at the very top of the </w:t>
      </w:r>
      <w:r w:rsidR="00FB60FB">
        <w:t xml:space="preserve">sheet </w:t>
      </w:r>
      <w:r>
        <w:t xml:space="preserve">(in the “Messages” box) if an expert provides inputs that do not allow a bounded </w:t>
      </w:r>
      <w:proofErr w:type="spellStart"/>
      <w:r>
        <w:t>metalog</w:t>
      </w:r>
      <w:proofErr w:type="spellEnd"/>
      <w:r>
        <w:t xml:space="preserve"> to be fit, and why. </w:t>
      </w:r>
    </w:p>
    <w:p w14:paraId="14134E02" w14:textId="2F2E0039" w:rsidR="003D1CD9" w:rsidRDefault="000D37EE" w:rsidP="00A4274C">
      <w:pPr>
        <w:pStyle w:val="Heading3"/>
      </w:pPr>
      <w:r>
        <w:t>3</w:t>
      </w:r>
      <w:r w:rsidR="003D1CD9">
        <w:t>.2.</w:t>
      </w:r>
      <w:r w:rsidR="00D61C2C">
        <w:t>2</w:t>
      </w:r>
      <w:r w:rsidR="003D1CD9">
        <w:t xml:space="preserve"> Semi-bounded distribution</w:t>
      </w:r>
    </w:p>
    <w:p w14:paraId="1606F279" w14:textId="77777777" w:rsidR="003D1CD9" w:rsidRDefault="003D1CD9" w:rsidP="003D1CD9">
      <w:r>
        <w:t xml:space="preserve">A semi-bounded distribution is usually selected if an expert provides a confidence level below 100% in </w:t>
      </w:r>
      <w:r w:rsidRPr="00053ABC">
        <w:rPr>
          <w:b/>
        </w:rPr>
        <w:t>Step 2b)</w:t>
      </w:r>
      <w:r>
        <w:t xml:space="preserve"> in combination with a lower bound in </w:t>
      </w:r>
      <w:r w:rsidRPr="00053ABC">
        <w:rPr>
          <w:b/>
        </w:rPr>
        <w:t>Step 1a)</w:t>
      </w:r>
      <w:r>
        <w:t xml:space="preserve"> that is very close to zero, and a non-negligible probability assigned to the lower tail of the distribution (</w:t>
      </w:r>
      <w:r w:rsidRPr="00C30D39">
        <w:rPr>
          <w:b/>
        </w:rPr>
        <w:t>Step 2d</w:t>
      </w:r>
      <w:r>
        <w:t xml:space="preserve">)).  An example of such a case is displayed in </w:t>
      </w:r>
      <w:r w:rsidRPr="00C30D39">
        <w:rPr>
          <w:b/>
        </w:rPr>
        <w:t>Figure 2</w:t>
      </w:r>
      <w:r>
        <w:t xml:space="preserve">. </w:t>
      </w:r>
    </w:p>
    <w:p w14:paraId="2390D9CF" w14:textId="77777777" w:rsidR="003D1CD9" w:rsidRDefault="003D1CD9" w:rsidP="003D1CD9">
      <w:r>
        <w:lastRenderedPageBreak/>
        <w:t xml:space="preserve">Many demographic indicators are naturally bounded at zero, and while fitting an unbounded </w:t>
      </w:r>
      <w:proofErr w:type="spellStart"/>
      <w:r>
        <w:t>metalog</w:t>
      </w:r>
      <w:proofErr w:type="spellEnd"/>
      <w:r>
        <w:t xml:space="preserve"> distribution (the most commonly fit distribution) to experts’ inputs would assign non-zero probability to negative values, this probability is usually negligible.</w:t>
      </w:r>
      <w:r>
        <w:rPr>
          <w:rStyle w:val="FootnoteReference"/>
        </w:rPr>
        <w:footnoteReference w:id="11"/>
      </w:r>
      <w:r>
        <w:t xml:space="preserve">  However, in the case that values close to zero are more probable for a given component – such as in the case of a distribution similar to the one in </w:t>
      </w:r>
      <w:r w:rsidRPr="0085344E">
        <w:rPr>
          <w:b/>
        </w:rPr>
        <w:t>Figure 2</w:t>
      </w:r>
      <w:r>
        <w:t xml:space="preserve"> – it is necessary to impose a lower bound of zero to avoid obtaining implausible results. The survey however does not permit a curve to be fit if an expert provides a lower bound of </w:t>
      </w:r>
      <w:r w:rsidRPr="00C57E71">
        <w:rPr>
          <w:i/>
        </w:rPr>
        <w:t>exactly</w:t>
      </w:r>
      <w:r>
        <w:t xml:space="preserve"> zero.</w:t>
      </w:r>
    </w:p>
    <w:p w14:paraId="7982A8C0" w14:textId="0205256B" w:rsidR="00F3788D" w:rsidRDefault="003D1CD9" w:rsidP="003D1CD9">
      <w:pPr>
        <w:rPr>
          <w:rFonts w:eastAsiaTheme="minorEastAsia"/>
        </w:rPr>
      </w:pPr>
      <w:r>
        <w:t xml:space="preserve">To fit a semi-bounded </w:t>
      </w:r>
      <w:proofErr w:type="spellStart"/>
      <w:r>
        <w:t>metalog</w:t>
      </w:r>
      <w:proofErr w:type="spellEnd"/>
      <w:r>
        <w:t xml:space="preserve">, the transformation </w:t>
      </w:r>
      <m:oMath>
        <m:r>
          <w:rPr>
            <w:rFonts w:ascii="Cambria Math" w:hAnsi="Cambria Math"/>
          </w:rPr>
          <m:t>z=</m:t>
        </m:r>
        <m:func>
          <m:funcPr>
            <m:ctrlPr>
              <w:rPr>
                <w:rFonts w:ascii="Cambria Math" w:hAnsi="Cambria Math"/>
                <w:i/>
              </w:rPr>
            </m:ctrlPr>
          </m:funcPr>
          <m:fName>
            <m:r>
              <m:rPr>
                <m:sty m:val="p"/>
              </m:rPr>
              <w:rPr>
                <w:rFonts w:ascii="Cambria Math" w:hAnsi="Cambria Math"/>
              </w:rPr>
              <m:t>ln</m:t>
            </m:r>
          </m:fName>
          <m:e>
            <m:r>
              <w:rPr>
                <w:rFonts w:ascii="Cambria Math" w:hAnsi="Cambria Math"/>
              </w:rPr>
              <m:t>(x-l)</m:t>
            </m:r>
          </m:e>
        </m:func>
        <m:r>
          <w:rPr>
            <w:rFonts w:ascii="Cambria Math" w:hAnsi="Cambria Math"/>
          </w:rPr>
          <m:t xml:space="preserve"> </m:t>
        </m:r>
      </m:oMath>
      <w:r>
        <w:rPr>
          <w:rFonts w:eastAsiaTheme="minorEastAsia"/>
        </w:rPr>
        <w:t>is applied</w:t>
      </w:r>
      <w:r w:rsidR="00AC36DF">
        <w:rPr>
          <w:rFonts w:eastAsiaTheme="minorEastAsia"/>
        </w:rPr>
        <w:t xml:space="preserve"> to expert’s inputs</w:t>
      </w:r>
      <w:r>
        <w:rPr>
          <w:rFonts w:eastAsiaTheme="minorEastAsia"/>
        </w:rPr>
        <w:t xml:space="preserve">, where </w:t>
      </w:r>
      <m:oMath>
        <m:r>
          <w:rPr>
            <w:rFonts w:ascii="Cambria Math" w:hAnsi="Cambria Math"/>
          </w:rPr>
          <m:t xml:space="preserve">l </m:t>
        </m:r>
      </m:oMath>
      <w:r w:rsidR="00AF2D9C">
        <w:rPr>
          <w:rFonts w:eastAsiaTheme="minorEastAsia"/>
        </w:rPr>
        <w:t xml:space="preserve">denotes the </w:t>
      </w:r>
      <w:r w:rsidR="007A0193">
        <w:rPr>
          <w:rFonts w:eastAsiaTheme="minorEastAsia"/>
        </w:rPr>
        <w:t>lower bound</w:t>
      </w:r>
      <w:r w:rsidR="001B7DBD">
        <w:rPr>
          <w:rFonts w:eastAsiaTheme="minorEastAsia"/>
        </w:rPr>
        <w:t xml:space="preserve"> (zero in this case). </w:t>
      </w:r>
      <w:r w:rsidR="00AC36DF">
        <w:rPr>
          <w:rFonts w:eastAsiaTheme="minorEastAsia"/>
        </w:rPr>
        <w:t xml:space="preserve">This transformation guarantees that a value of </w:t>
      </w:r>
      <m:oMath>
        <m:r>
          <w:rPr>
            <w:rFonts w:ascii="Cambria Math" w:hAnsi="Cambria Math"/>
          </w:rPr>
          <m:t>x&lt;l</m:t>
        </m:r>
      </m:oMath>
      <w:r w:rsidR="00AC36DF">
        <w:rPr>
          <w:rFonts w:eastAsiaTheme="minorEastAsia"/>
        </w:rPr>
        <w:t xml:space="preserve"> </w:t>
      </w:r>
      <w:r w:rsidR="00DD44A6">
        <w:rPr>
          <w:rFonts w:eastAsiaTheme="minorEastAsia"/>
        </w:rPr>
        <w:t>will</w:t>
      </w:r>
      <w:r w:rsidR="00AC36DF">
        <w:rPr>
          <w:rFonts w:eastAsiaTheme="minorEastAsia"/>
        </w:rPr>
        <w:t xml:space="preserve"> never occur</w:t>
      </w:r>
      <w:r w:rsidR="001B7DBD">
        <w:rPr>
          <w:rFonts w:eastAsiaTheme="minorEastAsia"/>
        </w:rPr>
        <w:t xml:space="preserve">, and the assumption is that </w:t>
      </w:r>
      <m:oMath>
        <m:r>
          <w:rPr>
            <w:rFonts w:ascii="Cambria Math" w:hAnsi="Cambria Math"/>
          </w:rPr>
          <m:t>z</m:t>
        </m:r>
      </m:oMath>
      <w:r w:rsidR="001B7DBD">
        <w:rPr>
          <w:rFonts w:eastAsiaTheme="minorEastAsia"/>
        </w:rPr>
        <w:t xml:space="preserve"> follows a metalog distributions rather than </w:t>
      </w:r>
      <m:oMath>
        <m:r>
          <w:rPr>
            <w:rFonts w:ascii="Cambria Math" w:hAnsi="Cambria Math"/>
          </w:rPr>
          <m:t>x</m:t>
        </m:r>
      </m:oMath>
      <w:r w:rsidR="001B7DBD">
        <w:rPr>
          <w:rFonts w:eastAsiaTheme="minorEastAsia"/>
        </w:rPr>
        <w:t xml:space="preserve"> (the component itself). </w:t>
      </w:r>
      <w:proofErr w:type="spellStart"/>
      <w:r w:rsidR="002333C0">
        <w:rPr>
          <w:rFonts w:eastAsiaTheme="minorEastAsia"/>
        </w:rPr>
        <w:t>Keelin</w:t>
      </w:r>
      <w:proofErr w:type="spellEnd"/>
      <w:r w:rsidR="00BC1834">
        <w:rPr>
          <w:rFonts w:eastAsiaTheme="minorEastAsia"/>
        </w:rPr>
        <w:t xml:space="preserve"> (2016)</w:t>
      </w:r>
      <w:r w:rsidR="002333C0">
        <w:rPr>
          <w:rFonts w:eastAsiaTheme="minorEastAsia"/>
        </w:rPr>
        <w:t xml:space="preserve"> refers</w:t>
      </w:r>
      <w:r>
        <w:rPr>
          <w:rFonts w:eastAsiaTheme="minorEastAsia"/>
        </w:rPr>
        <w:t xml:space="preserve"> </w:t>
      </w:r>
      <w:r w:rsidR="002333C0">
        <w:rPr>
          <w:rFonts w:eastAsiaTheme="minorEastAsia"/>
        </w:rPr>
        <w:t>to this distribution as the</w:t>
      </w:r>
      <w:r>
        <w:rPr>
          <w:rFonts w:eastAsiaTheme="minorEastAsia"/>
        </w:rPr>
        <w:t xml:space="preserve"> </w:t>
      </w:r>
      <w:r w:rsidRPr="00DD44A6">
        <w:rPr>
          <w:rFonts w:eastAsiaTheme="minorEastAsia"/>
          <w:i/>
        </w:rPr>
        <w:t>log-</w:t>
      </w:r>
      <w:proofErr w:type="spellStart"/>
      <w:r w:rsidRPr="00DD44A6">
        <w:rPr>
          <w:rFonts w:eastAsiaTheme="minorEastAsia"/>
          <w:i/>
        </w:rPr>
        <w:t>metalog</w:t>
      </w:r>
      <w:proofErr w:type="spellEnd"/>
      <w:r w:rsidR="00AF2D9C">
        <w:rPr>
          <w:rFonts w:eastAsiaTheme="minorEastAsia"/>
        </w:rPr>
        <w:t>.</w:t>
      </w:r>
      <w:r w:rsidR="00616EE8">
        <w:rPr>
          <w:rStyle w:val="FootnoteReference"/>
          <w:rFonts w:eastAsiaTheme="minorEastAsia"/>
        </w:rPr>
        <w:footnoteReference w:id="12"/>
      </w:r>
      <w:r>
        <w:rPr>
          <w:rFonts w:eastAsiaTheme="minorEastAsia"/>
        </w:rPr>
        <w:t xml:space="preserve"> </w:t>
      </w:r>
    </w:p>
    <w:p w14:paraId="2A04C556" w14:textId="76B9B626" w:rsidR="003D1CD9" w:rsidRPr="006F25CA" w:rsidRDefault="00F3788D" w:rsidP="004C311D">
      <w:pPr>
        <w:rPr>
          <w:rFonts w:eastAsiaTheme="minorEastAsia"/>
        </w:rPr>
      </w:pPr>
      <w:r>
        <w:rPr>
          <w:rFonts w:eastAsiaTheme="minorEastAsia"/>
        </w:rPr>
        <w:t>The</w:t>
      </w:r>
      <w:r w:rsidR="003D1CD9">
        <w:rPr>
          <w:rFonts w:eastAsiaTheme="minorEastAsia"/>
        </w:rPr>
        <w:t xml:space="preserve"> semi-bounded distribution is fit in the </w:t>
      </w:r>
      <w:proofErr w:type="spellStart"/>
      <w:r w:rsidR="003D1CD9" w:rsidRPr="00A31C58">
        <w:rPr>
          <w:rFonts w:eastAsiaTheme="minorEastAsia"/>
          <w:b/>
        </w:rPr>
        <w:t>s_FER</w:t>
      </w:r>
      <w:proofErr w:type="spellEnd"/>
      <w:r w:rsidR="003D1CD9">
        <w:rPr>
          <w:rFonts w:eastAsiaTheme="minorEastAsia"/>
        </w:rPr>
        <w:t xml:space="preserve"> </w:t>
      </w:r>
      <w:r w:rsidR="00FB60FB">
        <w:t>sheet</w:t>
      </w:r>
      <w:r>
        <w:rPr>
          <w:rFonts w:eastAsiaTheme="minorEastAsia"/>
        </w:rPr>
        <w:t xml:space="preserve"> similar to the unbounded distribution</w:t>
      </w:r>
      <w:r w:rsidR="003D1CD9">
        <w:rPr>
          <w:rFonts w:eastAsiaTheme="minorEastAsia"/>
        </w:rPr>
        <w:t xml:space="preserve">, and all calculations are nearly identical. There </w:t>
      </w:r>
      <w:r>
        <w:rPr>
          <w:rFonts w:eastAsiaTheme="minorEastAsia"/>
        </w:rPr>
        <w:t>one key difference is that in c</w:t>
      </w:r>
      <w:r w:rsidR="003D1CD9" w:rsidRPr="00F3788D">
        <w:rPr>
          <w:rFonts w:eastAsiaTheme="minorEastAsia"/>
        </w:rPr>
        <w:t xml:space="preserve">ell </w:t>
      </w:r>
      <w:r w:rsidR="003D1CD9" w:rsidRPr="00F3788D">
        <w:rPr>
          <w:rFonts w:eastAsiaTheme="minorEastAsia"/>
          <w:b/>
        </w:rPr>
        <w:t>C15</w:t>
      </w:r>
      <w:r w:rsidR="00840939">
        <w:rPr>
          <w:rFonts w:eastAsiaTheme="minorEastAsia"/>
          <w:b/>
        </w:rPr>
        <w:t>,</w:t>
      </w:r>
      <w:r w:rsidR="003D1CD9" w:rsidRPr="00F3788D">
        <w:rPr>
          <w:rFonts w:eastAsiaTheme="minorEastAsia"/>
          <w:b/>
        </w:rPr>
        <w:t xml:space="preserve"> </w:t>
      </w:r>
      <w:r w:rsidR="00840939">
        <w:rPr>
          <w:rFonts w:eastAsiaTheme="minorEastAsia"/>
        </w:rPr>
        <w:t xml:space="preserve">the </w:t>
      </w:r>
      <w:r w:rsidR="003D1CD9" w:rsidRPr="00F3788D">
        <w:rPr>
          <w:rFonts w:eastAsiaTheme="minorEastAsia"/>
        </w:rPr>
        <w:t>default lower bound of zero</w:t>
      </w:r>
      <w:r w:rsidR="00840939">
        <w:rPr>
          <w:rFonts w:eastAsiaTheme="minorEastAsia"/>
        </w:rPr>
        <w:t xml:space="preserve"> can be modified if for any reason </w:t>
      </w:r>
      <w:r w:rsidR="00D33601">
        <w:rPr>
          <w:rFonts w:eastAsiaTheme="minorEastAsia"/>
        </w:rPr>
        <w:t xml:space="preserve">administrators </w:t>
      </w:r>
      <w:r w:rsidR="00840939">
        <w:rPr>
          <w:rFonts w:eastAsiaTheme="minorEastAsia"/>
        </w:rPr>
        <w:t>wish to impose an alternative lower</w:t>
      </w:r>
      <w:r w:rsidR="006F25CA">
        <w:rPr>
          <w:rFonts w:eastAsiaTheme="minorEastAsia"/>
        </w:rPr>
        <w:t xml:space="preserve"> </w:t>
      </w:r>
      <w:r w:rsidR="00840939">
        <w:rPr>
          <w:rFonts w:eastAsiaTheme="minorEastAsia"/>
        </w:rPr>
        <w:t xml:space="preserve">bound. </w:t>
      </w:r>
    </w:p>
    <w:p w14:paraId="183E9B82" w14:textId="24F6B4DC" w:rsidR="003D1CD9" w:rsidRPr="003D1CD9" w:rsidRDefault="003D1CD9" w:rsidP="00B678C8">
      <w:pPr>
        <w:pStyle w:val="Heading3"/>
        <w:ind w:left="0" w:firstLine="0"/>
        <w:rPr>
          <w:i/>
        </w:rPr>
      </w:pPr>
      <w:r w:rsidRPr="005B6716">
        <w:rPr>
          <w:b/>
        </w:rPr>
        <w:t xml:space="preserve">Figure </w:t>
      </w:r>
      <w:r>
        <w:rPr>
          <w:b/>
        </w:rPr>
        <w:t>2</w:t>
      </w:r>
      <w:r w:rsidRPr="005B6716">
        <w:t xml:space="preserve">: Screenshot of </w:t>
      </w:r>
      <w:r>
        <w:t>a fitted density and histogram in the</w:t>
      </w:r>
      <w:r w:rsidRPr="005B6716">
        <w:t xml:space="preserve"> </w:t>
      </w:r>
      <w:r w:rsidRPr="005B6716">
        <w:rPr>
          <w:i/>
        </w:rPr>
        <w:t>2018 Survey of Experts on Future Demographic Trends</w:t>
      </w:r>
    </w:p>
    <w:p w14:paraId="47649015" w14:textId="278514F2" w:rsidR="003D1CD9" w:rsidRDefault="003D1CD9" w:rsidP="003D1CD9">
      <w:r>
        <w:rPr>
          <w:noProof/>
          <w:lang w:eastAsia="en-CA"/>
        </w:rPr>
        <w:drawing>
          <wp:anchor distT="0" distB="0" distL="114300" distR="114300" simplePos="0" relativeHeight="251660288" behindDoc="1" locked="0" layoutInCell="1" allowOverlap="1" wp14:anchorId="2A939F1F" wp14:editId="12744DC6">
            <wp:simplePos x="0" y="0"/>
            <wp:positionH relativeFrom="margin">
              <wp:posOffset>756227</wp:posOffset>
            </wp:positionH>
            <wp:positionV relativeFrom="paragraph">
              <wp:posOffset>23034</wp:posOffset>
            </wp:positionV>
            <wp:extent cx="4316400" cy="2919600"/>
            <wp:effectExtent l="0" t="0" r="8255" b="0"/>
            <wp:wrapTight wrapText="bothSides">
              <wp:wrapPolygon edited="0">
                <wp:start x="0" y="0"/>
                <wp:lineTo x="0" y="21426"/>
                <wp:lineTo x="21546" y="21426"/>
                <wp:lineTo x="215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6400" cy="291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7FF68E" w14:textId="6D60EC9C" w:rsidR="003D1CD9" w:rsidRDefault="003D1CD9" w:rsidP="003D1CD9"/>
    <w:p w14:paraId="152267D3" w14:textId="77777777" w:rsidR="003D1CD9" w:rsidRDefault="003D1CD9" w:rsidP="003D1CD9"/>
    <w:p w14:paraId="63F5D301" w14:textId="6D48BD2B" w:rsidR="003D1CD9" w:rsidRDefault="003D1CD9" w:rsidP="003D1CD9"/>
    <w:p w14:paraId="68ACC6E5" w14:textId="77777777" w:rsidR="003D1CD9" w:rsidRDefault="003D1CD9" w:rsidP="003D1CD9"/>
    <w:p w14:paraId="475730DC" w14:textId="77777777" w:rsidR="003D1CD9" w:rsidRDefault="003D1CD9" w:rsidP="003D1CD9"/>
    <w:p w14:paraId="76FA3073" w14:textId="77777777" w:rsidR="003D1CD9" w:rsidRDefault="003D1CD9" w:rsidP="003D1CD9"/>
    <w:p w14:paraId="7721A562" w14:textId="77777777" w:rsidR="003D1CD9" w:rsidRDefault="003D1CD9" w:rsidP="003D1CD9"/>
    <w:p w14:paraId="2F5C061F" w14:textId="77777777" w:rsidR="003D1CD9" w:rsidRDefault="003D1CD9" w:rsidP="003D1CD9"/>
    <w:p w14:paraId="115D13D5" w14:textId="77777777" w:rsidR="003D1CD9" w:rsidRDefault="003D1CD9" w:rsidP="003D1CD9"/>
    <w:p w14:paraId="3ACE9597" w14:textId="77777777" w:rsidR="003D1CD9" w:rsidRDefault="003D1CD9" w:rsidP="003D1CD9"/>
    <w:p w14:paraId="0A505D85" w14:textId="77777777" w:rsidR="003D1CD9" w:rsidRPr="003D1CD9" w:rsidRDefault="003D1CD9" w:rsidP="003D1CD9">
      <w:bookmarkStart w:id="0" w:name="_GoBack"/>
      <w:bookmarkEnd w:id="0"/>
    </w:p>
    <w:p w14:paraId="28D09C1D" w14:textId="1CDAC331" w:rsidR="000C6B9D" w:rsidRDefault="000D37EE" w:rsidP="00A4274C">
      <w:pPr>
        <w:pStyle w:val="Heading3"/>
      </w:pPr>
      <w:r>
        <w:lastRenderedPageBreak/>
        <w:t>3</w:t>
      </w:r>
      <w:r w:rsidR="000076D1">
        <w:t>.2.</w:t>
      </w:r>
      <w:r w:rsidR="003D1CD9">
        <w:t>3</w:t>
      </w:r>
      <w:r w:rsidR="000076D1">
        <w:t xml:space="preserve"> Bounded distribution</w:t>
      </w:r>
    </w:p>
    <w:p w14:paraId="66225BE1" w14:textId="49D88D7C" w:rsidR="00D9708C" w:rsidRDefault="006A5763" w:rsidP="00B2450F">
      <w:r>
        <w:t xml:space="preserve">A bounded </w:t>
      </w:r>
      <w:proofErr w:type="spellStart"/>
      <w:r>
        <w:t>metalog</w:t>
      </w:r>
      <w:proofErr w:type="spellEnd"/>
      <w:r>
        <w:t xml:space="preserve"> is fit in the rare </w:t>
      </w:r>
      <w:r w:rsidR="003D1CD9">
        <w:t>event</w:t>
      </w:r>
      <w:r>
        <w:t xml:space="preserve"> experts provide a confidence level of</w:t>
      </w:r>
      <w:r w:rsidR="003D1CD9">
        <w:t xml:space="preserve"> exactly</w:t>
      </w:r>
      <w:r>
        <w:t xml:space="preserve"> 100% in </w:t>
      </w:r>
      <w:r w:rsidRPr="006A5763">
        <w:rPr>
          <w:b/>
        </w:rPr>
        <w:t>Step 2b)</w:t>
      </w:r>
      <w:r>
        <w:t xml:space="preserve">. </w:t>
      </w:r>
      <w:r w:rsidR="00D9708C">
        <w:t>In this case, a logit transform is applied</w:t>
      </w:r>
      <w:r w:rsidR="003D1CD9">
        <w:t xml:space="preserve"> to their elicited quantiles</w:t>
      </w:r>
      <w:r w:rsidR="00D9708C">
        <w:t xml:space="preserve"> so that </w:t>
      </w:r>
      <m:oMath>
        <m:r>
          <w:rPr>
            <w:rFonts w:ascii="Cambria Math" w:hAnsi="Cambria Math"/>
          </w:rPr>
          <m:t>z=</m:t>
        </m:r>
        <m:r>
          <m:rPr>
            <m:sty m:val="p"/>
          </m:rPr>
          <w:rPr>
            <w:rFonts w:ascii="Cambria Math" w:hAnsi="Cambria Math"/>
          </w:rPr>
          <m:t>ln⁡</m:t>
        </m:r>
        <m:d>
          <m:dPr>
            <m:ctrlPr>
              <w:rPr>
                <w:rFonts w:ascii="Cambria Math" w:hAnsi="Cambria Math"/>
                <w:i/>
              </w:rPr>
            </m:ctrlPr>
          </m:dPr>
          <m:e>
            <m:f>
              <m:fPr>
                <m:ctrlPr>
                  <w:rPr>
                    <w:rFonts w:ascii="Cambria Math" w:hAnsi="Cambria Math"/>
                    <w:i/>
                  </w:rPr>
                </m:ctrlPr>
              </m:fPr>
              <m:num>
                <m:r>
                  <w:rPr>
                    <w:rFonts w:ascii="Cambria Math" w:hAnsi="Cambria Math"/>
                  </w:rPr>
                  <m:t>x-l</m:t>
                </m:r>
              </m:num>
              <m:den>
                <m:r>
                  <w:rPr>
                    <w:rFonts w:ascii="Cambria Math" w:hAnsi="Cambria Math"/>
                  </w:rPr>
                  <m:t>u-x</m:t>
                </m:r>
              </m:den>
            </m:f>
          </m:e>
        </m:d>
      </m:oMath>
      <w:r w:rsidR="00D9708C">
        <w:rPr>
          <w:rFonts w:eastAsiaTheme="minorEastAsia"/>
        </w:rPr>
        <w:t xml:space="preserve"> follows a metalog distribution rather </w:t>
      </w:r>
      <w:r w:rsidR="00D33601">
        <w:rPr>
          <w:rFonts w:eastAsiaTheme="minorEastAsia"/>
        </w:rPr>
        <w:t>than</w:t>
      </w:r>
      <m:oMath>
        <m:r>
          <w:rPr>
            <w:rFonts w:ascii="Cambria Math" w:eastAsiaTheme="minorEastAsia" w:hAnsi="Cambria Math"/>
          </w:rPr>
          <m:t xml:space="preserve"> </m:t>
        </m:r>
        <m:r>
          <w:rPr>
            <w:rFonts w:ascii="Cambria Math" w:hAnsi="Cambria Math"/>
          </w:rPr>
          <m:t>x</m:t>
        </m:r>
      </m:oMath>
      <w:r w:rsidR="00640FC4">
        <w:rPr>
          <w:rFonts w:eastAsiaTheme="minorEastAsia"/>
        </w:rPr>
        <w:t xml:space="preserve">, and </w:t>
      </w:r>
      <m:oMath>
        <m:r>
          <w:rPr>
            <w:rFonts w:ascii="Cambria Math" w:hAnsi="Cambria Math"/>
          </w:rPr>
          <m:t>u</m:t>
        </m:r>
      </m:oMath>
      <w:r w:rsidR="00640FC4">
        <w:rPr>
          <w:rFonts w:eastAsiaTheme="minorEastAsia"/>
        </w:rPr>
        <w:t xml:space="preserve"> and</w:t>
      </w:r>
      <m:oMath>
        <m:r>
          <w:rPr>
            <w:rFonts w:ascii="Cambria Math" w:eastAsiaTheme="minorEastAsia" w:hAnsi="Cambria Math"/>
          </w:rPr>
          <m:t xml:space="preserve"> l</m:t>
        </m:r>
      </m:oMath>
      <w:r w:rsidR="00640FC4">
        <w:rPr>
          <w:rFonts w:eastAsiaTheme="minorEastAsia"/>
        </w:rPr>
        <w:t xml:space="preserve"> refer to the upper and lower bounds, respectively</w:t>
      </w:r>
      <w:r w:rsidR="00D9708C">
        <w:rPr>
          <w:rFonts w:eastAsiaTheme="minorEastAsia"/>
        </w:rPr>
        <w:t xml:space="preserve">. </w:t>
      </w:r>
      <w:proofErr w:type="spellStart"/>
      <w:r w:rsidR="00D9708C">
        <w:rPr>
          <w:rFonts w:eastAsiaTheme="minorEastAsia"/>
        </w:rPr>
        <w:t>Keelin</w:t>
      </w:r>
      <w:proofErr w:type="spellEnd"/>
      <w:r w:rsidR="00640FC4">
        <w:rPr>
          <w:rFonts w:eastAsiaTheme="minorEastAsia"/>
        </w:rPr>
        <w:t xml:space="preserve"> (2016)</w:t>
      </w:r>
      <w:r w:rsidR="000F04EC">
        <w:rPr>
          <w:rFonts w:eastAsiaTheme="minorEastAsia"/>
        </w:rPr>
        <w:t xml:space="preserve"> refers to this </w:t>
      </w:r>
      <w:r w:rsidR="00D9708C">
        <w:rPr>
          <w:rFonts w:eastAsiaTheme="minorEastAsia"/>
        </w:rPr>
        <w:t xml:space="preserve">distribution as the </w:t>
      </w:r>
      <w:r w:rsidR="00D9708C" w:rsidRPr="00BC1834">
        <w:rPr>
          <w:rFonts w:eastAsiaTheme="minorEastAsia"/>
          <w:i/>
        </w:rPr>
        <w:t>logit-</w:t>
      </w:r>
      <w:proofErr w:type="spellStart"/>
      <w:r w:rsidR="00D9708C" w:rsidRPr="00BC1834">
        <w:rPr>
          <w:rFonts w:eastAsiaTheme="minorEastAsia"/>
          <w:i/>
        </w:rPr>
        <w:t>metalog</w:t>
      </w:r>
      <w:proofErr w:type="spellEnd"/>
      <w:r w:rsidR="006718F3">
        <w:rPr>
          <w:rFonts w:eastAsiaTheme="minorEastAsia"/>
        </w:rPr>
        <w:t>.</w:t>
      </w:r>
      <w:r w:rsidR="006718F3">
        <w:rPr>
          <w:rStyle w:val="FootnoteReference"/>
          <w:rFonts w:eastAsiaTheme="minorEastAsia"/>
        </w:rPr>
        <w:footnoteReference w:id="13"/>
      </w:r>
      <w:r w:rsidR="000F04EC">
        <w:rPr>
          <w:rFonts w:eastAsiaTheme="minorEastAsia"/>
        </w:rPr>
        <w:t xml:space="preserve"> One of the conditions of fitting a logit-</w:t>
      </w:r>
      <w:proofErr w:type="spellStart"/>
      <w:r w:rsidR="000F04EC">
        <w:rPr>
          <w:rFonts w:eastAsiaTheme="minorEastAsia"/>
        </w:rPr>
        <w:t>metalog</w:t>
      </w:r>
      <w:proofErr w:type="spellEnd"/>
      <w:r w:rsidR="000F04EC">
        <w:rPr>
          <w:rFonts w:eastAsiaTheme="minorEastAsia"/>
        </w:rPr>
        <w:t xml:space="preserve"> is that the quantiles used as inputs (the elicited values) must be strictly between </w:t>
      </w:r>
      <m:oMath>
        <m:r>
          <w:rPr>
            <w:rFonts w:ascii="Cambria Math" w:hAnsi="Cambria Math"/>
          </w:rPr>
          <m:t>u</m:t>
        </m:r>
      </m:oMath>
      <w:r w:rsidR="000F04EC">
        <w:rPr>
          <w:rFonts w:eastAsiaTheme="minorEastAsia"/>
        </w:rPr>
        <w:t xml:space="preserve"> and</w:t>
      </w:r>
      <m:oMath>
        <m:r>
          <w:rPr>
            <w:rFonts w:ascii="Cambria Math" w:eastAsiaTheme="minorEastAsia" w:hAnsi="Cambria Math"/>
          </w:rPr>
          <m:t xml:space="preserve"> l</m:t>
        </m:r>
      </m:oMath>
      <w:r w:rsidR="000F04EC">
        <w:rPr>
          <w:rFonts w:eastAsiaTheme="minorEastAsia"/>
        </w:rPr>
        <w:t xml:space="preserve">; this implies that the lower bound and upper bound provided by experts in </w:t>
      </w:r>
      <w:r w:rsidR="000F04EC" w:rsidRPr="000F04EC">
        <w:rPr>
          <w:rFonts w:eastAsiaTheme="minorEastAsia"/>
          <w:b/>
        </w:rPr>
        <w:t>Step 2a)</w:t>
      </w:r>
      <w:r w:rsidR="000F04EC">
        <w:rPr>
          <w:rFonts w:eastAsiaTheme="minorEastAsia"/>
        </w:rPr>
        <w:t xml:space="preserve"> cannot be used to fit a distribution or estimate parameters, as they are in fact </w:t>
      </w:r>
      <m:oMath>
        <m:r>
          <w:rPr>
            <w:rFonts w:ascii="Cambria Math" w:hAnsi="Cambria Math"/>
          </w:rPr>
          <m:t>u</m:t>
        </m:r>
      </m:oMath>
      <w:r w:rsidR="000F04EC">
        <w:rPr>
          <w:rFonts w:eastAsiaTheme="minorEastAsia"/>
        </w:rPr>
        <w:t xml:space="preserve"> and</w:t>
      </w:r>
      <m:oMath>
        <m:r>
          <w:rPr>
            <w:rFonts w:ascii="Cambria Math" w:eastAsiaTheme="minorEastAsia" w:hAnsi="Cambria Math"/>
          </w:rPr>
          <m:t xml:space="preserve"> l</m:t>
        </m:r>
      </m:oMath>
      <w:r w:rsidR="000F04EC">
        <w:rPr>
          <w:rFonts w:eastAsiaTheme="minorEastAsia"/>
        </w:rPr>
        <w:t xml:space="preserve">. This leaves the three quantiles elicited in </w:t>
      </w:r>
      <w:r w:rsidR="000F04EC" w:rsidRPr="000F04EC">
        <w:rPr>
          <w:rFonts w:eastAsiaTheme="minorEastAsia"/>
          <w:b/>
        </w:rPr>
        <w:t>Steps 2c)</w:t>
      </w:r>
      <w:r w:rsidR="000F04EC">
        <w:rPr>
          <w:rFonts w:eastAsiaTheme="minorEastAsia"/>
        </w:rPr>
        <w:t xml:space="preserve"> and </w:t>
      </w:r>
      <w:r w:rsidR="000F04EC" w:rsidRPr="000F04EC">
        <w:rPr>
          <w:rFonts w:eastAsiaTheme="minorEastAsia"/>
          <w:b/>
        </w:rPr>
        <w:t>2d)</w:t>
      </w:r>
      <w:r w:rsidR="000F04EC">
        <w:rPr>
          <w:rFonts w:eastAsiaTheme="minorEastAsia"/>
        </w:rPr>
        <w:t xml:space="preserve"> to be used for fitting, meaning only a maximum </w:t>
      </w:r>
      <w:r w:rsidR="000F04EC" w:rsidRPr="000F04EC">
        <w:rPr>
          <w:rFonts w:eastAsiaTheme="minorEastAsia"/>
          <w:b/>
        </w:rPr>
        <w:t xml:space="preserve">three-parameter </w:t>
      </w:r>
      <w:proofErr w:type="spellStart"/>
      <w:r w:rsidR="000F04EC" w:rsidRPr="000F04EC">
        <w:rPr>
          <w:rFonts w:eastAsiaTheme="minorEastAsia"/>
          <w:b/>
        </w:rPr>
        <w:t>metalog</w:t>
      </w:r>
      <w:proofErr w:type="spellEnd"/>
      <w:r w:rsidR="000F04EC">
        <w:rPr>
          <w:rFonts w:eastAsiaTheme="minorEastAsia"/>
        </w:rPr>
        <w:t xml:space="preserve"> can be fit. </w:t>
      </w:r>
    </w:p>
    <w:p w14:paraId="3A980D0E" w14:textId="30973D8A" w:rsidR="00763877" w:rsidRDefault="0053521C" w:rsidP="00110CD1">
      <w:r>
        <w:t xml:space="preserve">All calculations are performed in the </w:t>
      </w:r>
      <w:proofErr w:type="spellStart"/>
      <w:r w:rsidR="006C0B20" w:rsidRPr="006C0B20">
        <w:rPr>
          <w:b/>
        </w:rPr>
        <w:t>b_FER</w:t>
      </w:r>
      <w:proofErr w:type="spellEnd"/>
      <w:r w:rsidR="006C0B20">
        <w:t xml:space="preserve"> sheet, with the only difference from the calculations performed in the </w:t>
      </w:r>
      <w:proofErr w:type="spellStart"/>
      <w:r w:rsidR="006C0B20" w:rsidRPr="006C0B20">
        <w:rPr>
          <w:b/>
        </w:rPr>
        <w:t>u_FER</w:t>
      </w:r>
      <w:proofErr w:type="spellEnd"/>
      <w:r w:rsidR="006C0B20">
        <w:t xml:space="preserve"> sheet being that a</w:t>
      </w:r>
      <w:r w:rsidR="005E6BFA">
        <w:t xml:space="preserve"> </w:t>
      </w:r>
      <w:proofErr w:type="spellStart"/>
      <w:r w:rsidR="005E6BFA">
        <w:t>metalog</w:t>
      </w:r>
      <w:proofErr w:type="spellEnd"/>
      <w:r w:rsidR="005E6BFA">
        <w:t xml:space="preserve"> distribution</w:t>
      </w:r>
      <w:r w:rsidR="006C0B20">
        <w:t xml:space="preserve"> with</w:t>
      </w:r>
      <w:r w:rsidR="005E6BFA">
        <w:t xml:space="preserve"> </w:t>
      </w:r>
      <w:r w:rsidR="006C0B20">
        <w:t xml:space="preserve">terms </w:t>
      </w:r>
      <m:oMath>
        <m:r>
          <w:rPr>
            <w:rFonts w:ascii="Cambria Math" w:eastAsiaTheme="minorEastAsia" w:hAnsi="Cambria Math"/>
          </w:rPr>
          <m:t>n=2</m:t>
        </m:r>
      </m:oMath>
      <w:r w:rsidR="006C0B20">
        <w:rPr>
          <w:rFonts w:eastAsiaTheme="minorEastAsia"/>
        </w:rPr>
        <w:t xml:space="preserve"> and</w:t>
      </w:r>
      <m:oMath>
        <m:r>
          <w:rPr>
            <w:rFonts w:ascii="Cambria Math" w:eastAsiaTheme="minorEastAsia" w:hAnsi="Cambria Math"/>
          </w:rPr>
          <m:t xml:space="preserve"> 3</m:t>
        </m:r>
      </m:oMath>
      <w:r w:rsidR="005E6BFA">
        <w:rPr>
          <w:rFonts w:eastAsiaTheme="minorEastAsia"/>
        </w:rPr>
        <w:t xml:space="preserve"> are fit rather than </w:t>
      </w:r>
      <m:oMath>
        <m:r>
          <w:rPr>
            <w:rFonts w:ascii="Cambria Math" w:eastAsiaTheme="minorEastAsia" w:hAnsi="Cambria Math"/>
          </w:rPr>
          <m:t>n=2,…, 5</m:t>
        </m:r>
      </m:oMath>
      <w:r w:rsidR="005E6BFA">
        <w:rPr>
          <w:rFonts w:eastAsiaTheme="minorEastAsia"/>
        </w:rPr>
        <w:t>.</w:t>
      </w:r>
    </w:p>
    <w:p w14:paraId="76399F2F" w14:textId="16339BFF" w:rsidR="00763877" w:rsidRDefault="000D37EE" w:rsidP="00A4274C">
      <w:pPr>
        <w:pStyle w:val="Heading3"/>
      </w:pPr>
      <w:r>
        <w:t>3</w:t>
      </w:r>
      <w:r w:rsidR="00763877">
        <w:t>.2.4 Final selection</w:t>
      </w:r>
    </w:p>
    <w:p w14:paraId="691B318A" w14:textId="54CACA8A" w:rsidR="00763877" w:rsidRDefault="00E82EC9" w:rsidP="00110CD1">
      <w:r>
        <w:t>An experts’ inputs can allow for different types of distributions to be fit: sometimes their inputs can generate unbounded, bounded, and/or semi-bounded distribution</w:t>
      </w:r>
      <w:r w:rsidR="00524A89">
        <w:t>s</w:t>
      </w:r>
      <w:r>
        <w:t xml:space="preserve"> that are feasible for various</w:t>
      </w:r>
      <m:oMath>
        <m:r>
          <w:rPr>
            <w:rFonts w:ascii="Cambria Math" w:hAnsi="Cambria Math"/>
          </w:rPr>
          <m:t xml:space="preserve"> n</m:t>
        </m:r>
      </m:oMath>
      <w:r>
        <w:t xml:space="preserve">. In the previous sections, the </w:t>
      </w:r>
      <w:r w:rsidR="00DF64AA">
        <w:t xml:space="preserve">conditions that would lead to the selection of either of these </w:t>
      </w:r>
      <w:r w:rsidR="00F268D5">
        <w:t>distributions was outlined, but wh</w:t>
      </w:r>
      <w:r w:rsidR="00DF64AA">
        <w:t xml:space="preserve">ere this selection is </w:t>
      </w:r>
      <w:r w:rsidR="00F268D5">
        <w:t xml:space="preserve">actually </w:t>
      </w:r>
      <w:r w:rsidR="00DF64AA">
        <w:t xml:space="preserve">made is in the </w:t>
      </w:r>
      <w:r w:rsidR="00DF64AA" w:rsidRPr="00DF64AA">
        <w:rPr>
          <w:b/>
        </w:rPr>
        <w:t>ALL_FER</w:t>
      </w:r>
      <w:r w:rsidR="00DF64AA">
        <w:t xml:space="preserve"> </w:t>
      </w:r>
      <w:r w:rsidR="00FB60FB">
        <w:t>sheet</w:t>
      </w:r>
      <w:r w:rsidR="00DF64AA">
        <w:t>.</w:t>
      </w:r>
      <w:r>
        <w:t xml:space="preserve"> </w:t>
      </w:r>
    </w:p>
    <w:p w14:paraId="53487CC2" w14:textId="58EC9D3E" w:rsidR="00061E07" w:rsidRDefault="00061E07" w:rsidP="00110CD1">
      <w:r>
        <w:t xml:space="preserve">This </w:t>
      </w:r>
      <w:r w:rsidR="00FB60FB">
        <w:t xml:space="preserve">sheet </w:t>
      </w:r>
      <w:r>
        <w:t xml:space="preserve">pulls information from the </w:t>
      </w:r>
      <w:proofErr w:type="spellStart"/>
      <w:r w:rsidRPr="00061E07">
        <w:rPr>
          <w:b/>
        </w:rPr>
        <w:t>b_FER</w:t>
      </w:r>
      <w:proofErr w:type="spellEnd"/>
      <w:r>
        <w:t xml:space="preserve">, </w:t>
      </w:r>
      <w:proofErr w:type="spellStart"/>
      <w:r w:rsidRPr="00061E07">
        <w:rPr>
          <w:b/>
        </w:rPr>
        <w:t>s_FER</w:t>
      </w:r>
      <w:proofErr w:type="spellEnd"/>
      <w:r>
        <w:t xml:space="preserve">, and </w:t>
      </w:r>
      <w:proofErr w:type="spellStart"/>
      <w:r w:rsidRPr="00061E07">
        <w:rPr>
          <w:b/>
        </w:rPr>
        <w:t>u_FER</w:t>
      </w:r>
      <w:proofErr w:type="spellEnd"/>
      <w:r>
        <w:t xml:space="preserve"> </w:t>
      </w:r>
      <w:r w:rsidR="00FB60FB">
        <w:t>sheet</w:t>
      </w:r>
      <w:r>
        <w:t>s.</w:t>
      </w:r>
      <w:r w:rsidR="00040F72">
        <w:t xml:space="preserve"> In the first column of this </w:t>
      </w:r>
      <w:r w:rsidR="00FB60FB">
        <w:t>sheet</w:t>
      </w:r>
      <w:r w:rsidR="00040F72">
        <w:t xml:space="preserve">, values from the PDF and CDF of the bounded three-term </w:t>
      </w:r>
      <w:proofErr w:type="spellStart"/>
      <w:r w:rsidR="00040F72">
        <w:t>metalog</w:t>
      </w:r>
      <w:proofErr w:type="spellEnd"/>
      <w:r w:rsidR="00040F72">
        <w:t xml:space="preserve"> (“b3”) are listed. In the final column</w:t>
      </w:r>
      <w:r w:rsidR="001A4DED">
        <w:t>,</w:t>
      </w:r>
      <w:r w:rsidR="00040F72">
        <w:t xml:space="preserve"> </w:t>
      </w:r>
      <w:r w:rsidR="001A4DED">
        <w:t xml:space="preserve">under the </w:t>
      </w:r>
      <w:r w:rsidR="00040F72">
        <w:t>header in red titled “Select</w:t>
      </w:r>
      <w:r w:rsidR="00106F84">
        <w:t>,</w:t>
      </w:r>
      <w:r w:rsidR="00040F72">
        <w:t xml:space="preserve">” the final distribution is selected, and it is programmed so that if the confidence level provided in the </w:t>
      </w:r>
      <w:r w:rsidR="00040F72" w:rsidRPr="00040F72">
        <w:rPr>
          <w:b/>
        </w:rPr>
        <w:t>Fertility</w:t>
      </w:r>
      <w:r w:rsidR="00040F72">
        <w:t xml:space="preserve"> </w:t>
      </w:r>
      <w:r w:rsidR="00FB60FB">
        <w:t>sheet</w:t>
      </w:r>
      <w:r w:rsidR="00040F72">
        <w:t xml:space="preserve"> is 100%, the bounded distribution is automatically selected. </w:t>
      </w:r>
    </w:p>
    <w:p w14:paraId="1EE70176" w14:textId="069FD93E" w:rsidR="00AF344C" w:rsidRDefault="00040F72" w:rsidP="00AF344C">
      <w:r>
        <w:t>For the selection of semi-bounded distributions, a c</w:t>
      </w:r>
      <w:r w:rsidR="00AF344C">
        <w:t xml:space="preserve">ouple of things should be noted. First, </w:t>
      </w:r>
      <w:r>
        <w:t xml:space="preserve">while the </w:t>
      </w:r>
      <w:proofErr w:type="spellStart"/>
      <w:r w:rsidRPr="00AF344C">
        <w:rPr>
          <w:b/>
        </w:rPr>
        <w:t>s_FER</w:t>
      </w:r>
      <w:proofErr w:type="spellEnd"/>
      <w:r>
        <w:t xml:space="preserve"> and </w:t>
      </w:r>
      <w:proofErr w:type="spellStart"/>
      <w:r w:rsidRPr="00AF344C">
        <w:rPr>
          <w:b/>
        </w:rPr>
        <w:t>u_FER</w:t>
      </w:r>
      <w:proofErr w:type="spellEnd"/>
      <w:r w:rsidR="00E6479E" w:rsidRPr="00AF344C">
        <w:rPr>
          <w:b/>
        </w:rPr>
        <w:t xml:space="preserve"> </w:t>
      </w:r>
      <w:r w:rsidR="00E6479E">
        <w:t xml:space="preserve">permit the fitting of a </w:t>
      </w:r>
      <w:proofErr w:type="spellStart"/>
      <w:r w:rsidR="00E6479E">
        <w:t>metalog</w:t>
      </w:r>
      <w:proofErr w:type="spellEnd"/>
      <w:r w:rsidR="00E6479E">
        <w:t xml:space="preserve"> with </w:t>
      </w:r>
      <w:r w:rsidR="00AF344C">
        <w:t>terms</w:t>
      </w:r>
      <m:oMath>
        <m:r>
          <w:rPr>
            <w:rFonts w:ascii="Cambria Math" w:hAnsi="Cambria Math"/>
          </w:rPr>
          <m:t xml:space="preserve"> n=2,…, 5</m:t>
        </m:r>
      </m:oMath>
      <w:r w:rsidR="00E6479E" w:rsidRPr="00AF344C">
        <w:rPr>
          <w:rFonts w:eastAsiaTheme="minorEastAsia"/>
        </w:rPr>
        <w:t xml:space="preserve">, the </w:t>
      </w:r>
      <w:r w:rsidR="00E6479E" w:rsidRPr="00AF344C">
        <w:rPr>
          <w:rFonts w:eastAsiaTheme="minorEastAsia"/>
          <w:b/>
        </w:rPr>
        <w:t>A</w:t>
      </w:r>
      <w:r w:rsidR="00C02E3B">
        <w:rPr>
          <w:rFonts w:eastAsiaTheme="minorEastAsia"/>
          <w:b/>
        </w:rPr>
        <w:t>LL</w:t>
      </w:r>
      <w:r w:rsidR="00E6479E" w:rsidRPr="00AF344C">
        <w:rPr>
          <w:rFonts w:eastAsiaTheme="minorEastAsia"/>
          <w:b/>
        </w:rPr>
        <w:t xml:space="preserve">_FER </w:t>
      </w:r>
      <w:r w:rsidR="00FB60FB" w:rsidRPr="00FB60FB">
        <w:t>sheet</w:t>
      </w:r>
      <w:r w:rsidR="00E6479E" w:rsidRPr="00FB60FB">
        <w:rPr>
          <w:rFonts w:eastAsiaTheme="minorEastAsia"/>
        </w:rPr>
        <w:t xml:space="preserve"> only selects either a four-term or five-term </w:t>
      </w:r>
      <w:proofErr w:type="spellStart"/>
      <w:r w:rsidR="00E6479E" w:rsidRPr="00FB60FB">
        <w:rPr>
          <w:rFonts w:eastAsiaTheme="minorEastAsia"/>
        </w:rPr>
        <w:t>metalog</w:t>
      </w:r>
      <w:proofErr w:type="spellEnd"/>
      <w:r w:rsidR="00E6479E" w:rsidRPr="00FB60FB">
        <w:rPr>
          <w:rFonts w:eastAsiaTheme="minorEastAsia"/>
        </w:rPr>
        <w:t xml:space="preserve">; if only a three-term </w:t>
      </w:r>
      <w:proofErr w:type="spellStart"/>
      <w:r w:rsidR="00E6479E" w:rsidRPr="00FB60FB">
        <w:rPr>
          <w:rFonts w:eastAsiaTheme="minorEastAsia"/>
        </w:rPr>
        <w:t>metalog</w:t>
      </w:r>
      <w:proofErr w:type="spellEnd"/>
      <w:r w:rsidR="00AF344C" w:rsidRPr="00FB60FB">
        <w:rPr>
          <w:rFonts w:eastAsiaTheme="minorEastAsia"/>
        </w:rPr>
        <w:t xml:space="preserve"> or less</w:t>
      </w:r>
      <w:r w:rsidR="00E6479E" w:rsidRPr="00FB60FB">
        <w:rPr>
          <w:rFonts w:eastAsiaTheme="minorEastAsia"/>
        </w:rPr>
        <w:t xml:space="preserve"> is feasible, no final distribution is selected.</w:t>
      </w:r>
      <w:r w:rsidR="00E6479E" w:rsidRPr="00AF344C">
        <w:rPr>
          <w:b/>
        </w:rPr>
        <w:t xml:space="preserve"> </w:t>
      </w:r>
      <w:r w:rsidR="001A4DED">
        <w:t xml:space="preserve">This choice was made so that if experts’ inputs could not generate at least a four-parameter </w:t>
      </w:r>
      <w:proofErr w:type="spellStart"/>
      <w:r w:rsidR="001A4DED">
        <w:t>metalog</w:t>
      </w:r>
      <w:proofErr w:type="spellEnd"/>
      <w:r w:rsidR="001A4DED">
        <w:t xml:space="preserve">, they would perhaps revise </w:t>
      </w:r>
      <w:r w:rsidR="00853BB7">
        <w:t>them</w:t>
      </w:r>
      <w:r w:rsidR="001A4DED">
        <w:t xml:space="preserve">. A three-term </w:t>
      </w:r>
      <w:proofErr w:type="spellStart"/>
      <w:r w:rsidR="001A4DED">
        <w:t>metalog</w:t>
      </w:r>
      <w:proofErr w:type="spellEnd"/>
      <w:r w:rsidR="001A4DED">
        <w:t xml:space="preserve"> </w:t>
      </w:r>
      <w:r w:rsidR="00544857">
        <w:t>would not be able to incorporate all of the information provided by experts</w:t>
      </w:r>
      <w:r w:rsidR="00AF344C">
        <w:t xml:space="preserve"> precisely</w:t>
      </w:r>
      <w:r w:rsidR="00544857">
        <w:t xml:space="preserve"> (i.e. the five quantiles)</w:t>
      </w:r>
      <w:r w:rsidR="00AF344C">
        <w:t xml:space="preserve">. </w:t>
      </w:r>
    </w:p>
    <w:p w14:paraId="1F2FBD52" w14:textId="77777777" w:rsidR="00106F84" w:rsidRDefault="00AF344C" w:rsidP="00106F84">
      <w:r>
        <w:t xml:space="preserve">This is a choice that can be changed easily by adding additional columns to the </w:t>
      </w:r>
      <w:r w:rsidR="00106F84">
        <w:t xml:space="preserve">table. After the “u4 and s4” column in light blue, </w:t>
      </w:r>
      <w:r w:rsidR="00AE5CB4">
        <w:t xml:space="preserve">to add the option for a three-term </w:t>
      </w:r>
      <w:proofErr w:type="spellStart"/>
      <w:r w:rsidR="00AE5CB4">
        <w:t>metalog</w:t>
      </w:r>
      <w:proofErr w:type="spellEnd"/>
      <w:r w:rsidR="00AE5CB4">
        <w:t xml:space="preserve">, </w:t>
      </w:r>
      <w:r w:rsidR="00106F84">
        <w:t xml:space="preserve">the current pattern can be followed by first adding “s3” and “u3” columns followed by </w:t>
      </w:r>
      <w:proofErr w:type="gramStart"/>
      <w:r w:rsidR="00106F84">
        <w:t>a</w:t>
      </w:r>
      <w:proofErr w:type="gramEnd"/>
      <w:r w:rsidR="00106F84">
        <w:t xml:space="preserve"> “u3 or s3” column, and so on. The function </w:t>
      </w:r>
      <w:r w:rsidR="00AE5CB4">
        <w:t>of the columns in this table are as follows</w:t>
      </w:r>
      <w:r w:rsidR="00106F84">
        <w:t>:</w:t>
      </w:r>
    </w:p>
    <w:p w14:paraId="057EC823" w14:textId="77777777" w:rsidR="00106F84" w:rsidRDefault="00AE5CB4" w:rsidP="00106F84">
      <w:pPr>
        <w:pStyle w:val="ListParagraph"/>
        <w:numPr>
          <w:ilvl w:val="0"/>
          <w:numId w:val="7"/>
        </w:numPr>
      </w:pPr>
      <w:r>
        <w:t>v</w:t>
      </w:r>
      <w:r w:rsidR="00106F84">
        <w:t xml:space="preserve">alues from the  PDF and CDF of the five-parameter unbounded </w:t>
      </w:r>
      <w:proofErr w:type="spellStart"/>
      <w:r w:rsidR="00106F84">
        <w:t>metalog</w:t>
      </w:r>
      <w:proofErr w:type="spellEnd"/>
      <w:r w:rsidR="00106F84">
        <w:t xml:space="preserve"> (“u5”) and five-parameter semi-bounded </w:t>
      </w:r>
      <w:proofErr w:type="spellStart"/>
      <w:r w:rsidR="00106F84">
        <w:t>metalog</w:t>
      </w:r>
      <w:proofErr w:type="spellEnd"/>
      <w:r w:rsidR="00106F84">
        <w:t xml:space="preserve"> (“s5”) are given</w:t>
      </w:r>
      <w:r>
        <w:t xml:space="preserve"> </w:t>
      </w:r>
      <w:r w:rsidRPr="00AE5CB4">
        <w:rPr>
          <w:i/>
        </w:rPr>
        <w:t>if</w:t>
      </w:r>
      <w:r>
        <w:t xml:space="preserve"> they are feasible</w:t>
      </w:r>
      <w:r w:rsidR="00106F84">
        <w:t>;</w:t>
      </w:r>
    </w:p>
    <w:p w14:paraId="6BD095EB" w14:textId="77777777" w:rsidR="00106F84" w:rsidRDefault="00106F84" w:rsidP="00106F84">
      <w:pPr>
        <w:pStyle w:val="ListParagraph"/>
      </w:pPr>
    </w:p>
    <w:p w14:paraId="3C1442D8" w14:textId="77777777" w:rsidR="00106F84" w:rsidRDefault="00AE5CB4" w:rsidP="00106F84">
      <w:pPr>
        <w:pStyle w:val="ListParagraph"/>
        <w:numPr>
          <w:ilvl w:val="0"/>
          <w:numId w:val="7"/>
        </w:numPr>
      </w:pPr>
      <w:proofErr w:type="gramStart"/>
      <w:r>
        <w:lastRenderedPageBreak/>
        <w:t>i</w:t>
      </w:r>
      <w:r w:rsidR="00106F84">
        <w:t>n</w:t>
      </w:r>
      <w:proofErr w:type="gramEnd"/>
      <w:r w:rsidR="00106F84">
        <w:t xml:space="preserve"> the “u5 or s5” column, an algorithm selects one distribution between the</w:t>
      </w:r>
      <w:r>
        <w:t xml:space="preserve"> two, with preference given to the unbounded five-parameter </w:t>
      </w:r>
      <w:proofErr w:type="spellStart"/>
      <w:r>
        <w:t>metalog</w:t>
      </w:r>
      <w:proofErr w:type="spellEnd"/>
      <w:r>
        <w:t>.</w:t>
      </w:r>
      <w:r>
        <w:rPr>
          <w:rStyle w:val="FootnoteReference"/>
        </w:rPr>
        <w:footnoteReference w:id="14"/>
      </w:r>
      <w:r>
        <w:t xml:space="preserve"> The semi-bounded five-parameter is only selected if the PDF of the unbounded distribution becomes negative at some values;</w:t>
      </w:r>
    </w:p>
    <w:p w14:paraId="705536A7" w14:textId="77777777" w:rsidR="00AE5CB4" w:rsidRDefault="00AE5CB4" w:rsidP="00AE5CB4">
      <w:pPr>
        <w:pStyle w:val="ListParagraph"/>
      </w:pPr>
    </w:p>
    <w:p w14:paraId="101E8AE0" w14:textId="77777777" w:rsidR="00AE5CB4" w:rsidRDefault="00AE5CB4" w:rsidP="00106F84">
      <w:pPr>
        <w:pStyle w:val="ListParagraph"/>
        <w:numPr>
          <w:ilvl w:val="0"/>
          <w:numId w:val="7"/>
        </w:numPr>
      </w:pPr>
      <w:r>
        <w:t xml:space="preserve">the same is done with the  “u4,” “s4” and “u4 or s4” columns, and with the equivalent for a three-term or two-term </w:t>
      </w:r>
      <w:proofErr w:type="spellStart"/>
      <w:r>
        <w:t>metalog</w:t>
      </w:r>
      <w:proofErr w:type="spellEnd"/>
      <w:r>
        <w:t xml:space="preserve"> if desired;</w:t>
      </w:r>
    </w:p>
    <w:p w14:paraId="7EC25D8E" w14:textId="77777777" w:rsidR="00AE5CB4" w:rsidRDefault="00AE5CB4" w:rsidP="00AE5CB4">
      <w:pPr>
        <w:pStyle w:val="ListParagraph"/>
      </w:pPr>
    </w:p>
    <w:p w14:paraId="018C1AE8" w14:textId="77777777" w:rsidR="00AE5CB4" w:rsidRDefault="000225BB" w:rsidP="00106F84">
      <w:pPr>
        <w:pStyle w:val="ListParagraph"/>
        <w:numPr>
          <w:ilvl w:val="0"/>
          <w:numId w:val="7"/>
        </w:numPr>
      </w:pPr>
      <w:proofErr w:type="gramStart"/>
      <w:r>
        <w:t>in</w:t>
      </w:r>
      <w:proofErr w:type="gramEnd"/>
      <w:r>
        <w:t xml:space="preserve"> the “Select” column, a final distribution is selected based on the chosen distribution in the “u5 or s5” and “u4 or s4” columns. For example, if in the first case </w:t>
      </w:r>
      <w:proofErr w:type="gramStart"/>
      <w:r>
        <w:t>a</w:t>
      </w:r>
      <w:proofErr w:type="gramEnd"/>
      <w:r>
        <w:t xml:space="preserve"> u5 is selected and in the second case a u4, then the final selection is between the u5 and u4 distributions.</w:t>
      </w:r>
      <w:r w:rsidR="00377525">
        <w:t xml:space="preserve"> It is programmed so that the only way u4 is selected is if the u5 generates an invalid PDF.</w:t>
      </w:r>
    </w:p>
    <w:p w14:paraId="76F0F5BE" w14:textId="77777777" w:rsidR="00377525" w:rsidRDefault="00377525" w:rsidP="00377525">
      <w:pPr>
        <w:pStyle w:val="ListParagraph"/>
      </w:pPr>
    </w:p>
    <w:p w14:paraId="15107476" w14:textId="77777777" w:rsidR="00377525" w:rsidRDefault="00377525" w:rsidP="00377525">
      <w:r>
        <w:t xml:space="preserve">The order of preference for the selection </w:t>
      </w:r>
      <w:r w:rsidR="00C60E89">
        <w:t>of</w:t>
      </w:r>
      <w:r>
        <w:t xml:space="preserve"> semi-bounded and unbounded distributions can be summarized:</w:t>
      </w:r>
    </w:p>
    <w:p w14:paraId="33508A3E" w14:textId="77777777" w:rsidR="00377525" w:rsidRPr="00AF344C" w:rsidRDefault="00377525" w:rsidP="00377525">
      <m:oMathPara>
        <m:oMath>
          <m:r>
            <w:rPr>
              <w:rFonts w:ascii="Cambria Math" w:hAnsi="Cambria Math"/>
            </w:rPr>
            <m:t>u5 &gt;s5 &gt;u4 &gt;s4…</m:t>
          </m:r>
        </m:oMath>
      </m:oMathPara>
    </w:p>
    <w:p w14:paraId="33D428EB" w14:textId="77777777" w:rsidR="00377525" w:rsidRDefault="00C60E89" w:rsidP="00377525">
      <w:r>
        <w:t>In other words, preference is always given to the distribution with more parameters, and an unbounded</w:t>
      </w:r>
      <w:r w:rsidR="0052447B">
        <w:t xml:space="preserve"> distribution</w:t>
      </w:r>
      <w:r>
        <w:t xml:space="preserve"> is always preferred to a semi-bounded</w:t>
      </w:r>
      <w:r w:rsidR="0052447B">
        <w:t xml:space="preserve"> one</w:t>
      </w:r>
      <w:r>
        <w:t>.</w:t>
      </w:r>
    </w:p>
    <w:p w14:paraId="6D328248" w14:textId="2F3CE3CB" w:rsidR="00C2093A" w:rsidRPr="00AF344C" w:rsidRDefault="00C2093A" w:rsidP="00C2093A">
      <w:r>
        <w:t xml:space="preserve">The second thing to note is that the maximum of </w:t>
      </w:r>
      <m:oMath>
        <m:r>
          <w:rPr>
            <w:rFonts w:ascii="Cambria Math" w:hAnsi="Cambria Math"/>
          </w:rPr>
          <m:t>n=5</m:t>
        </m:r>
      </m:oMath>
      <w:r>
        <w:rPr>
          <w:rFonts w:eastAsiaTheme="minorEastAsia"/>
        </w:rPr>
        <w:t xml:space="preserve"> terms was chosen because we wished to elicit no more than five quantiles</w:t>
      </w:r>
      <w:r w:rsidR="007B0ABC">
        <w:rPr>
          <w:rFonts w:eastAsiaTheme="minorEastAsia"/>
        </w:rPr>
        <w:t xml:space="preserve">. The maximum number can be manually modified in cell </w:t>
      </w:r>
      <w:r w:rsidR="007B0ABC" w:rsidRPr="007B0ABC">
        <w:rPr>
          <w:rFonts w:eastAsiaTheme="minorEastAsia"/>
          <w:b/>
        </w:rPr>
        <w:t>C13</w:t>
      </w:r>
      <w:r w:rsidR="007B0ABC">
        <w:rPr>
          <w:rFonts w:eastAsiaTheme="minorEastAsia"/>
        </w:rPr>
        <w:t xml:space="preserve"> of the </w:t>
      </w:r>
      <w:proofErr w:type="spellStart"/>
      <w:r w:rsidR="007B0ABC" w:rsidRPr="007B0ABC">
        <w:rPr>
          <w:rFonts w:eastAsiaTheme="minorEastAsia"/>
          <w:b/>
        </w:rPr>
        <w:t>s_FER</w:t>
      </w:r>
      <w:proofErr w:type="spellEnd"/>
      <w:r w:rsidR="007B0ABC">
        <w:rPr>
          <w:rFonts w:eastAsiaTheme="minorEastAsia"/>
        </w:rPr>
        <w:t xml:space="preserve"> and </w:t>
      </w:r>
      <w:proofErr w:type="spellStart"/>
      <w:r w:rsidR="007B0ABC" w:rsidRPr="007B0ABC">
        <w:rPr>
          <w:rFonts w:eastAsiaTheme="minorEastAsia"/>
          <w:b/>
        </w:rPr>
        <w:t>u_FER</w:t>
      </w:r>
      <w:proofErr w:type="spellEnd"/>
      <w:r w:rsidR="007B0ABC">
        <w:rPr>
          <w:rFonts w:eastAsiaTheme="minorEastAsia"/>
        </w:rPr>
        <w:t xml:space="preserve"> </w:t>
      </w:r>
      <w:r w:rsidR="00FB60FB">
        <w:t>sheet</w:t>
      </w:r>
      <w:r w:rsidR="007B0ABC">
        <w:rPr>
          <w:rFonts w:eastAsiaTheme="minorEastAsia"/>
        </w:rPr>
        <w:t>s</w:t>
      </w:r>
      <w:r w:rsidR="001C7AFF">
        <w:rPr>
          <w:rStyle w:val="FootnoteReference"/>
          <w:rFonts w:eastAsiaTheme="minorEastAsia"/>
        </w:rPr>
        <w:footnoteReference w:id="15"/>
      </w:r>
      <w:r w:rsidR="007B0ABC">
        <w:rPr>
          <w:rFonts w:eastAsiaTheme="minorEastAsia"/>
        </w:rPr>
        <w:t xml:space="preserve">, though adjustments will have to be made to the other </w:t>
      </w:r>
      <w:r w:rsidR="00FB60FB">
        <w:t>sheet</w:t>
      </w:r>
      <w:r w:rsidR="007B0ABC">
        <w:rPr>
          <w:rFonts w:eastAsiaTheme="minorEastAsia"/>
        </w:rPr>
        <w:t xml:space="preserve">s, including </w:t>
      </w:r>
      <w:r w:rsidR="007B0ABC" w:rsidRPr="007B0ABC">
        <w:rPr>
          <w:rFonts w:eastAsiaTheme="minorEastAsia"/>
          <w:b/>
        </w:rPr>
        <w:t>ALL_FER</w:t>
      </w:r>
      <w:r w:rsidR="007B0ABC">
        <w:rPr>
          <w:rFonts w:eastAsiaTheme="minorEastAsia"/>
        </w:rPr>
        <w:t>.</w:t>
      </w:r>
    </w:p>
    <w:p w14:paraId="7ACB23BA" w14:textId="3998CFB0" w:rsidR="00040F72" w:rsidRDefault="000D37EE" w:rsidP="00BE2011">
      <w:pPr>
        <w:pStyle w:val="Heading2"/>
      </w:pPr>
      <w:r>
        <w:t>3</w:t>
      </w:r>
      <w:r w:rsidR="00BE2011">
        <w:t>.3 Exporting results</w:t>
      </w:r>
    </w:p>
    <w:p w14:paraId="7B3A56D8" w14:textId="40EBACB2" w:rsidR="000D47A5" w:rsidRDefault="001C7AFF" w:rsidP="001C7AFF">
      <w:r>
        <w:t xml:space="preserve">The </w:t>
      </w:r>
      <w:r w:rsidRPr="001C7AFF">
        <w:rPr>
          <w:b/>
        </w:rPr>
        <w:t>Summary</w:t>
      </w:r>
      <w:r w:rsidR="005705D8">
        <w:t xml:space="preserve"> </w:t>
      </w:r>
      <w:r w:rsidR="00FB60FB">
        <w:t>sheet</w:t>
      </w:r>
      <w:r w:rsidR="005705D8">
        <w:t xml:space="preserve"> at the end of the</w:t>
      </w:r>
      <w:r w:rsidR="0021598D">
        <w:t xml:space="preserve"> file records expert’s inputs. E</w:t>
      </w:r>
      <w:r w:rsidR="005705D8">
        <w:t>xperts</w:t>
      </w:r>
      <w:r w:rsidR="0021598D">
        <w:t xml:space="preserve"> are asked</w:t>
      </w:r>
      <w:r w:rsidR="005705D8">
        <w:t xml:space="preserve"> to</w:t>
      </w:r>
      <w:r w:rsidR="0021598D">
        <w:t xml:space="preserve"> copy the data from the </w:t>
      </w:r>
      <w:r w:rsidR="0021598D" w:rsidRPr="0021598D">
        <w:rPr>
          <w:b/>
        </w:rPr>
        <w:t>Summary</w:t>
      </w:r>
      <w:r w:rsidR="005705D8">
        <w:t xml:space="preserve"> </w:t>
      </w:r>
      <w:r w:rsidR="00FB60FB">
        <w:t>sheet</w:t>
      </w:r>
      <w:r w:rsidR="005705D8">
        <w:t xml:space="preserve"> and</w:t>
      </w:r>
      <w:r w:rsidR="005215A7">
        <w:t xml:space="preserve"> email it to us once completed.</w:t>
      </w:r>
      <w:r w:rsidR="005705D8">
        <w:t xml:space="preserve"> Because this information only contains their inputs and no information on the selected distribution and parameters, to utilize this information, administrators will </w:t>
      </w:r>
      <w:r w:rsidR="00E829D0">
        <w:t>simply have to re-enter expert’s inputs</w:t>
      </w:r>
      <w:r w:rsidR="003C0406">
        <w:t xml:space="preserve"> into the survey</w:t>
      </w:r>
      <w:r w:rsidR="00E829D0">
        <w:t xml:space="preserve"> to obtain parameters</w:t>
      </w:r>
      <w:r w:rsidR="005705D8">
        <w:t>.</w:t>
      </w:r>
    </w:p>
    <w:p w14:paraId="08228FDD" w14:textId="77777777" w:rsidR="000D57E0" w:rsidRPr="000D47A5" w:rsidRDefault="000D57E0" w:rsidP="001B4682">
      <w:pPr>
        <w:pStyle w:val="Heading1"/>
      </w:pPr>
      <w:r w:rsidRPr="000D47A5">
        <w:t>References</w:t>
      </w:r>
    </w:p>
    <w:p w14:paraId="5DF7D09E" w14:textId="77777777" w:rsidR="000D57E0" w:rsidRDefault="000D57E0" w:rsidP="000D57E0">
      <w:pPr>
        <w:autoSpaceDE w:val="0"/>
        <w:autoSpaceDN w:val="0"/>
        <w:adjustRightInd w:val="0"/>
        <w:ind w:left="709" w:hanging="709"/>
      </w:pPr>
      <w:proofErr w:type="spellStart"/>
      <w:r w:rsidRPr="00A95BE9">
        <w:t>Keelin</w:t>
      </w:r>
      <w:proofErr w:type="spellEnd"/>
      <w:r w:rsidRPr="00A95BE9">
        <w:t xml:space="preserve">, T.W. and Powley, B.W. 2011. Quantile-parameterized distributions. </w:t>
      </w:r>
      <w:r w:rsidRPr="00A95BE9">
        <w:rPr>
          <w:i/>
        </w:rPr>
        <w:t>Decision Analysis</w:t>
      </w:r>
      <w:r w:rsidRPr="00A95BE9">
        <w:t xml:space="preserve"> 8(3): 165-250.</w:t>
      </w:r>
    </w:p>
    <w:p w14:paraId="070B184A" w14:textId="77777777" w:rsidR="000D57E0" w:rsidRPr="00A95BE9" w:rsidRDefault="000D57E0" w:rsidP="000D57E0">
      <w:pPr>
        <w:autoSpaceDE w:val="0"/>
        <w:autoSpaceDN w:val="0"/>
        <w:adjustRightInd w:val="0"/>
        <w:ind w:left="709" w:hanging="709"/>
      </w:pPr>
      <w:proofErr w:type="spellStart"/>
      <w:r w:rsidRPr="00A95BE9">
        <w:t>Keelin</w:t>
      </w:r>
      <w:proofErr w:type="spellEnd"/>
      <w:r w:rsidRPr="00A95BE9">
        <w:t xml:space="preserve">, T.W. 2016. The </w:t>
      </w:r>
      <w:proofErr w:type="spellStart"/>
      <w:r w:rsidRPr="00A95BE9">
        <w:t>Metalog</w:t>
      </w:r>
      <w:proofErr w:type="spellEnd"/>
      <w:r w:rsidRPr="00A95BE9">
        <w:t xml:space="preserve"> Distributions. </w:t>
      </w:r>
      <w:r w:rsidRPr="00A95BE9">
        <w:rPr>
          <w:i/>
        </w:rPr>
        <w:t>Decision Analysis</w:t>
      </w:r>
      <w:r w:rsidRPr="00A95BE9">
        <w:t xml:space="preserve"> 13(4). </w:t>
      </w:r>
    </w:p>
    <w:p w14:paraId="4FAF8F05" w14:textId="77777777" w:rsidR="000D57E0" w:rsidRPr="000D57E0" w:rsidRDefault="000D57E0" w:rsidP="000D57E0"/>
    <w:sectPr w:rsidR="000D57E0" w:rsidRPr="000D57E0">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0E169" w14:textId="77777777" w:rsidR="0010284A" w:rsidRDefault="0010284A" w:rsidP="0013046E">
      <w:pPr>
        <w:spacing w:after="0" w:line="240" w:lineRule="auto"/>
      </w:pPr>
      <w:r>
        <w:separator/>
      </w:r>
    </w:p>
  </w:endnote>
  <w:endnote w:type="continuationSeparator" w:id="0">
    <w:p w14:paraId="4D5557DD" w14:textId="77777777" w:rsidR="0010284A" w:rsidRDefault="0010284A" w:rsidP="0013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582575"/>
      <w:docPartObj>
        <w:docPartGallery w:val="Page Numbers (Bottom of Page)"/>
        <w:docPartUnique/>
      </w:docPartObj>
    </w:sdtPr>
    <w:sdtEndPr>
      <w:rPr>
        <w:noProof/>
      </w:rPr>
    </w:sdtEndPr>
    <w:sdtContent>
      <w:p w14:paraId="4DDC6104" w14:textId="2119D149" w:rsidR="00B678C8" w:rsidRDefault="00B678C8">
        <w:pPr>
          <w:pStyle w:val="Footer"/>
          <w:jc w:val="center"/>
        </w:pPr>
        <w:r>
          <w:fldChar w:fldCharType="begin"/>
        </w:r>
        <w:r>
          <w:instrText xml:space="preserve"> PAGE   \* MERGEFORMAT </w:instrText>
        </w:r>
        <w:r>
          <w:fldChar w:fldCharType="separate"/>
        </w:r>
        <w:r w:rsidR="008633DF">
          <w:rPr>
            <w:noProof/>
          </w:rPr>
          <w:t>9</w:t>
        </w:r>
        <w:r>
          <w:rPr>
            <w:noProof/>
          </w:rPr>
          <w:fldChar w:fldCharType="end"/>
        </w:r>
      </w:p>
    </w:sdtContent>
  </w:sdt>
  <w:p w14:paraId="79567F55" w14:textId="77777777" w:rsidR="00B678C8" w:rsidRDefault="00B678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60B2A" w14:textId="77777777" w:rsidR="0010284A" w:rsidRDefault="0010284A" w:rsidP="0013046E">
      <w:pPr>
        <w:spacing w:after="0" w:line="240" w:lineRule="auto"/>
      </w:pPr>
      <w:r>
        <w:separator/>
      </w:r>
    </w:p>
  </w:footnote>
  <w:footnote w:type="continuationSeparator" w:id="0">
    <w:p w14:paraId="197EDF0D" w14:textId="77777777" w:rsidR="0010284A" w:rsidRDefault="0010284A" w:rsidP="0013046E">
      <w:pPr>
        <w:spacing w:after="0" w:line="240" w:lineRule="auto"/>
      </w:pPr>
      <w:r>
        <w:continuationSeparator/>
      </w:r>
    </w:p>
  </w:footnote>
  <w:footnote w:id="1">
    <w:p w14:paraId="531B709E" w14:textId="7F026D08" w:rsidR="00E52255" w:rsidRDefault="00AB0A24" w:rsidP="00021F1B">
      <w:pPr>
        <w:pStyle w:val="FootnoteText"/>
        <w:spacing w:after="120"/>
      </w:pPr>
      <w:r>
        <w:rPr>
          <w:rStyle w:val="FootnoteReference"/>
        </w:rPr>
        <w:footnoteRef/>
      </w:r>
      <w:r>
        <w:t xml:space="preserve"> Last </w:t>
      </w:r>
      <w:r w:rsidR="00FB60FB">
        <w:t xml:space="preserve">revised </w:t>
      </w:r>
      <w:r w:rsidR="009C18E5">
        <w:t>16</w:t>
      </w:r>
      <w:r w:rsidRPr="00410636">
        <w:t>-12-2019. Prepared</w:t>
      </w:r>
      <w:r>
        <w:t xml:space="preserve"> by the Demographic Projections Unit, Centre for Demography, Statistics Canada. Any questions or comments can be forwarded to Elham Sirag (</w:t>
      </w:r>
      <w:hyperlink r:id="rId1" w:history="1">
        <w:r w:rsidRPr="00F61380">
          <w:rPr>
            <w:rStyle w:val="Hyperlink"/>
          </w:rPr>
          <w:t>elham.sirag@canada.ca</w:t>
        </w:r>
      </w:hyperlink>
      <w:r>
        <w:t>) or Patrice Dion (</w:t>
      </w:r>
      <w:hyperlink r:id="rId2" w:history="1">
        <w:r w:rsidRPr="00F61380">
          <w:rPr>
            <w:rStyle w:val="Hyperlink"/>
          </w:rPr>
          <w:t>patrice.dion@canada.ca</w:t>
        </w:r>
      </w:hyperlink>
      <w:r>
        <w:t>).</w:t>
      </w:r>
    </w:p>
  </w:footnote>
  <w:footnote w:id="2">
    <w:p w14:paraId="5D23987D" w14:textId="290631B4" w:rsidR="002A6124" w:rsidRDefault="002A6124" w:rsidP="00021F1B">
      <w:pPr>
        <w:spacing w:after="120"/>
      </w:pPr>
      <w:r>
        <w:rPr>
          <w:rStyle w:val="FootnoteReference"/>
        </w:rPr>
        <w:footnoteRef/>
      </w:r>
      <w:r>
        <w:t xml:space="preserve"> </w:t>
      </w:r>
      <w:r w:rsidRPr="002A6124">
        <w:rPr>
          <w:sz w:val="20"/>
        </w:rPr>
        <w:t xml:space="preserve">The survey is shared ‘as-is,’ and Statistics Canada makes no warranty, either express or implied, including but not limited to, warranties of merchantability and fitness for a particular purpose. In no </w:t>
      </w:r>
      <w:r w:rsidRPr="002A6124">
        <w:rPr>
          <w:sz w:val="20"/>
          <w:szCs w:val="20"/>
        </w:rPr>
        <w:t>event will Statistics Canada be liable for any direct, special, indirect, consequential or other damages, however caused.</w:t>
      </w:r>
    </w:p>
  </w:footnote>
  <w:footnote w:id="3">
    <w:p w14:paraId="09D0C282" w14:textId="51A2C3D3" w:rsidR="0034036A" w:rsidRDefault="0034036A" w:rsidP="00021F1B">
      <w:pPr>
        <w:pStyle w:val="FootnoteText"/>
        <w:spacing w:after="120"/>
      </w:pPr>
      <w:r>
        <w:rPr>
          <w:rStyle w:val="FootnoteReference"/>
        </w:rPr>
        <w:footnoteRef/>
      </w:r>
      <w:r>
        <w:t xml:space="preserve"> It may occur that the ‘</w:t>
      </w:r>
      <w:r w:rsidRPr="0034036A">
        <w:rPr>
          <w:i/>
        </w:rPr>
        <w:t>DEVELOPER</w:t>
      </w:r>
      <w:r>
        <w:t>’ tab is not available in the ribbon. In this case, follow this procedure: click on the ‘</w:t>
      </w:r>
      <w:r w:rsidRPr="0034036A">
        <w:rPr>
          <w:i/>
        </w:rPr>
        <w:t>FILE</w:t>
      </w:r>
      <w:r>
        <w:t xml:space="preserve">’ tab, select access ‘Options’ in the menu, select ‘Customize ribbon’ and </w:t>
      </w:r>
      <w:r w:rsidR="008926B3">
        <w:t xml:space="preserve">ensure </w:t>
      </w:r>
      <w:r>
        <w:t>‘Developer’</w:t>
      </w:r>
      <w:r w:rsidR="008926B3">
        <w:t xml:space="preserve"> is checked off</w:t>
      </w:r>
      <w:r>
        <w:t>.</w:t>
      </w:r>
    </w:p>
  </w:footnote>
  <w:footnote w:id="4">
    <w:p w14:paraId="64EF5F5A" w14:textId="33FE4C43" w:rsidR="009043D2" w:rsidRDefault="009043D2" w:rsidP="00E52255">
      <w:pPr>
        <w:pStyle w:val="FootnoteText"/>
        <w:spacing w:after="120"/>
      </w:pPr>
      <w:r>
        <w:rPr>
          <w:rStyle w:val="FootnoteReference"/>
        </w:rPr>
        <w:footnoteRef/>
      </w:r>
      <w:r>
        <w:t xml:space="preserve"> Additional resources on the </w:t>
      </w:r>
      <w:proofErr w:type="spellStart"/>
      <w:r>
        <w:t>metalog</w:t>
      </w:r>
      <w:proofErr w:type="spellEnd"/>
      <w:r>
        <w:t xml:space="preserve"> distribution, including documentation and other Excel-based workbooks, can be found here: </w:t>
      </w:r>
      <w:hyperlink r:id="rId3" w:history="1">
        <w:r w:rsidRPr="00673F3E">
          <w:rPr>
            <w:rStyle w:val="Hyperlink"/>
          </w:rPr>
          <w:t>http://www.metalogdistributions.com</w:t>
        </w:r>
      </w:hyperlink>
      <w:r>
        <w:t xml:space="preserve">. </w:t>
      </w:r>
    </w:p>
  </w:footnote>
  <w:footnote w:id="5">
    <w:p w14:paraId="4E29FF13" w14:textId="77777777" w:rsidR="009839EA" w:rsidRDefault="009839EA" w:rsidP="00021F1B">
      <w:pPr>
        <w:pStyle w:val="FootnoteText"/>
        <w:spacing w:after="120"/>
      </w:pPr>
      <w:r>
        <w:rPr>
          <w:rStyle w:val="FootnoteReference"/>
        </w:rPr>
        <w:footnoteRef/>
      </w:r>
      <w:r>
        <w:t xml:space="preserve"> See section 5. </w:t>
      </w:r>
      <w:proofErr w:type="gramStart"/>
      <w:r>
        <w:t>in</w:t>
      </w:r>
      <w:proofErr w:type="gramEnd"/>
      <w:r>
        <w:t xml:space="preserve"> </w:t>
      </w:r>
      <w:proofErr w:type="spellStart"/>
      <w:r>
        <w:t>Keelin</w:t>
      </w:r>
      <w:proofErr w:type="spellEnd"/>
      <w:r>
        <w:t xml:space="preserve"> and Powley (2011) for the mathematical definition.</w:t>
      </w:r>
    </w:p>
  </w:footnote>
  <w:footnote w:id="6">
    <w:p w14:paraId="2F3A9E06" w14:textId="77777777" w:rsidR="00B24AA1" w:rsidRDefault="00B24AA1" w:rsidP="00021F1B">
      <w:pPr>
        <w:pStyle w:val="FootnoteText"/>
        <w:spacing w:after="120"/>
      </w:pPr>
      <w:r>
        <w:rPr>
          <w:rStyle w:val="FootnoteReference"/>
        </w:rPr>
        <w:footnoteRef/>
      </w:r>
      <w:r>
        <w:t xml:space="preserve"> There are a number of well-established methods that can be used to modify the parameters of common distributions (such as the normal or logistic), and the choice of method often depends on the chosen base distribution. See </w:t>
      </w:r>
      <w:r w:rsidRPr="007B4E86">
        <w:rPr>
          <w:b/>
        </w:rPr>
        <w:t>Table 1</w:t>
      </w:r>
      <w:r>
        <w:t xml:space="preserve"> in </w:t>
      </w:r>
      <w:proofErr w:type="spellStart"/>
      <w:r>
        <w:t>Keelin</w:t>
      </w:r>
      <w:proofErr w:type="spellEnd"/>
      <w:r>
        <w:t xml:space="preserve"> (2016) for a brief summary of methods.  </w:t>
      </w:r>
    </w:p>
  </w:footnote>
  <w:footnote w:id="7">
    <w:p w14:paraId="644EB9A9" w14:textId="021B13AC" w:rsidR="00E149EC" w:rsidRDefault="00E149EC" w:rsidP="00021F1B">
      <w:pPr>
        <w:pStyle w:val="FootnoteText"/>
        <w:spacing w:after="120"/>
      </w:pPr>
      <w:r>
        <w:rPr>
          <w:rStyle w:val="FootnoteReference"/>
        </w:rPr>
        <w:footnoteRef/>
      </w:r>
      <w:r>
        <w:t xml:space="preserve"> </w:t>
      </w:r>
      <w:r w:rsidRPr="00583A74">
        <w:rPr>
          <w:rFonts w:eastAsiaTheme="minorEastAsia"/>
          <w:b/>
        </w:rPr>
        <w:t>Table 2</w:t>
      </w:r>
      <w:r>
        <w:rPr>
          <w:rFonts w:eastAsiaTheme="minorEastAsia"/>
        </w:rPr>
        <w:t xml:space="preserve"> in </w:t>
      </w:r>
      <w:proofErr w:type="spellStart"/>
      <w:r>
        <w:rPr>
          <w:rFonts w:eastAsiaTheme="minorEastAsia"/>
        </w:rPr>
        <w:t>Keelin</w:t>
      </w:r>
      <w:proofErr w:type="spellEnd"/>
      <w:r>
        <w:rPr>
          <w:rFonts w:eastAsiaTheme="minorEastAsia"/>
        </w:rPr>
        <w:t xml:space="preserve"> (2016) describes how different combinations of the values of</w:t>
      </w:r>
      <m:oMath>
        <m:r>
          <w:rPr>
            <w:rFonts w:ascii="Cambria Math" w:eastAsiaTheme="minorEastAsia" w:hAnsi="Cambria Math"/>
          </w:rPr>
          <m:t xml:space="preserve"> </m:t>
        </m:r>
        <m:r>
          <m:rPr>
            <m:sty m:val="b"/>
          </m:rPr>
          <w:rPr>
            <w:rFonts w:ascii="Cambria Math" w:eastAsiaTheme="minorEastAsia" w:hAnsi="Cambria Math"/>
            <w:vertAlign w:val="subscript"/>
          </w:rPr>
          <m:t>a</m:t>
        </m:r>
      </m:oMath>
      <w:r>
        <w:rPr>
          <w:rFonts w:eastAsiaTheme="minorEastAsia"/>
          <w:b/>
          <w:vertAlign w:val="subscript"/>
        </w:rPr>
        <w:t xml:space="preserve"> </w:t>
      </w:r>
      <w:r>
        <w:rPr>
          <w:rFonts w:eastAsiaTheme="minorEastAsia"/>
        </w:rPr>
        <w:t xml:space="preserve">impact the properties of the resulting </w:t>
      </w:r>
      <w:proofErr w:type="spellStart"/>
      <w:r>
        <w:rPr>
          <w:rFonts w:eastAsiaTheme="minorEastAsia"/>
        </w:rPr>
        <w:t>metalog</w:t>
      </w:r>
      <w:proofErr w:type="spellEnd"/>
      <w:r>
        <w:rPr>
          <w:rFonts w:eastAsiaTheme="minorEastAsia"/>
        </w:rPr>
        <w:t xml:space="preserve"> distribution</w:t>
      </w:r>
      <w:r w:rsidR="004419C3">
        <w:rPr>
          <w:rFonts w:eastAsiaTheme="minorEastAsia"/>
        </w:rPr>
        <w:t>.</w:t>
      </w:r>
    </w:p>
  </w:footnote>
  <w:footnote w:id="8">
    <w:p w14:paraId="3B3578DD" w14:textId="77777777" w:rsidR="005409CA" w:rsidRDefault="005409CA" w:rsidP="00021F1B">
      <w:pPr>
        <w:pStyle w:val="FootnoteText"/>
        <w:spacing w:after="120"/>
      </w:pPr>
      <w:r>
        <w:rPr>
          <w:rStyle w:val="FootnoteReference"/>
        </w:rPr>
        <w:footnoteRef/>
      </w:r>
      <w:r>
        <w:t xml:space="preserve"> Feasibility of the estimated </w:t>
      </w:r>
      <m:oMath>
        <m:r>
          <m:rPr>
            <m:sty m:val="b"/>
          </m:rPr>
          <w:rPr>
            <w:rFonts w:ascii="Cambria Math" w:eastAsiaTheme="minorEastAsia" w:hAnsi="Cambria Math"/>
            <w:vertAlign w:val="subscript"/>
          </w:rPr>
          <m:t>a</m:t>
        </m:r>
        <m:r>
          <m:rPr>
            <m:sty m:val="bi"/>
          </m:rPr>
          <w:rPr>
            <w:rFonts w:ascii="Cambria Math" w:eastAsiaTheme="minorEastAsia" w:hAnsi="Cambria Math"/>
            <w:vertAlign w:val="subscript"/>
          </w:rPr>
          <m:t xml:space="preserve"> </m:t>
        </m:r>
      </m:oMath>
      <w:r>
        <w:rPr>
          <w:rFonts w:eastAsiaTheme="minorEastAsia"/>
        </w:rPr>
        <w:t>is determined by whether or not they generate a PDF that satisfies</w:t>
      </w:r>
      <m:oMath>
        <m:sSub>
          <m:sSubPr>
            <m:ctrlPr>
              <w:rPr>
                <w:rFonts w:ascii="Cambria Math" w:hAnsi="Cambria Math"/>
                <w:i/>
                <w:sz w:val="22"/>
                <w:szCs w:val="22"/>
              </w:rPr>
            </m:ctrlPr>
          </m:sSubPr>
          <m:e>
            <m:r>
              <w:rPr>
                <w:rFonts w:ascii="Cambria Math" w:hAnsi="Cambria Math"/>
              </w:rPr>
              <m:t xml:space="preserve"> m</m:t>
            </m:r>
          </m:e>
          <m:sub>
            <m:r>
              <w:rPr>
                <w:rFonts w:ascii="Cambria Math" w:hAnsi="Cambria Math"/>
              </w:rPr>
              <m:t>5</m:t>
            </m:r>
          </m:sub>
        </m:sSub>
        <m:d>
          <m:dPr>
            <m:ctrlPr>
              <w:rPr>
                <w:rFonts w:ascii="Cambria Math" w:hAnsi="Cambria Math"/>
                <w:i/>
              </w:rPr>
            </m:ctrlPr>
          </m:dPr>
          <m:e>
            <m:r>
              <w:rPr>
                <w:rFonts w:ascii="Cambria Math" w:hAnsi="Cambria Math"/>
              </w:rPr>
              <m:t>y</m:t>
            </m:r>
          </m:e>
        </m:d>
        <m:r>
          <w:rPr>
            <w:rFonts w:ascii="Cambria Math" w:eastAsiaTheme="minorEastAsia" w:hAnsi="Cambria Math"/>
          </w:rPr>
          <m:t>&gt;0 ∀ y∈(0,1)</m:t>
        </m:r>
      </m:oMath>
      <w:r>
        <w:rPr>
          <w:rFonts w:eastAsiaTheme="minorEastAsia"/>
        </w:rPr>
        <w:t>.</w:t>
      </w:r>
    </w:p>
  </w:footnote>
  <w:footnote w:id="9">
    <w:p w14:paraId="0D6A826A" w14:textId="77777777" w:rsidR="00CE155A" w:rsidRDefault="00CE155A" w:rsidP="00021F1B">
      <w:pPr>
        <w:pStyle w:val="FootnoteText"/>
        <w:spacing w:after="120"/>
      </w:pPr>
      <w:r>
        <w:rPr>
          <w:rStyle w:val="FootnoteReference"/>
        </w:rPr>
        <w:footnoteRef/>
      </w:r>
      <w:r>
        <w:t xml:space="preserve"> Boundedness or semi-boundedness refers to the case where the </w:t>
      </w:r>
      <w:r w:rsidR="0081058C">
        <w:t>inputs describe a distribution that</w:t>
      </w:r>
      <w:r>
        <w:t xml:space="preserve"> has some known upper and/or lower </w:t>
      </w:r>
      <w:r w:rsidR="0081058C">
        <w:t>limit</w:t>
      </w:r>
      <w:r>
        <w:t>.</w:t>
      </w:r>
    </w:p>
  </w:footnote>
  <w:footnote w:id="10">
    <w:p w14:paraId="4F5ED36A" w14:textId="77777777" w:rsidR="00E258EA" w:rsidRDefault="00E258EA" w:rsidP="00021F1B">
      <w:pPr>
        <w:pStyle w:val="FootnoteText"/>
        <w:spacing w:after="120"/>
      </w:pPr>
      <w:r>
        <w:rPr>
          <w:rStyle w:val="FootnoteReference"/>
        </w:rPr>
        <w:footnoteRef/>
      </w:r>
      <w:r>
        <w:t xml:space="preserve"> It should be noted that if an expert provides </w:t>
      </w:r>
      <m:oMath>
        <m:r>
          <w:rPr>
            <w:rFonts w:ascii="Cambria Math" w:eastAsiaTheme="minorEastAsia" w:hAnsi="Cambria Math"/>
          </w:rPr>
          <m:t>n</m:t>
        </m:r>
      </m:oMath>
      <w:r>
        <w:rPr>
          <w:rFonts w:eastAsiaTheme="minorEastAsia"/>
        </w:rPr>
        <w:t xml:space="preserve"> quantiles but only a </w:t>
      </w:r>
      <m:oMath>
        <m:r>
          <w:rPr>
            <w:rFonts w:ascii="Cambria Math" w:eastAsiaTheme="minorEastAsia" w:hAnsi="Cambria Math"/>
          </w:rPr>
          <m:t>(n-1)</m:t>
        </m:r>
      </m:oMath>
      <w:r>
        <w:rPr>
          <w:rFonts w:eastAsiaTheme="minorEastAsia"/>
        </w:rPr>
        <w:t>-term metalog can be fit, the fitted distribution will likely not match the inputs expert provided exactly.</w:t>
      </w:r>
    </w:p>
  </w:footnote>
  <w:footnote w:id="11">
    <w:p w14:paraId="7000B1D5" w14:textId="77777777" w:rsidR="003D1CD9" w:rsidRDefault="003D1CD9" w:rsidP="00021F1B">
      <w:pPr>
        <w:pStyle w:val="FootnoteText"/>
        <w:spacing w:after="120"/>
      </w:pPr>
      <w:r>
        <w:rPr>
          <w:rStyle w:val="FootnoteReference"/>
        </w:rPr>
        <w:footnoteRef/>
      </w:r>
      <w:r>
        <w:t xml:space="preserve"> Take the PTFR, for example: the majority of experts would assign a lower bound much higher than zero so that, according to their fitted distribution, the probability of obtaining a value less than zero is close to zero.</w:t>
      </w:r>
    </w:p>
  </w:footnote>
  <w:footnote w:id="12">
    <w:p w14:paraId="6B2AA3DB" w14:textId="4612CF1C" w:rsidR="00616EE8" w:rsidRDefault="00616EE8" w:rsidP="00021F1B">
      <w:pPr>
        <w:pStyle w:val="FootnoteText"/>
        <w:spacing w:after="120"/>
      </w:pPr>
      <w:r>
        <w:rPr>
          <w:rStyle w:val="FootnoteReference"/>
        </w:rPr>
        <w:footnoteRef/>
      </w:r>
      <w:r>
        <w:t xml:space="preserve"> See section 4.1 in </w:t>
      </w:r>
      <w:proofErr w:type="spellStart"/>
      <w:r>
        <w:t>Keelin</w:t>
      </w:r>
      <w:proofErr w:type="spellEnd"/>
      <w:r>
        <w:t xml:space="preserve"> (2016) for a description of the resulting PDF, CDF and quantile functions.</w:t>
      </w:r>
    </w:p>
  </w:footnote>
  <w:footnote w:id="13">
    <w:p w14:paraId="4A19E4F7" w14:textId="77777777" w:rsidR="006718F3" w:rsidRDefault="006718F3" w:rsidP="00021F1B">
      <w:pPr>
        <w:pStyle w:val="FootnoteText"/>
        <w:spacing w:after="120"/>
      </w:pPr>
      <w:r>
        <w:rPr>
          <w:rStyle w:val="FootnoteReference"/>
        </w:rPr>
        <w:footnoteRef/>
      </w:r>
      <w:r>
        <w:t xml:space="preserve"> See section 4.3 in </w:t>
      </w:r>
      <w:proofErr w:type="spellStart"/>
      <w:r>
        <w:t>Keelin</w:t>
      </w:r>
      <w:proofErr w:type="spellEnd"/>
      <w:r>
        <w:t xml:space="preserve"> (2016) for a description of the resulting PDF, CDF and quantile functions.</w:t>
      </w:r>
    </w:p>
  </w:footnote>
  <w:footnote w:id="14">
    <w:p w14:paraId="5F810EC0" w14:textId="77777777" w:rsidR="00AE5CB4" w:rsidRDefault="00AE5CB4" w:rsidP="00021F1B">
      <w:pPr>
        <w:pStyle w:val="FootnoteText"/>
        <w:spacing w:after="120"/>
      </w:pPr>
      <w:r>
        <w:rPr>
          <w:rStyle w:val="FootnoteReference"/>
        </w:rPr>
        <w:footnoteRef/>
      </w:r>
      <w:r>
        <w:t xml:space="preserve"> We see no reason to impose a lower-bound if an unbounded distribution is feasible.</w:t>
      </w:r>
    </w:p>
  </w:footnote>
  <w:footnote w:id="15">
    <w:p w14:paraId="751FBF1A" w14:textId="77777777" w:rsidR="001C7AFF" w:rsidRDefault="001C7AFF" w:rsidP="00021F1B">
      <w:pPr>
        <w:pStyle w:val="FootnoteText"/>
        <w:spacing w:after="120"/>
      </w:pPr>
      <w:r>
        <w:rPr>
          <w:rStyle w:val="FootnoteReference"/>
        </w:rPr>
        <w:footnoteRef/>
      </w:r>
      <w:r>
        <w:t xml:space="preserve"> The limit can also be modified in the </w:t>
      </w:r>
      <w:proofErr w:type="spellStart"/>
      <w:r w:rsidRPr="00701DD1">
        <w:rPr>
          <w:b/>
        </w:rPr>
        <w:t>b_FER</w:t>
      </w:r>
      <w:proofErr w:type="spellEnd"/>
      <w:r>
        <w:t xml:space="preserve"> sheet, but the maximum number of terms that can be fit will always be two less than those of the semi-bounded and unbounded distributions.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7824"/>
    <w:multiLevelType w:val="hybridMultilevel"/>
    <w:tmpl w:val="96162FA6"/>
    <w:lvl w:ilvl="0" w:tplc="0E2866A0">
      <w:start w:val="1"/>
      <w:numFmt w:val="bullet"/>
      <w:lvlText w:val=""/>
      <w:lvlJc w:val="left"/>
      <w:pPr>
        <w:ind w:left="72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FF7FA9"/>
    <w:multiLevelType w:val="hybridMultilevel"/>
    <w:tmpl w:val="1610E9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6AB2DA5"/>
    <w:multiLevelType w:val="hybridMultilevel"/>
    <w:tmpl w:val="0BA2BEEA"/>
    <w:lvl w:ilvl="0" w:tplc="E744D7FE">
      <w:start w:val="1"/>
      <w:numFmt w:val="decimal"/>
      <w:lvlText w:val="%1."/>
      <w:lvlJc w:val="left"/>
      <w:pPr>
        <w:ind w:left="360" w:hanging="360"/>
      </w:pPr>
      <w:rPr>
        <w:rFonts w:hint="default"/>
      </w:rPr>
    </w:lvl>
    <w:lvl w:ilvl="1" w:tplc="66425102">
      <w:start w:val="4"/>
      <w:numFmt w:val="decimal"/>
      <w:lvlText w:val="%2.1"/>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29722C4B"/>
    <w:multiLevelType w:val="hybridMultilevel"/>
    <w:tmpl w:val="DB40CFEE"/>
    <w:lvl w:ilvl="0" w:tplc="0E2866A0">
      <w:start w:val="1"/>
      <w:numFmt w:val="bullet"/>
      <w:lvlText w:val=""/>
      <w:lvlJc w:val="left"/>
      <w:pPr>
        <w:ind w:left="72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A1534C3"/>
    <w:multiLevelType w:val="hybridMultilevel"/>
    <w:tmpl w:val="3452A13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1DA2EBB"/>
    <w:multiLevelType w:val="hybridMultilevel"/>
    <w:tmpl w:val="1610E9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4392F8A"/>
    <w:multiLevelType w:val="hybridMultilevel"/>
    <w:tmpl w:val="10107A5E"/>
    <w:lvl w:ilvl="0" w:tplc="0E2866A0">
      <w:start w:val="1"/>
      <w:numFmt w:val="bullet"/>
      <w:lvlText w:val=""/>
      <w:lvlJc w:val="left"/>
      <w:pPr>
        <w:ind w:left="72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6A1799B"/>
    <w:multiLevelType w:val="hybridMultilevel"/>
    <w:tmpl w:val="0DF267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BB40A7"/>
    <w:multiLevelType w:val="hybridMultilevel"/>
    <w:tmpl w:val="04DA65D6"/>
    <w:lvl w:ilvl="0" w:tplc="E744D7FE">
      <w:start w:val="1"/>
      <w:numFmt w:val="decimal"/>
      <w:lvlText w:val="%1."/>
      <w:lvlJc w:val="left"/>
      <w:pPr>
        <w:ind w:left="360" w:hanging="360"/>
      </w:pPr>
      <w:rPr>
        <w:rFonts w:hint="default"/>
      </w:rPr>
    </w:lvl>
    <w:lvl w:ilvl="1" w:tplc="B90EC32C">
      <w:start w:val="1"/>
      <w:numFmt w:val="decimal"/>
      <w:lvlText w:val="%2.1"/>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445F2373"/>
    <w:multiLevelType w:val="hybridMultilevel"/>
    <w:tmpl w:val="2C4EFD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6CB0B65"/>
    <w:multiLevelType w:val="hybridMultilevel"/>
    <w:tmpl w:val="D204747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F5818EF"/>
    <w:multiLevelType w:val="hybridMultilevel"/>
    <w:tmpl w:val="7A987E38"/>
    <w:lvl w:ilvl="0" w:tplc="0E2866A0">
      <w:start w:val="1"/>
      <w:numFmt w:val="bullet"/>
      <w:lvlText w:val=""/>
      <w:lvlJc w:val="left"/>
      <w:pPr>
        <w:ind w:left="72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1835C56"/>
    <w:multiLevelType w:val="hybridMultilevel"/>
    <w:tmpl w:val="51A216C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5988024F"/>
    <w:multiLevelType w:val="hybridMultilevel"/>
    <w:tmpl w:val="3020A8D8"/>
    <w:lvl w:ilvl="0" w:tplc="E744D7FE">
      <w:start w:val="1"/>
      <w:numFmt w:val="decimal"/>
      <w:pStyle w:val="Heading1"/>
      <w:lvlText w:val="%1."/>
      <w:lvlJc w:val="left"/>
      <w:pPr>
        <w:ind w:left="360" w:hanging="360"/>
      </w:pPr>
      <w:rPr>
        <w:rFonts w:hint="default"/>
      </w:rPr>
    </w:lvl>
    <w:lvl w:ilvl="1" w:tplc="1009000F">
      <w:start w:val="1"/>
      <w:numFmt w:val="decimal"/>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5BFB6F04"/>
    <w:multiLevelType w:val="hybridMultilevel"/>
    <w:tmpl w:val="8A2C2DE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666204F3"/>
    <w:multiLevelType w:val="hybridMultilevel"/>
    <w:tmpl w:val="0C78D07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7835C3D"/>
    <w:multiLevelType w:val="hybridMultilevel"/>
    <w:tmpl w:val="D1B840F8"/>
    <w:lvl w:ilvl="0" w:tplc="0E2866A0">
      <w:start w:val="1"/>
      <w:numFmt w:val="bullet"/>
      <w:lvlText w:val=""/>
      <w:lvlJc w:val="left"/>
      <w:pPr>
        <w:ind w:left="72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0583406"/>
    <w:multiLevelType w:val="hybridMultilevel"/>
    <w:tmpl w:val="12B29FB0"/>
    <w:lvl w:ilvl="0" w:tplc="0E2866A0">
      <w:start w:val="1"/>
      <w:numFmt w:val="bullet"/>
      <w:lvlText w:val=""/>
      <w:lvlJc w:val="left"/>
      <w:pPr>
        <w:ind w:left="72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12F7771"/>
    <w:multiLevelType w:val="hybridMultilevel"/>
    <w:tmpl w:val="0316E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11"/>
  </w:num>
  <w:num w:numId="3">
    <w:abstractNumId w:val="3"/>
  </w:num>
  <w:num w:numId="4">
    <w:abstractNumId w:val="10"/>
  </w:num>
  <w:num w:numId="5">
    <w:abstractNumId w:val="6"/>
  </w:num>
  <w:num w:numId="6">
    <w:abstractNumId w:val="16"/>
  </w:num>
  <w:num w:numId="7">
    <w:abstractNumId w:val="17"/>
  </w:num>
  <w:num w:numId="8">
    <w:abstractNumId w:val="0"/>
  </w:num>
  <w:num w:numId="9">
    <w:abstractNumId w:val="9"/>
  </w:num>
  <w:num w:numId="10">
    <w:abstractNumId w:val="15"/>
  </w:num>
  <w:num w:numId="11">
    <w:abstractNumId w:val="5"/>
  </w:num>
  <w:num w:numId="12">
    <w:abstractNumId w:val="14"/>
  </w:num>
  <w:num w:numId="13">
    <w:abstractNumId w:val="7"/>
  </w:num>
  <w:num w:numId="14">
    <w:abstractNumId w:val="18"/>
  </w:num>
  <w:num w:numId="15">
    <w:abstractNumId w:val="13"/>
  </w:num>
  <w:num w:numId="16">
    <w:abstractNumId w:val="13"/>
  </w:num>
  <w:num w:numId="17">
    <w:abstractNumId w:val="13"/>
  </w:num>
  <w:num w:numId="18">
    <w:abstractNumId w:val="8"/>
  </w:num>
  <w:num w:numId="19">
    <w:abstractNumId w:val="2"/>
  </w:num>
  <w:num w:numId="20">
    <w:abstractNumId w:val="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6B2"/>
    <w:rsid w:val="0000317D"/>
    <w:rsid w:val="000076D1"/>
    <w:rsid w:val="00021F1B"/>
    <w:rsid w:val="000225BB"/>
    <w:rsid w:val="00030677"/>
    <w:rsid w:val="00040F72"/>
    <w:rsid w:val="00053ABC"/>
    <w:rsid w:val="00061E07"/>
    <w:rsid w:val="00080B3B"/>
    <w:rsid w:val="000B16DB"/>
    <w:rsid w:val="000C1662"/>
    <w:rsid w:val="000C6B9D"/>
    <w:rsid w:val="000C785F"/>
    <w:rsid w:val="000D37EE"/>
    <w:rsid w:val="000D47A5"/>
    <w:rsid w:val="000D57E0"/>
    <w:rsid w:val="000D6433"/>
    <w:rsid w:val="000D6AFF"/>
    <w:rsid w:val="000F04EC"/>
    <w:rsid w:val="000F46E8"/>
    <w:rsid w:val="0010152A"/>
    <w:rsid w:val="00102051"/>
    <w:rsid w:val="0010284A"/>
    <w:rsid w:val="00102B95"/>
    <w:rsid w:val="00106F84"/>
    <w:rsid w:val="00110CD1"/>
    <w:rsid w:val="00113B5F"/>
    <w:rsid w:val="00122F08"/>
    <w:rsid w:val="00125D24"/>
    <w:rsid w:val="0013046E"/>
    <w:rsid w:val="0014400F"/>
    <w:rsid w:val="00174CE0"/>
    <w:rsid w:val="001851F8"/>
    <w:rsid w:val="00191B99"/>
    <w:rsid w:val="00195D7B"/>
    <w:rsid w:val="001A4DED"/>
    <w:rsid w:val="001B4682"/>
    <w:rsid w:val="001B7DBD"/>
    <w:rsid w:val="001C5FF0"/>
    <w:rsid w:val="001C7AFF"/>
    <w:rsid w:val="001D7F42"/>
    <w:rsid w:val="001E0D2B"/>
    <w:rsid w:val="001E3295"/>
    <w:rsid w:val="001E36B2"/>
    <w:rsid w:val="001E6C9D"/>
    <w:rsid w:val="00212C36"/>
    <w:rsid w:val="0021598D"/>
    <w:rsid w:val="0023033C"/>
    <w:rsid w:val="00230398"/>
    <w:rsid w:val="002333C0"/>
    <w:rsid w:val="00267332"/>
    <w:rsid w:val="002A4C42"/>
    <w:rsid w:val="002A6124"/>
    <w:rsid w:val="002B24BA"/>
    <w:rsid w:val="002B550F"/>
    <w:rsid w:val="002B7389"/>
    <w:rsid w:val="002E44EE"/>
    <w:rsid w:val="00331EC2"/>
    <w:rsid w:val="0034036A"/>
    <w:rsid w:val="003408EC"/>
    <w:rsid w:val="00345FF9"/>
    <w:rsid w:val="00364B3B"/>
    <w:rsid w:val="00367C0A"/>
    <w:rsid w:val="00370618"/>
    <w:rsid w:val="00377525"/>
    <w:rsid w:val="00381774"/>
    <w:rsid w:val="00395913"/>
    <w:rsid w:val="003B036C"/>
    <w:rsid w:val="003C0406"/>
    <w:rsid w:val="003D1CD9"/>
    <w:rsid w:val="003E0668"/>
    <w:rsid w:val="003F45F0"/>
    <w:rsid w:val="00410636"/>
    <w:rsid w:val="00426879"/>
    <w:rsid w:val="004419C3"/>
    <w:rsid w:val="004529DB"/>
    <w:rsid w:val="00475D35"/>
    <w:rsid w:val="00475F83"/>
    <w:rsid w:val="004B0254"/>
    <w:rsid w:val="004C311D"/>
    <w:rsid w:val="004D6010"/>
    <w:rsid w:val="004E6771"/>
    <w:rsid w:val="005021AB"/>
    <w:rsid w:val="005215A7"/>
    <w:rsid w:val="0052447B"/>
    <w:rsid w:val="00524A89"/>
    <w:rsid w:val="0053521C"/>
    <w:rsid w:val="005409CA"/>
    <w:rsid w:val="00544857"/>
    <w:rsid w:val="00550111"/>
    <w:rsid w:val="00554DC1"/>
    <w:rsid w:val="005705D8"/>
    <w:rsid w:val="00572E14"/>
    <w:rsid w:val="00580810"/>
    <w:rsid w:val="0058340B"/>
    <w:rsid w:val="00583A74"/>
    <w:rsid w:val="005950F0"/>
    <w:rsid w:val="005B6716"/>
    <w:rsid w:val="005D1F34"/>
    <w:rsid w:val="005E102B"/>
    <w:rsid w:val="005E5BBE"/>
    <w:rsid w:val="005E6BFA"/>
    <w:rsid w:val="005E7E52"/>
    <w:rsid w:val="00616EE8"/>
    <w:rsid w:val="006252D4"/>
    <w:rsid w:val="00640FC4"/>
    <w:rsid w:val="006516C5"/>
    <w:rsid w:val="00654C50"/>
    <w:rsid w:val="006718F3"/>
    <w:rsid w:val="0069171E"/>
    <w:rsid w:val="006A5763"/>
    <w:rsid w:val="006B139A"/>
    <w:rsid w:val="006B2AFC"/>
    <w:rsid w:val="006B2FFA"/>
    <w:rsid w:val="006C0B20"/>
    <w:rsid w:val="006C6B23"/>
    <w:rsid w:val="006D1FD3"/>
    <w:rsid w:val="006E361B"/>
    <w:rsid w:val="006F25CA"/>
    <w:rsid w:val="00700677"/>
    <w:rsid w:val="00701DD1"/>
    <w:rsid w:val="00711FD8"/>
    <w:rsid w:val="007155F3"/>
    <w:rsid w:val="007237E4"/>
    <w:rsid w:val="00751B37"/>
    <w:rsid w:val="00763877"/>
    <w:rsid w:val="0076690C"/>
    <w:rsid w:val="007709DA"/>
    <w:rsid w:val="00782795"/>
    <w:rsid w:val="007A0193"/>
    <w:rsid w:val="007A79FA"/>
    <w:rsid w:val="007B0ABC"/>
    <w:rsid w:val="007B4E86"/>
    <w:rsid w:val="007C76E8"/>
    <w:rsid w:val="007E0900"/>
    <w:rsid w:val="007E631D"/>
    <w:rsid w:val="007F3F57"/>
    <w:rsid w:val="0081058C"/>
    <w:rsid w:val="008131D2"/>
    <w:rsid w:val="00837BF3"/>
    <w:rsid w:val="00840939"/>
    <w:rsid w:val="0085344E"/>
    <w:rsid w:val="00853694"/>
    <w:rsid w:val="00853A4B"/>
    <w:rsid w:val="00853BB7"/>
    <w:rsid w:val="008633DF"/>
    <w:rsid w:val="0087200A"/>
    <w:rsid w:val="008926B3"/>
    <w:rsid w:val="00897FAD"/>
    <w:rsid w:val="008A29ED"/>
    <w:rsid w:val="008B2272"/>
    <w:rsid w:val="008B6E7C"/>
    <w:rsid w:val="008D2AFA"/>
    <w:rsid w:val="008E10F9"/>
    <w:rsid w:val="009043D2"/>
    <w:rsid w:val="009105EF"/>
    <w:rsid w:val="00910DC8"/>
    <w:rsid w:val="00927A38"/>
    <w:rsid w:val="009616B0"/>
    <w:rsid w:val="00972206"/>
    <w:rsid w:val="0097334E"/>
    <w:rsid w:val="00977646"/>
    <w:rsid w:val="00982D5A"/>
    <w:rsid w:val="009839EA"/>
    <w:rsid w:val="0099612A"/>
    <w:rsid w:val="009A319D"/>
    <w:rsid w:val="009B553C"/>
    <w:rsid w:val="009C18E5"/>
    <w:rsid w:val="009C7DDD"/>
    <w:rsid w:val="009D457B"/>
    <w:rsid w:val="00A0106E"/>
    <w:rsid w:val="00A12710"/>
    <w:rsid w:val="00A31C58"/>
    <w:rsid w:val="00A4274C"/>
    <w:rsid w:val="00A45028"/>
    <w:rsid w:val="00A522E8"/>
    <w:rsid w:val="00A734C1"/>
    <w:rsid w:val="00A81D96"/>
    <w:rsid w:val="00A8700F"/>
    <w:rsid w:val="00A934A2"/>
    <w:rsid w:val="00AB0A24"/>
    <w:rsid w:val="00AC36DF"/>
    <w:rsid w:val="00AD1931"/>
    <w:rsid w:val="00AD38F4"/>
    <w:rsid w:val="00AD3FFE"/>
    <w:rsid w:val="00AE3B74"/>
    <w:rsid w:val="00AE5BE5"/>
    <w:rsid w:val="00AE5CB4"/>
    <w:rsid w:val="00AF00F8"/>
    <w:rsid w:val="00AF2D9C"/>
    <w:rsid w:val="00AF344C"/>
    <w:rsid w:val="00B04D29"/>
    <w:rsid w:val="00B2450F"/>
    <w:rsid w:val="00B24AA1"/>
    <w:rsid w:val="00B4105B"/>
    <w:rsid w:val="00B678C8"/>
    <w:rsid w:val="00B67CDD"/>
    <w:rsid w:val="00B74942"/>
    <w:rsid w:val="00B74DCD"/>
    <w:rsid w:val="00B95F3F"/>
    <w:rsid w:val="00BC1834"/>
    <w:rsid w:val="00BE2011"/>
    <w:rsid w:val="00BE2129"/>
    <w:rsid w:val="00BE3D8D"/>
    <w:rsid w:val="00BF65E2"/>
    <w:rsid w:val="00C01E74"/>
    <w:rsid w:val="00C02E3B"/>
    <w:rsid w:val="00C115A0"/>
    <w:rsid w:val="00C2093A"/>
    <w:rsid w:val="00C30D39"/>
    <w:rsid w:val="00C43010"/>
    <w:rsid w:val="00C44039"/>
    <w:rsid w:val="00C550A8"/>
    <w:rsid w:val="00C57E71"/>
    <w:rsid w:val="00C60E89"/>
    <w:rsid w:val="00C61156"/>
    <w:rsid w:val="00C634D3"/>
    <w:rsid w:val="00C762FA"/>
    <w:rsid w:val="00C82A0C"/>
    <w:rsid w:val="00C95EAC"/>
    <w:rsid w:val="00CA140F"/>
    <w:rsid w:val="00CC44B2"/>
    <w:rsid w:val="00CC7050"/>
    <w:rsid w:val="00CD3DFE"/>
    <w:rsid w:val="00CE155A"/>
    <w:rsid w:val="00CE3919"/>
    <w:rsid w:val="00CF6433"/>
    <w:rsid w:val="00CF652E"/>
    <w:rsid w:val="00D12C8C"/>
    <w:rsid w:val="00D30B09"/>
    <w:rsid w:val="00D33601"/>
    <w:rsid w:val="00D418F2"/>
    <w:rsid w:val="00D61C2C"/>
    <w:rsid w:val="00D800E2"/>
    <w:rsid w:val="00D93536"/>
    <w:rsid w:val="00D9708C"/>
    <w:rsid w:val="00DA411C"/>
    <w:rsid w:val="00DB6813"/>
    <w:rsid w:val="00DC3B80"/>
    <w:rsid w:val="00DC6541"/>
    <w:rsid w:val="00DD44A6"/>
    <w:rsid w:val="00DE7A02"/>
    <w:rsid w:val="00DF0A0C"/>
    <w:rsid w:val="00DF44AB"/>
    <w:rsid w:val="00DF64AA"/>
    <w:rsid w:val="00E149EC"/>
    <w:rsid w:val="00E258EA"/>
    <w:rsid w:val="00E31904"/>
    <w:rsid w:val="00E32C3E"/>
    <w:rsid w:val="00E52255"/>
    <w:rsid w:val="00E6479E"/>
    <w:rsid w:val="00E736B9"/>
    <w:rsid w:val="00E757CA"/>
    <w:rsid w:val="00E800C8"/>
    <w:rsid w:val="00E829D0"/>
    <w:rsid w:val="00E82EC9"/>
    <w:rsid w:val="00E917AE"/>
    <w:rsid w:val="00EA375D"/>
    <w:rsid w:val="00EB26A8"/>
    <w:rsid w:val="00EC797F"/>
    <w:rsid w:val="00EE0B07"/>
    <w:rsid w:val="00EE5E7F"/>
    <w:rsid w:val="00F06F0F"/>
    <w:rsid w:val="00F1591F"/>
    <w:rsid w:val="00F268D5"/>
    <w:rsid w:val="00F34579"/>
    <w:rsid w:val="00F3788D"/>
    <w:rsid w:val="00F42DAD"/>
    <w:rsid w:val="00F457A6"/>
    <w:rsid w:val="00F553B1"/>
    <w:rsid w:val="00F672BB"/>
    <w:rsid w:val="00F8765B"/>
    <w:rsid w:val="00FB4645"/>
    <w:rsid w:val="00FB60FB"/>
    <w:rsid w:val="00FD56EC"/>
    <w:rsid w:val="00FD5F36"/>
    <w:rsid w:val="00FF7C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771E"/>
  <w15:chartTrackingRefBased/>
  <w15:docId w15:val="{97A55585-3F65-44F6-A09F-4F0B9993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6B2"/>
    <w:rPr>
      <w:rFonts w:ascii="Times New Roman" w:hAnsi="Times New Roman"/>
    </w:rPr>
  </w:style>
  <w:style w:type="paragraph" w:styleId="Heading1">
    <w:name w:val="heading 1"/>
    <w:basedOn w:val="Normal"/>
    <w:next w:val="Normal"/>
    <w:link w:val="Heading1Char"/>
    <w:uiPriority w:val="9"/>
    <w:qFormat/>
    <w:rsid w:val="00B678C8"/>
    <w:pPr>
      <w:keepNext/>
      <w:keepLines/>
      <w:numPr>
        <w:numId w:val="15"/>
      </w:numPr>
      <w:spacing w:before="720" w:after="360"/>
      <w:ind w:left="357" w:hanging="357"/>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B678C8"/>
    <w:pPr>
      <w:keepNext/>
      <w:keepLines/>
      <w:spacing w:before="480" w:after="240"/>
      <w:outlineLvl w:val="1"/>
    </w:pPr>
    <w:rPr>
      <w:rFonts w:eastAsiaTheme="majorEastAsia" w:cstheme="majorBidi"/>
      <w:sz w:val="26"/>
      <w:szCs w:val="26"/>
    </w:rPr>
  </w:style>
  <w:style w:type="paragraph" w:styleId="Heading3">
    <w:name w:val="heading 3"/>
    <w:basedOn w:val="Heading2"/>
    <w:next w:val="Normal"/>
    <w:link w:val="Heading3Char"/>
    <w:uiPriority w:val="9"/>
    <w:unhideWhenUsed/>
    <w:qFormat/>
    <w:rsid w:val="00A4274C"/>
    <w:pPr>
      <w:ind w:left="425" w:hanging="425"/>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8C8"/>
    <w:rPr>
      <w:rFonts w:ascii="Times New Roman" w:eastAsiaTheme="majorEastAsia" w:hAnsi="Times New Roman" w:cstheme="majorBidi"/>
      <w:sz w:val="28"/>
      <w:szCs w:val="32"/>
    </w:rPr>
  </w:style>
  <w:style w:type="paragraph" w:styleId="NoSpacing">
    <w:name w:val="No Spacing"/>
    <w:uiPriority w:val="1"/>
    <w:qFormat/>
    <w:rsid w:val="00EA375D"/>
    <w:pPr>
      <w:spacing w:after="0" w:line="240" w:lineRule="auto"/>
    </w:pPr>
    <w:rPr>
      <w:rFonts w:ascii="Times New Roman" w:hAnsi="Times New Roman"/>
    </w:rPr>
  </w:style>
  <w:style w:type="character" w:styleId="PlaceholderText">
    <w:name w:val="Placeholder Text"/>
    <w:basedOn w:val="DefaultParagraphFont"/>
    <w:uiPriority w:val="99"/>
    <w:semiHidden/>
    <w:rsid w:val="00D800E2"/>
    <w:rPr>
      <w:color w:val="808080"/>
    </w:rPr>
  </w:style>
  <w:style w:type="paragraph" w:styleId="FootnoteText">
    <w:name w:val="footnote text"/>
    <w:basedOn w:val="Normal"/>
    <w:link w:val="FootnoteTextChar"/>
    <w:uiPriority w:val="99"/>
    <w:semiHidden/>
    <w:unhideWhenUsed/>
    <w:rsid w:val="001304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046E"/>
    <w:rPr>
      <w:rFonts w:ascii="Times New Roman" w:hAnsi="Times New Roman"/>
      <w:sz w:val="20"/>
      <w:szCs w:val="20"/>
    </w:rPr>
  </w:style>
  <w:style w:type="character" w:styleId="FootnoteReference">
    <w:name w:val="footnote reference"/>
    <w:basedOn w:val="DefaultParagraphFont"/>
    <w:uiPriority w:val="99"/>
    <w:semiHidden/>
    <w:unhideWhenUsed/>
    <w:rsid w:val="0013046E"/>
    <w:rPr>
      <w:vertAlign w:val="superscript"/>
    </w:rPr>
  </w:style>
  <w:style w:type="character" w:customStyle="1" w:styleId="Heading2Char">
    <w:name w:val="Heading 2 Char"/>
    <w:basedOn w:val="DefaultParagraphFont"/>
    <w:link w:val="Heading2"/>
    <w:uiPriority w:val="9"/>
    <w:rsid w:val="00B678C8"/>
    <w:rPr>
      <w:rFonts w:ascii="Times New Roman" w:eastAsiaTheme="majorEastAsia" w:hAnsi="Times New Roman" w:cstheme="majorBidi"/>
      <w:sz w:val="26"/>
      <w:szCs w:val="26"/>
    </w:rPr>
  </w:style>
  <w:style w:type="paragraph" w:styleId="Header">
    <w:name w:val="header"/>
    <w:basedOn w:val="Normal"/>
    <w:link w:val="HeaderChar"/>
    <w:uiPriority w:val="99"/>
    <w:unhideWhenUsed/>
    <w:rsid w:val="00F34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579"/>
    <w:rPr>
      <w:rFonts w:ascii="Times New Roman" w:hAnsi="Times New Roman"/>
    </w:rPr>
  </w:style>
  <w:style w:type="paragraph" w:styleId="Footer">
    <w:name w:val="footer"/>
    <w:basedOn w:val="Normal"/>
    <w:link w:val="FooterChar"/>
    <w:uiPriority w:val="99"/>
    <w:unhideWhenUsed/>
    <w:rsid w:val="00F34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579"/>
    <w:rPr>
      <w:rFonts w:ascii="Times New Roman" w:hAnsi="Times New Roman"/>
    </w:rPr>
  </w:style>
  <w:style w:type="character" w:styleId="Hyperlink">
    <w:name w:val="Hyperlink"/>
    <w:basedOn w:val="DefaultParagraphFont"/>
    <w:uiPriority w:val="99"/>
    <w:unhideWhenUsed/>
    <w:rsid w:val="006B139A"/>
    <w:rPr>
      <w:color w:val="0563C1" w:themeColor="hyperlink"/>
      <w:u w:val="single"/>
    </w:rPr>
  </w:style>
  <w:style w:type="character" w:customStyle="1" w:styleId="Heading3Char">
    <w:name w:val="Heading 3 Char"/>
    <w:basedOn w:val="DefaultParagraphFont"/>
    <w:link w:val="Heading3"/>
    <w:uiPriority w:val="9"/>
    <w:rsid w:val="00A4274C"/>
    <w:rPr>
      <w:rFonts w:ascii="Times New Roman" w:eastAsiaTheme="majorEastAsia" w:hAnsi="Times New Roman" w:cstheme="majorBidi"/>
      <w:sz w:val="26"/>
      <w:szCs w:val="26"/>
    </w:rPr>
  </w:style>
  <w:style w:type="paragraph" w:styleId="ListParagraph">
    <w:name w:val="List Paragraph"/>
    <w:basedOn w:val="Normal"/>
    <w:uiPriority w:val="34"/>
    <w:qFormat/>
    <w:rsid w:val="000D6433"/>
    <w:pPr>
      <w:ind w:left="720"/>
      <w:contextualSpacing/>
    </w:pPr>
  </w:style>
  <w:style w:type="character" w:styleId="FollowedHyperlink">
    <w:name w:val="FollowedHyperlink"/>
    <w:basedOn w:val="DefaultParagraphFont"/>
    <w:uiPriority w:val="99"/>
    <w:semiHidden/>
    <w:unhideWhenUsed/>
    <w:rsid w:val="00CC7050"/>
    <w:rPr>
      <w:color w:val="954F72" w:themeColor="followedHyperlink"/>
      <w:u w:val="single"/>
    </w:rPr>
  </w:style>
  <w:style w:type="character" w:styleId="CommentReference">
    <w:name w:val="annotation reference"/>
    <w:basedOn w:val="DefaultParagraphFont"/>
    <w:uiPriority w:val="99"/>
    <w:semiHidden/>
    <w:unhideWhenUsed/>
    <w:rsid w:val="009616B0"/>
    <w:rPr>
      <w:sz w:val="16"/>
      <w:szCs w:val="16"/>
    </w:rPr>
  </w:style>
  <w:style w:type="paragraph" w:styleId="CommentText">
    <w:name w:val="annotation text"/>
    <w:basedOn w:val="Normal"/>
    <w:link w:val="CommentTextChar"/>
    <w:uiPriority w:val="99"/>
    <w:semiHidden/>
    <w:unhideWhenUsed/>
    <w:rsid w:val="009616B0"/>
    <w:pPr>
      <w:spacing w:line="240" w:lineRule="auto"/>
    </w:pPr>
    <w:rPr>
      <w:sz w:val="20"/>
      <w:szCs w:val="20"/>
    </w:rPr>
  </w:style>
  <w:style w:type="character" w:customStyle="1" w:styleId="CommentTextChar">
    <w:name w:val="Comment Text Char"/>
    <w:basedOn w:val="DefaultParagraphFont"/>
    <w:link w:val="CommentText"/>
    <w:uiPriority w:val="99"/>
    <w:semiHidden/>
    <w:rsid w:val="009616B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616B0"/>
    <w:rPr>
      <w:b/>
      <w:bCs/>
    </w:rPr>
  </w:style>
  <w:style w:type="character" w:customStyle="1" w:styleId="CommentSubjectChar">
    <w:name w:val="Comment Subject Char"/>
    <w:basedOn w:val="CommentTextChar"/>
    <w:link w:val="CommentSubject"/>
    <w:uiPriority w:val="99"/>
    <w:semiHidden/>
    <w:rsid w:val="009616B0"/>
    <w:rPr>
      <w:rFonts w:ascii="Times New Roman" w:hAnsi="Times New Roman"/>
      <w:b/>
      <w:bCs/>
      <w:sz w:val="20"/>
      <w:szCs w:val="20"/>
    </w:rPr>
  </w:style>
  <w:style w:type="paragraph" w:styleId="BalloonText">
    <w:name w:val="Balloon Text"/>
    <w:basedOn w:val="Normal"/>
    <w:link w:val="BalloonTextChar"/>
    <w:uiPriority w:val="99"/>
    <w:semiHidden/>
    <w:unhideWhenUsed/>
    <w:rsid w:val="00961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48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metalogdistributions.com" TargetMode="External"/><Relationship Id="rId2" Type="http://schemas.openxmlformats.org/officeDocument/2006/relationships/hyperlink" Target="mailto:patrice.dion@canada.ca" TargetMode="External"/><Relationship Id="rId1" Type="http://schemas.openxmlformats.org/officeDocument/2006/relationships/hyperlink" Target="mailto:elham.sirag@canad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76CA3-13C8-4848-9FCF-64584891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2722</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StatCan</Company>
  <LinksUpToDate>false</LinksUpToDate>
  <CharactersWithSpaces>18208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Sirag, Elham - DEM/DEM</dc:creator>
  <cp:keywords/>
  <dc:description/>
  <cp:lastModifiedBy>Patrice</cp:lastModifiedBy>
  <cp:revision>3</cp:revision>
  <cp:lastPrinted>2019-12-09T15:09:00Z</cp:lastPrinted>
  <dcterms:created xsi:type="dcterms:W3CDTF">2019-12-16T15:03:00Z</dcterms:created>
  <dcterms:modified xsi:type="dcterms:W3CDTF">2019-12-17T20:02:00Z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346773738</vt:i4>
  </property>
  <property fmtid="{D5CDD505-2E9C-101B-9397-08002B2CF9AE}" pid="3" name="_NewReviewCycle">
    <vt:lpwstr/>
  </property>
  <property fmtid="{D5CDD505-2E9C-101B-9397-08002B2CF9AE}" pid="4" name="_EmailSubject">
    <vt:lpwstr>Expert Survey and guide</vt:lpwstr>
  </property>
  <property fmtid="{D5CDD505-2E9C-101B-9397-08002B2CF9AE}" pid="5" name="_AuthorEmail">
    <vt:lpwstr>patrice.dion@canada.ca</vt:lpwstr>
  </property>
  <property fmtid="{D5CDD505-2E9C-101B-9397-08002B2CF9AE}" pid="6" name="_AuthorEmailDisplayName">
    <vt:lpwstr>Dion, Patrice (STATCAN)</vt:lpwstr>
  </property>
  <property fmtid="{D5CDD505-2E9C-101B-9397-08002B2CF9AE}" pid="8" name="_PreviousAdHocReviewCycleID">
    <vt:i4>346773738</vt:i4>
  </property>
</Properties>
</file>