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2E7" w:rsidRDefault="00B852E7" w:rsidP="00B852E7">
      <w:pPr>
        <w:spacing w:after="0" w:line="480" w:lineRule="auto"/>
        <w:jc w:val="both"/>
        <w:rPr>
          <w:rFonts w:ascii="Times New Roman" w:hAnsi="Times New Roman" w:cs="Times New Roman"/>
          <w:sz w:val="24"/>
          <w:szCs w:val="24"/>
          <w:lang w:val="en-US"/>
        </w:rPr>
      </w:pPr>
      <w:r w:rsidRPr="00F43FCE">
        <w:rPr>
          <w:rFonts w:ascii="Times New Roman" w:hAnsi="Times New Roman" w:cs="Times New Roman"/>
          <w:sz w:val="24"/>
          <w:szCs w:val="24"/>
          <w:lang w:val="en-US"/>
        </w:rPr>
        <w:t>Table 2 contains an overview of all included studies and the coded interventions as Specific Resistance Resources (SRR</w:t>
      </w:r>
      <w:r>
        <w:rPr>
          <w:rFonts w:ascii="Times New Roman" w:hAnsi="Times New Roman" w:cs="Times New Roman"/>
          <w:sz w:val="24"/>
          <w:szCs w:val="24"/>
          <w:lang w:val="en-US"/>
        </w:rPr>
        <w:t>s</w:t>
      </w:r>
      <w:r w:rsidRPr="00F43FCE">
        <w:rPr>
          <w:rFonts w:ascii="Times New Roman" w:hAnsi="Times New Roman" w:cs="Times New Roman"/>
          <w:sz w:val="24"/>
          <w:szCs w:val="24"/>
          <w:lang w:val="en-US"/>
        </w:rPr>
        <w:t>) and/or General Resistance Resources (GRR</w:t>
      </w:r>
      <w:r>
        <w:rPr>
          <w:rFonts w:ascii="Times New Roman" w:hAnsi="Times New Roman" w:cs="Times New Roman"/>
          <w:sz w:val="24"/>
          <w:szCs w:val="24"/>
          <w:lang w:val="en-US"/>
        </w:rPr>
        <w:t>s</w:t>
      </w:r>
      <w:r w:rsidRPr="00F43FCE">
        <w:rPr>
          <w:rFonts w:ascii="Times New Roman" w:hAnsi="Times New Roman" w:cs="Times New Roman"/>
          <w:sz w:val="24"/>
          <w:szCs w:val="24"/>
          <w:lang w:val="en-US"/>
        </w:rPr>
        <w:t xml:space="preserve">), Whole Person Approach (WPA), Active adaptation (A), Stressors and tension as potentially health-promoting (ST) and </w:t>
      </w:r>
      <w:r>
        <w:rPr>
          <w:rFonts w:ascii="Times New Roman" w:hAnsi="Times New Roman" w:cs="Times New Roman"/>
          <w:sz w:val="24"/>
          <w:szCs w:val="24"/>
          <w:lang w:val="en-US"/>
        </w:rPr>
        <w:t xml:space="preserve">the </w:t>
      </w:r>
      <w:r w:rsidRPr="00F43FCE">
        <w:rPr>
          <w:rFonts w:ascii="Times New Roman" w:hAnsi="Times New Roman" w:cs="Times New Roman"/>
          <w:sz w:val="24"/>
          <w:szCs w:val="24"/>
          <w:lang w:val="en-US"/>
        </w:rPr>
        <w:t xml:space="preserve">SOC as a learning process (L). </w:t>
      </w:r>
    </w:p>
    <w:p w:rsidR="00B852E7" w:rsidRDefault="00B852E7" w:rsidP="00B852E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B852E7" w:rsidRDefault="00B852E7" w:rsidP="00B852E7">
      <w:pPr>
        <w:pStyle w:val="TableParagraph"/>
        <w:spacing w:before="7" w:line="124" w:lineRule="exact"/>
        <w:ind w:left="28"/>
        <w:rPr>
          <w:b/>
          <w:w w:val="105"/>
          <w:sz w:val="12"/>
        </w:rPr>
        <w:sectPr w:rsidR="00B852E7">
          <w:pgSz w:w="11906" w:h="16838"/>
          <w:pgMar w:top="1417" w:right="1417" w:bottom="1417" w:left="1417" w:header="708" w:footer="708" w:gutter="0"/>
          <w:cols w:space="708"/>
          <w:docGrid w:linePitch="360"/>
        </w:sectPr>
      </w:pPr>
    </w:p>
    <w:tbl>
      <w:tblPr>
        <w:tblW w:w="16026" w:type="dxa"/>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86"/>
        <w:gridCol w:w="357"/>
        <w:gridCol w:w="683"/>
        <w:gridCol w:w="1586"/>
        <w:gridCol w:w="657"/>
        <w:gridCol w:w="1528"/>
        <w:gridCol w:w="2815"/>
        <w:gridCol w:w="2777"/>
        <w:gridCol w:w="842"/>
        <w:gridCol w:w="804"/>
        <w:gridCol w:w="936"/>
        <w:gridCol w:w="1755"/>
      </w:tblGrid>
      <w:tr w:rsidR="00B852E7" w:rsidRPr="00C65587" w:rsidTr="00B852E7">
        <w:trPr>
          <w:trHeight w:val="150"/>
        </w:trPr>
        <w:tc>
          <w:tcPr>
            <w:tcW w:w="16026" w:type="dxa"/>
            <w:gridSpan w:val="12"/>
            <w:tcBorders>
              <w:bottom w:val="single" w:sz="4" w:space="0" w:color="000000"/>
            </w:tcBorders>
          </w:tcPr>
          <w:p w:rsidR="00B852E7" w:rsidRDefault="00B852E7" w:rsidP="00675923">
            <w:pPr>
              <w:pStyle w:val="TableParagraph"/>
              <w:spacing w:before="7" w:line="124" w:lineRule="exact"/>
              <w:ind w:left="28"/>
              <w:rPr>
                <w:b/>
                <w:sz w:val="12"/>
              </w:rPr>
            </w:pPr>
            <w:r>
              <w:rPr>
                <w:b/>
                <w:w w:val="105"/>
                <w:sz w:val="12"/>
              </w:rPr>
              <w:lastRenderedPageBreak/>
              <w:t>Table 2. Overview of the included articles</w:t>
            </w:r>
          </w:p>
        </w:tc>
      </w:tr>
      <w:tr w:rsidR="00B852E7" w:rsidTr="00B852E7">
        <w:trPr>
          <w:trHeight w:val="489"/>
        </w:trPr>
        <w:tc>
          <w:tcPr>
            <w:tcW w:w="1286" w:type="dxa"/>
            <w:tcBorders>
              <w:top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4"/>
              <w:ind w:left="0"/>
              <w:rPr>
                <w:rFonts w:ascii="Times New Roman"/>
                <w:sz w:val="15"/>
              </w:rPr>
            </w:pPr>
          </w:p>
          <w:p w:rsidR="00B852E7" w:rsidRDefault="00B852E7" w:rsidP="00675923">
            <w:pPr>
              <w:pStyle w:val="TableParagraph"/>
              <w:spacing w:before="1" w:line="131" w:lineRule="exact"/>
              <w:ind w:left="28"/>
              <w:rPr>
                <w:b/>
                <w:sz w:val="12"/>
              </w:rPr>
            </w:pPr>
            <w:r>
              <w:rPr>
                <w:b/>
                <w:w w:val="105"/>
                <w:sz w:val="12"/>
              </w:rPr>
              <w:t>Authors</w:t>
            </w:r>
          </w:p>
        </w:tc>
        <w:tc>
          <w:tcPr>
            <w:tcW w:w="357" w:type="dxa"/>
            <w:tcBorders>
              <w:top w:val="single" w:sz="4" w:space="0" w:color="000000"/>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4"/>
              <w:ind w:left="0"/>
              <w:rPr>
                <w:rFonts w:ascii="Times New Roman"/>
                <w:sz w:val="15"/>
              </w:rPr>
            </w:pPr>
          </w:p>
          <w:p w:rsidR="00B852E7" w:rsidRDefault="00B852E7" w:rsidP="00675923">
            <w:pPr>
              <w:pStyle w:val="TableParagraph"/>
              <w:spacing w:before="1" w:line="131" w:lineRule="exact"/>
              <w:ind w:left="32"/>
              <w:rPr>
                <w:b/>
                <w:sz w:val="12"/>
              </w:rPr>
            </w:pPr>
            <w:r>
              <w:rPr>
                <w:b/>
                <w:w w:val="105"/>
                <w:sz w:val="12"/>
              </w:rPr>
              <w:t>Year</w:t>
            </w:r>
          </w:p>
        </w:tc>
        <w:tc>
          <w:tcPr>
            <w:tcW w:w="683" w:type="dxa"/>
            <w:tcBorders>
              <w:top w:val="single" w:sz="4" w:space="0" w:color="000000"/>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4"/>
              <w:ind w:left="0"/>
              <w:rPr>
                <w:rFonts w:ascii="Times New Roman"/>
                <w:sz w:val="15"/>
              </w:rPr>
            </w:pPr>
          </w:p>
          <w:p w:rsidR="00B852E7" w:rsidRDefault="00B852E7" w:rsidP="00675923">
            <w:pPr>
              <w:pStyle w:val="TableParagraph"/>
              <w:spacing w:before="1" w:line="131" w:lineRule="exact"/>
              <w:ind w:left="33"/>
              <w:rPr>
                <w:b/>
                <w:sz w:val="12"/>
              </w:rPr>
            </w:pPr>
            <w:r>
              <w:rPr>
                <w:b/>
                <w:w w:val="105"/>
                <w:sz w:val="12"/>
              </w:rPr>
              <w:t>Country</w:t>
            </w:r>
          </w:p>
        </w:tc>
        <w:tc>
          <w:tcPr>
            <w:tcW w:w="1586" w:type="dxa"/>
            <w:tcBorders>
              <w:top w:val="single" w:sz="4" w:space="0" w:color="000000"/>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4"/>
              <w:ind w:left="0"/>
              <w:rPr>
                <w:rFonts w:ascii="Times New Roman"/>
                <w:sz w:val="15"/>
              </w:rPr>
            </w:pPr>
          </w:p>
          <w:p w:rsidR="00B852E7" w:rsidRDefault="00B852E7" w:rsidP="00675923">
            <w:pPr>
              <w:pStyle w:val="TableParagraph"/>
              <w:spacing w:before="1" w:line="131" w:lineRule="exact"/>
              <w:ind w:left="33"/>
              <w:rPr>
                <w:b/>
                <w:sz w:val="12"/>
              </w:rPr>
            </w:pPr>
            <w:r>
              <w:rPr>
                <w:b/>
                <w:w w:val="105"/>
                <w:sz w:val="12"/>
              </w:rPr>
              <w:t>Title</w:t>
            </w:r>
          </w:p>
        </w:tc>
        <w:tc>
          <w:tcPr>
            <w:tcW w:w="657" w:type="dxa"/>
            <w:tcBorders>
              <w:top w:val="single" w:sz="4" w:space="0" w:color="000000"/>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4"/>
              <w:ind w:left="0"/>
              <w:rPr>
                <w:rFonts w:ascii="Times New Roman"/>
                <w:sz w:val="15"/>
              </w:rPr>
            </w:pPr>
          </w:p>
          <w:p w:rsidR="00B852E7" w:rsidRDefault="00B852E7" w:rsidP="00675923">
            <w:pPr>
              <w:pStyle w:val="TableParagraph"/>
              <w:spacing w:before="1" w:line="131" w:lineRule="exact"/>
              <w:ind w:left="34"/>
              <w:rPr>
                <w:b/>
                <w:sz w:val="12"/>
              </w:rPr>
            </w:pPr>
            <w:r>
              <w:rPr>
                <w:b/>
                <w:w w:val="105"/>
                <w:sz w:val="12"/>
              </w:rPr>
              <w:t>Method</w:t>
            </w:r>
          </w:p>
        </w:tc>
        <w:tc>
          <w:tcPr>
            <w:tcW w:w="1528" w:type="dxa"/>
            <w:tcBorders>
              <w:top w:val="single" w:sz="4" w:space="0" w:color="000000"/>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4"/>
              <w:ind w:left="0"/>
              <w:rPr>
                <w:rFonts w:ascii="Times New Roman"/>
                <w:sz w:val="15"/>
              </w:rPr>
            </w:pPr>
          </w:p>
          <w:p w:rsidR="00B852E7" w:rsidRDefault="00B852E7" w:rsidP="00675923">
            <w:pPr>
              <w:pStyle w:val="TableParagraph"/>
              <w:spacing w:before="1" w:line="131" w:lineRule="exact"/>
              <w:rPr>
                <w:b/>
                <w:sz w:val="12"/>
              </w:rPr>
            </w:pPr>
            <w:r>
              <w:rPr>
                <w:b/>
                <w:w w:val="105"/>
                <w:sz w:val="12"/>
              </w:rPr>
              <w:t>Sample</w:t>
            </w:r>
          </w:p>
        </w:tc>
        <w:tc>
          <w:tcPr>
            <w:tcW w:w="2815" w:type="dxa"/>
            <w:tcBorders>
              <w:top w:val="single" w:sz="4" w:space="0" w:color="000000"/>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4"/>
              <w:ind w:left="0"/>
              <w:rPr>
                <w:rFonts w:ascii="Times New Roman"/>
                <w:sz w:val="15"/>
              </w:rPr>
            </w:pPr>
          </w:p>
          <w:p w:rsidR="00B852E7" w:rsidRDefault="00B852E7" w:rsidP="00675923">
            <w:pPr>
              <w:pStyle w:val="TableParagraph"/>
              <w:spacing w:before="1" w:line="131" w:lineRule="exact"/>
              <w:ind w:left="36"/>
              <w:rPr>
                <w:b/>
                <w:sz w:val="12"/>
              </w:rPr>
            </w:pPr>
            <w:r>
              <w:rPr>
                <w:b/>
                <w:w w:val="105"/>
                <w:sz w:val="12"/>
              </w:rPr>
              <w:t>Type of intervention(s)</w:t>
            </w:r>
          </w:p>
        </w:tc>
        <w:tc>
          <w:tcPr>
            <w:tcW w:w="2777" w:type="dxa"/>
            <w:tcBorders>
              <w:top w:val="single" w:sz="4" w:space="0" w:color="000000"/>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4"/>
              <w:ind w:left="0"/>
              <w:rPr>
                <w:rFonts w:ascii="Times New Roman"/>
                <w:sz w:val="15"/>
              </w:rPr>
            </w:pPr>
          </w:p>
          <w:p w:rsidR="00B852E7" w:rsidRDefault="00B852E7" w:rsidP="00675923">
            <w:pPr>
              <w:pStyle w:val="TableParagraph"/>
              <w:spacing w:before="1" w:line="131" w:lineRule="exact"/>
              <w:ind w:left="36"/>
              <w:rPr>
                <w:b/>
                <w:sz w:val="12"/>
              </w:rPr>
            </w:pPr>
            <w:r>
              <w:rPr>
                <w:b/>
                <w:w w:val="105"/>
                <w:sz w:val="12"/>
              </w:rPr>
              <w:t>Salutogenic intervention content.</w:t>
            </w:r>
          </w:p>
        </w:tc>
        <w:tc>
          <w:tcPr>
            <w:tcW w:w="842" w:type="dxa"/>
            <w:tcBorders>
              <w:top w:val="single" w:sz="4" w:space="0" w:color="000000"/>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6"/>
              <w:ind w:left="0"/>
              <w:rPr>
                <w:rFonts w:ascii="Times New Roman"/>
                <w:sz w:val="13"/>
              </w:rPr>
            </w:pPr>
          </w:p>
          <w:p w:rsidR="00B852E7" w:rsidRDefault="00B852E7" w:rsidP="00675923">
            <w:pPr>
              <w:pStyle w:val="TableParagraph"/>
              <w:spacing w:before="0" w:line="160" w:lineRule="atLeast"/>
              <w:ind w:left="37" w:right="60"/>
              <w:rPr>
                <w:b/>
                <w:sz w:val="12"/>
              </w:rPr>
            </w:pPr>
            <w:r>
              <w:rPr>
                <w:b/>
                <w:w w:val="105"/>
                <w:sz w:val="12"/>
              </w:rPr>
              <w:t>Salutogenic criteria*</w:t>
            </w:r>
          </w:p>
        </w:tc>
        <w:tc>
          <w:tcPr>
            <w:tcW w:w="804" w:type="dxa"/>
            <w:tcBorders>
              <w:top w:val="single" w:sz="4" w:space="0" w:color="000000"/>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17"/>
              <w:ind w:left="37"/>
              <w:rPr>
                <w:b/>
                <w:sz w:val="12"/>
              </w:rPr>
            </w:pPr>
            <w:r>
              <w:rPr>
                <w:b/>
                <w:w w:val="105"/>
                <w:sz w:val="12"/>
              </w:rPr>
              <w:t>SOC</w:t>
            </w:r>
          </w:p>
          <w:p w:rsidR="00B852E7" w:rsidRDefault="00B852E7" w:rsidP="00675923">
            <w:pPr>
              <w:pStyle w:val="TableParagraph"/>
              <w:spacing w:before="0" w:line="160" w:lineRule="atLeast"/>
              <w:ind w:left="37" w:right="164"/>
              <w:rPr>
                <w:b/>
                <w:sz w:val="12"/>
              </w:rPr>
            </w:pPr>
            <w:r>
              <w:rPr>
                <w:b/>
                <w:spacing w:val="-1"/>
                <w:w w:val="105"/>
                <w:sz w:val="12"/>
              </w:rPr>
              <w:t>Question</w:t>
            </w:r>
            <w:r>
              <w:rPr>
                <w:b/>
                <w:w w:val="105"/>
                <w:sz w:val="12"/>
              </w:rPr>
              <w:t>naire</w:t>
            </w:r>
          </w:p>
        </w:tc>
        <w:tc>
          <w:tcPr>
            <w:tcW w:w="936" w:type="dxa"/>
            <w:tcBorders>
              <w:top w:val="single" w:sz="4" w:space="0" w:color="000000"/>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6"/>
              <w:ind w:left="0"/>
              <w:rPr>
                <w:rFonts w:ascii="Times New Roman"/>
                <w:sz w:val="13"/>
              </w:rPr>
            </w:pPr>
          </w:p>
          <w:p w:rsidR="00B852E7" w:rsidRDefault="00B852E7" w:rsidP="00675923">
            <w:pPr>
              <w:pStyle w:val="TableParagraph"/>
              <w:spacing w:before="0" w:line="160" w:lineRule="atLeast"/>
              <w:ind w:left="38"/>
              <w:rPr>
                <w:b/>
                <w:sz w:val="12"/>
              </w:rPr>
            </w:pPr>
            <w:r>
              <w:rPr>
                <w:b/>
                <w:w w:val="105"/>
                <w:sz w:val="12"/>
              </w:rPr>
              <w:t>Assessment points</w:t>
            </w:r>
          </w:p>
        </w:tc>
        <w:tc>
          <w:tcPr>
            <w:tcW w:w="1755" w:type="dxa"/>
            <w:tcBorders>
              <w:top w:val="single" w:sz="4" w:space="0" w:color="000000"/>
              <w:left w:val="single" w:sz="4" w:space="0" w:color="000000"/>
              <w:bottom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4"/>
              <w:ind w:left="0"/>
              <w:rPr>
                <w:rFonts w:ascii="Times New Roman"/>
                <w:sz w:val="15"/>
              </w:rPr>
            </w:pPr>
          </w:p>
          <w:p w:rsidR="00B852E7" w:rsidRDefault="00B852E7" w:rsidP="00675923">
            <w:pPr>
              <w:pStyle w:val="TableParagraph"/>
              <w:spacing w:before="1" w:line="131" w:lineRule="exact"/>
              <w:ind w:left="38"/>
              <w:rPr>
                <w:b/>
                <w:sz w:val="12"/>
              </w:rPr>
            </w:pPr>
            <w:r>
              <w:rPr>
                <w:b/>
                <w:w w:val="105"/>
                <w:sz w:val="12"/>
              </w:rPr>
              <w:t>Result SOC**</w:t>
            </w:r>
          </w:p>
        </w:tc>
      </w:tr>
      <w:tr w:rsidR="00B852E7" w:rsidTr="00B852E7">
        <w:trPr>
          <w:trHeight w:val="1405"/>
        </w:trPr>
        <w:tc>
          <w:tcPr>
            <w:tcW w:w="1286" w:type="dxa"/>
            <w:tcBorders>
              <w:top w:val="single" w:sz="4" w:space="0" w:color="000000"/>
              <w:bottom w:val="single" w:sz="2" w:space="0" w:color="000000"/>
              <w:right w:val="single" w:sz="2" w:space="0" w:color="000000"/>
            </w:tcBorders>
          </w:tcPr>
          <w:p w:rsidR="00B852E7" w:rsidRPr="0091233F" w:rsidRDefault="00B852E7" w:rsidP="00675923">
            <w:pPr>
              <w:pStyle w:val="TableParagraph"/>
              <w:spacing w:before="9" w:line="276" w:lineRule="auto"/>
              <w:ind w:left="23" w:right="147"/>
              <w:rPr>
                <w:sz w:val="10"/>
                <w:lang w:val="nb-NO"/>
              </w:rPr>
            </w:pPr>
            <w:r w:rsidRPr="0091233F">
              <w:rPr>
                <w:w w:val="105"/>
                <w:sz w:val="10"/>
                <w:lang w:val="nb-NO"/>
              </w:rPr>
              <w:t>Arola, IA, Barenfeld, E, Dahlin-Ivanoff, S, Häggblom-Kronlöf, G.</w:t>
            </w:r>
          </w:p>
        </w:tc>
        <w:tc>
          <w:tcPr>
            <w:tcW w:w="357"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ind w:left="30"/>
              <w:rPr>
                <w:sz w:val="10"/>
              </w:rPr>
            </w:pPr>
            <w:r>
              <w:rPr>
                <w:w w:val="105"/>
                <w:sz w:val="10"/>
              </w:rPr>
              <w:t>2018</w:t>
            </w:r>
          </w:p>
        </w:tc>
        <w:tc>
          <w:tcPr>
            <w:tcW w:w="683"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ind w:left="30"/>
              <w:rPr>
                <w:sz w:val="10"/>
              </w:rPr>
            </w:pPr>
            <w:r>
              <w:rPr>
                <w:w w:val="105"/>
                <w:sz w:val="10"/>
              </w:rPr>
              <w:t>Sweden</w:t>
            </w:r>
          </w:p>
        </w:tc>
        <w:tc>
          <w:tcPr>
            <w:tcW w:w="1586"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1"/>
              <w:rPr>
                <w:sz w:val="10"/>
              </w:rPr>
            </w:pPr>
            <w:r>
              <w:rPr>
                <w:w w:val="105"/>
                <w:sz w:val="10"/>
              </w:rPr>
              <w:t>Distribution and evaluation of sense of coherence among older immigrants before and after a health promotion intervention – results from the RCT study promoting aging migrants’ capability</w:t>
            </w:r>
          </w:p>
        </w:tc>
        <w:tc>
          <w:tcPr>
            <w:tcW w:w="657"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ind w:left="32"/>
              <w:rPr>
                <w:sz w:val="10"/>
              </w:rPr>
            </w:pPr>
            <w:r>
              <w:rPr>
                <w:w w:val="105"/>
                <w:sz w:val="10"/>
              </w:rPr>
              <w:t>RCT</w:t>
            </w:r>
          </w:p>
        </w:tc>
        <w:tc>
          <w:tcPr>
            <w:tcW w:w="1528"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line="273" w:lineRule="auto"/>
              <w:ind w:left="33" w:right="75"/>
              <w:rPr>
                <w:sz w:val="10"/>
              </w:rPr>
            </w:pPr>
            <w:r>
              <w:rPr>
                <w:w w:val="105"/>
                <w:sz w:val="10"/>
              </w:rPr>
              <w:t xml:space="preserve">Older immigrants aged </w:t>
            </w:r>
            <w:r>
              <w:rPr>
                <w:rFonts w:ascii="Calibri" w:hAnsi="Calibri"/>
                <w:w w:val="105"/>
                <w:sz w:val="10"/>
              </w:rPr>
              <w:t>≥</w:t>
            </w:r>
            <w:r>
              <w:rPr>
                <w:w w:val="105"/>
                <w:sz w:val="10"/>
              </w:rPr>
              <w:t>70 years. Intervention group (n=56). Control group (n= 75).</w:t>
            </w:r>
          </w:p>
        </w:tc>
        <w:tc>
          <w:tcPr>
            <w:tcW w:w="2815"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4" w:right="53"/>
              <w:rPr>
                <w:sz w:val="10"/>
              </w:rPr>
            </w:pPr>
            <w:r>
              <w:rPr>
                <w:w w:val="105"/>
                <w:sz w:val="10"/>
              </w:rPr>
              <w:t>The intervention consisted of four group meetings; “senior meetings” (SMs) and one follow-up home visit. The interventions used a person-centered approach. It aims to create encounters where participants support one another to make decisions in daily life that support their overall health. Control group: Access to ordinary range of health services</w:t>
            </w:r>
          </w:p>
        </w:tc>
        <w:tc>
          <w:tcPr>
            <w:tcW w:w="2777"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4" w:right="16"/>
              <w:rPr>
                <w:sz w:val="10"/>
              </w:rPr>
            </w:pPr>
            <w:r>
              <w:rPr>
                <w:w w:val="105"/>
                <w:sz w:val="10"/>
              </w:rPr>
              <w:t>A focus on the person as an individual person beyond any diagnoses or illnesses. Social support by creating encounters where participants support one another to make decisions in daily life that support their overall health. Sharing knowledge and strategies with one another. They explore their experiences in attempting to maintain and strengthen their health in daily life, together with other participants and with professionals. This creates better opportunities for the person to transfer knowledge into action in daily</w:t>
            </w:r>
            <w:r>
              <w:rPr>
                <w:spacing w:val="-12"/>
                <w:w w:val="105"/>
                <w:sz w:val="10"/>
              </w:rPr>
              <w:t xml:space="preserve"> </w:t>
            </w:r>
            <w:r>
              <w:rPr>
                <w:w w:val="105"/>
                <w:sz w:val="10"/>
              </w:rPr>
              <w:t>life.</w:t>
            </w:r>
          </w:p>
        </w:tc>
        <w:tc>
          <w:tcPr>
            <w:tcW w:w="842"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14" w:line="285" w:lineRule="auto"/>
              <w:ind w:right="-18"/>
              <w:rPr>
                <w:b/>
                <w:sz w:val="10"/>
              </w:rPr>
            </w:pPr>
            <w:r>
              <w:rPr>
                <w:b/>
                <w:w w:val="105"/>
                <w:sz w:val="10"/>
              </w:rPr>
              <w:t>A, L, GRRs, SRRs, WPA</w:t>
            </w:r>
          </w:p>
        </w:tc>
        <w:tc>
          <w:tcPr>
            <w:tcW w:w="804"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rPr>
                <w:sz w:val="10"/>
              </w:rPr>
            </w:pPr>
            <w:r>
              <w:rPr>
                <w:w w:val="105"/>
                <w:sz w:val="10"/>
              </w:rPr>
              <w:t>SOC-13</w:t>
            </w:r>
          </w:p>
          <w:p w:rsidR="00B852E7" w:rsidRDefault="00B852E7" w:rsidP="00675923">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right="-41"/>
              <w:rPr>
                <w:sz w:val="10"/>
              </w:rPr>
            </w:pPr>
            <w:r>
              <w:rPr>
                <w:w w:val="105"/>
                <w:sz w:val="10"/>
              </w:rPr>
              <w:t>Before &amp; after intervention (6 months) and follow- up at 12</w:t>
            </w:r>
            <w:r>
              <w:rPr>
                <w:spacing w:val="22"/>
                <w:w w:val="105"/>
                <w:sz w:val="10"/>
              </w:rPr>
              <w:t xml:space="preserve"> </w:t>
            </w:r>
            <w:r>
              <w:rPr>
                <w:w w:val="105"/>
                <w:sz w:val="10"/>
              </w:rPr>
              <w:t>months.</w:t>
            </w:r>
          </w:p>
        </w:tc>
        <w:tc>
          <w:tcPr>
            <w:tcW w:w="1755" w:type="dxa"/>
            <w:tcBorders>
              <w:top w:val="single" w:sz="4" w:space="0" w:color="000000"/>
              <w:left w:val="single" w:sz="2" w:space="0" w:color="000000"/>
              <w:bottom w:val="single" w:sz="2" w:space="0" w:color="000000"/>
            </w:tcBorders>
          </w:tcPr>
          <w:p w:rsidR="00B852E7" w:rsidRDefault="00B852E7" w:rsidP="00675923">
            <w:pPr>
              <w:pStyle w:val="TableParagraph"/>
              <w:spacing w:before="9" w:line="276" w:lineRule="auto"/>
              <w:ind w:right="4"/>
              <w:rPr>
                <w:sz w:val="10"/>
              </w:rPr>
            </w:pPr>
            <w:r>
              <w:rPr>
                <w:w w:val="105"/>
                <w:sz w:val="10"/>
              </w:rPr>
              <w:t>Intervention group baseline:68.9. Control group baseline:71.5. At 6 months: CI Change 2.23 (1.05-4,77) in favour of intervention group. No significant differences between groups at 12 months.</w:t>
            </w:r>
          </w:p>
        </w:tc>
      </w:tr>
      <w:tr w:rsidR="00B852E7" w:rsidRPr="00C65587" w:rsidTr="00B852E7">
        <w:trPr>
          <w:trHeight w:val="1547"/>
        </w:trPr>
        <w:tc>
          <w:tcPr>
            <w:tcW w:w="1286" w:type="dxa"/>
            <w:tcBorders>
              <w:top w:val="single" w:sz="2" w:space="0" w:color="000000"/>
              <w:bottom w:val="single" w:sz="2" w:space="0" w:color="000000"/>
              <w:right w:val="single" w:sz="2" w:space="0" w:color="000000"/>
            </w:tcBorders>
          </w:tcPr>
          <w:p w:rsidR="00B852E7" w:rsidRPr="0091233F" w:rsidRDefault="00B852E7" w:rsidP="00675923">
            <w:pPr>
              <w:pStyle w:val="TableParagraph"/>
              <w:spacing w:line="276" w:lineRule="auto"/>
              <w:ind w:left="23" w:right="49"/>
              <w:rPr>
                <w:sz w:val="10"/>
                <w:lang w:val="nb-NO"/>
              </w:rPr>
            </w:pPr>
            <w:r w:rsidRPr="0091233F">
              <w:rPr>
                <w:w w:val="105"/>
                <w:sz w:val="10"/>
                <w:lang w:val="nb-NO"/>
              </w:rPr>
              <w:t>Arvidsdotter T, Marklund, B, Taft C, Kylèn.</w:t>
            </w:r>
            <w:r>
              <w:rPr>
                <w:w w:val="105"/>
                <w:sz w:val="10"/>
                <w:lang w:val="nb-NO"/>
              </w:rPr>
              <w:t xml:space="preserve"> S.</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2015</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ind w:left="30"/>
              <w:rPr>
                <w:rFonts w:ascii="Calibri"/>
                <w:sz w:val="10"/>
              </w:rPr>
            </w:pPr>
            <w:r>
              <w:rPr>
                <w:rFonts w:ascii="Calibri"/>
                <w:w w:val="105"/>
                <w:sz w:val="10"/>
              </w:rPr>
              <w:t>Sweden</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3"/>
              <w:rPr>
                <w:sz w:val="10"/>
              </w:rPr>
            </w:pPr>
            <w:r>
              <w:rPr>
                <w:w w:val="105"/>
                <w:sz w:val="10"/>
              </w:rPr>
              <w:t>Quality of life, sense of coherence and experiences with three different treatments in patients with psychological distress in primary care: a mixed- methods</w:t>
            </w:r>
            <w:r>
              <w:rPr>
                <w:spacing w:val="-1"/>
                <w:w w:val="105"/>
                <w:sz w:val="10"/>
              </w:rPr>
              <w:t xml:space="preserve"> </w:t>
            </w:r>
            <w:r>
              <w:rPr>
                <w:w w:val="105"/>
                <w:sz w:val="10"/>
              </w:rPr>
              <w:t>study.</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61"/>
              <w:rPr>
                <w:sz w:val="10"/>
              </w:rPr>
            </w:pPr>
            <w:r>
              <w:rPr>
                <w:w w:val="105"/>
                <w:sz w:val="10"/>
              </w:rPr>
              <w:t>RCT</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ight="57"/>
              <w:rPr>
                <w:sz w:val="10"/>
              </w:rPr>
            </w:pPr>
            <w:r>
              <w:rPr>
                <w:w w:val="105"/>
                <w:sz w:val="10"/>
              </w:rPr>
              <w:t>Patients with psychological distress in primary care. 20-55 year Therapeutic acupuncture (TA) (n=40). Integrative treatment (IT) (n=40). Control group: (n=40).</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34"/>
              <w:rPr>
                <w:sz w:val="10"/>
              </w:rPr>
            </w:pPr>
            <w:r>
              <w:rPr>
                <w:w w:val="105"/>
                <w:sz w:val="10"/>
              </w:rPr>
              <w:t>Intervention: Three armed: 1. Therapeutic acupuncture (TA): Once a week 45 min in eight weeks. 2. Integrative treatment (IT): Once a week (60minutes) in eight weeks. The integrative treatment (IT) combined TA with a person-centred approach in a salutogenic dialogue. 3. Conventional treatment (CT)</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8" w:firstLine="28"/>
              <w:rPr>
                <w:sz w:val="10"/>
              </w:rPr>
            </w:pPr>
            <w:r>
              <w:rPr>
                <w:w w:val="105"/>
                <w:sz w:val="10"/>
              </w:rPr>
              <w:t>The IT combined TA with a person-centred approach in a salutogenic dialogue. It focused on the patients’ understanding of meaning and resources to help them become aware of and mobilise their strengths and potential for managing their conditions. It was exploratory and reflected on inner feelings, personal relationships, everyday activities (diet, exercise, relaxation, sleep habits) and existential issues in an atmosphere that aimed to strengthen the therapeutic alliance. The dialogue was structured with goal focus about lifestyle changes.</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rPr>
                <w:b/>
                <w:sz w:val="10"/>
              </w:rPr>
            </w:pPr>
            <w:r>
              <w:rPr>
                <w:b/>
                <w:w w:val="105"/>
                <w:sz w:val="10"/>
              </w:rPr>
              <w:t>A, L, SRRs, 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SOC-13</w:t>
            </w:r>
          </w:p>
          <w:p w:rsidR="00B852E7" w:rsidRDefault="00B852E7" w:rsidP="00675923">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228"/>
              <w:jc w:val="both"/>
              <w:rPr>
                <w:sz w:val="10"/>
              </w:rPr>
            </w:pPr>
            <w:r>
              <w:rPr>
                <w:w w:val="105"/>
                <w:sz w:val="10"/>
              </w:rPr>
              <w:t>Before &amp; after intervention (8 weeks)</w:t>
            </w:r>
          </w:p>
        </w:tc>
        <w:tc>
          <w:tcPr>
            <w:tcW w:w="1755"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4"/>
              <w:rPr>
                <w:sz w:val="10"/>
              </w:rPr>
            </w:pPr>
            <w:r>
              <w:rPr>
                <w:w w:val="105"/>
                <w:sz w:val="10"/>
              </w:rPr>
              <w:t xml:space="preserve">Baseline - 8 weeks </w:t>
            </w:r>
            <w:r>
              <w:rPr>
                <w:spacing w:val="-4"/>
                <w:w w:val="105"/>
                <w:sz w:val="10"/>
              </w:rPr>
              <w:t xml:space="preserve">TA; </w:t>
            </w:r>
            <w:r>
              <w:rPr>
                <w:w w:val="105"/>
                <w:sz w:val="10"/>
              </w:rPr>
              <w:t xml:space="preserve">52.15 → 64.84. </w:t>
            </w:r>
            <w:r>
              <w:rPr>
                <w:spacing w:val="-6"/>
                <w:w w:val="105"/>
                <w:sz w:val="10"/>
              </w:rPr>
              <w:t xml:space="preserve">IT: </w:t>
            </w:r>
            <w:r>
              <w:rPr>
                <w:w w:val="105"/>
                <w:sz w:val="10"/>
              </w:rPr>
              <w:t xml:space="preserve">55.38 → </w:t>
            </w:r>
            <w:r>
              <w:rPr>
                <w:spacing w:val="-3"/>
                <w:w w:val="105"/>
                <w:sz w:val="10"/>
              </w:rPr>
              <w:t>68.13.CT:</w:t>
            </w:r>
            <w:r>
              <w:rPr>
                <w:spacing w:val="-12"/>
                <w:w w:val="105"/>
                <w:sz w:val="10"/>
              </w:rPr>
              <w:t xml:space="preserve"> </w:t>
            </w:r>
            <w:r>
              <w:rPr>
                <w:w w:val="105"/>
                <w:sz w:val="10"/>
              </w:rPr>
              <w:t>53.08</w:t>
            </w:r>
          </w:p>
          <w:p w:rsidR="00B852E7" w:rsidRDefault="00B852E7" w:rsidP="00675923">
            <w:pPr>
              <w:pStyle w:val="TableParagraph"/>
              <w:spacing w:before="0" w:line="276" w:lineRule="auto"/>
              <w:ind w:right="4"/>
              <w:rPr>
                <w:sz w:val="10"/>
              </w:rPr>
            </w:pPr>
            <w:r>
              <w:rPr>
                <w:w w:val="105"/>
                <w:sz w:val="10"/>
              </w:rPr>
              <w:t xml:space="preserve">→ 56.25 Comparing IT and </w:t>
            </w:r>
            <w:r>
              <w:rPr>
                <w:spacing w:val="-5"/>
                <w:w w:val="105"/>
                <w:sz w:val="10"/>
              </w:rPr>
              <w:t xml:space="preserve">TA </w:t>
            </w:r>
            <w:r>
              <w:rPr>
                <w:w w:val="105"/>
                <w:sz w:val="10"/>
              </w:rPr>
              <w:t>respectively with CT, ES: 1.02, CI=.55</w:t>
            </w:r>
            <w:r>
              <w:rPr>
                <w:spacing w:val="-5"/>
                <w:w w:val="105"/>
                <w:sz w:val="10"/>
              </w:rPr>
              <w:t xml:space="preserve"> </w:t>
            </w:r>
            <w:r>
              <w:rPr>
                <w:w w:val="105"/>
                <w:sz w:val="10"/>
              </w:rPr>
              <w:t>-1.48</w:t>
            </w:r>
            <w:r>
              <w:rPr>
                <w:spacing w:val="-4"/>
                <w:w w:val="105"/>
                <w:sz w:val="10"/>
              </w:rPr>
              <w:t xml:space="preserve"> </w:t>
            </w:r>
            <w:r>
              <w:rPr>
                <w:w w:val="105"/>
                <w:sz w:val="10"/>
              </w:rPr>
              <w:t>for</w:t>
            </w:r>
            <w:r>
              <w:rPr>
                <w:spacing w:val="-2"/>
                <w:w w:val="105"/>
                <w:sz w:val="10"/>
              </w:rPr>
              <w:t xml:space="preserve"> </w:t>
            </w:r>
            <w:r>
              <w:rPr>
                <w:w w:val="105"/>
                <w:sz w:val="10"/>
              </w:rPr>
              <w:t>IT</w:t>
            </w:r>
            <w:r>
              <w:rPr>
                <w:spacing w:val="-5"/>
                <w:w w:val="105"/>
                <w:sz w:val="10"/>
              </w:rPr>
              <w:t xml:space="preserve"> </w:t>
            </w:r>
            <w:r>
              <w:rPr>
                <w:w w:val="105"/>
                <w:sz w:val="10"/>
              </w:rPr>
              <w:t>and</w:t>
            </w:r>
            <w:r>
              <w:rPr>
                <w:spacing w:val="-5"/>
                <w:w w:val="105"/>
                <w:sz w:val="10"/>
              </w:rPr>
              <w:t xml:space="preserve"> </w:t>
            </w:r>
            <w:r>
              <w:rPr>
                <w:w w:val="105"/>
                <w:sz w:val="10"/>
              </w:rPr>
              <w:t>for</w:t>
            </w:r>
            <w:r>
              <w:rPr>
                <w:spacing w:val="-2"/>
                <w:w w:val="105"/>
                <w:sz w:val="10"/>
              </w:rPr>
              <w:t xml:space="preserve"> </w:t>
            </w:r>
            <w:r>
              <w:rPr>
                <w:w w:val="105"/>
                <w:sz w:val="10"/>
              </w:rPr>
              <w:t>TA</w:t>
            </w:r>
            <w:r>
              <w:rPr>
                <w:spacing w:val="-3"/>
                <w:w w:val="105"/>
                <w:sz w:val="10"/>
              </w:rPr>
              <w:t xml:space="preserve"> </w:t>
            </w:r>
            <w:r>
              <w:rPr>
                <w:w w:val="105"/>
                <w:sz w:val="10"/>
              </w:rPr>
              <w:t>ES=</w:t>
            </w:r>
          </w:p>
          <w:p w:rsidR="00B852E7" w:rsidRDefault="00B852E7" w:rsidP="00675923">
            <w:pPr>
              <w:pStyle w:val="TableParagraph"/>
              <w:spacing w:before="0" w:line="276" w:lineRule="auto"/>
              <w:ind w:right="2"/>
              <w:rPr>
                <w:sz w:val="10"/>
              </w:rPr>
            </w:pPr>
            <w:r>
              <w:rPr>
                <w:w w:val="105"/>
                <w:sz w:val="10"/>
              </w:rPr>
              <w:t>.72, CI=.26-1.16.</w:t>
            </w:r>
            <w:r>
              <w:rPr>
                <w:spacing w:val="-7"/>
                <w:w w:val="105"/>
                <w:sz w:val="10"/>
              </w:rPr>
              <w:t xml:space="preserve"> </w:t>
            </w:r>
            <w:r>
              <w:rPr>
                <w:w w:val="105"/>
                <w:sz w:val="10"/>
              </w:rPr>
              <w:t>Between</w:t>
            </w:r>
            <w:r>
              <w:rPr>
                <w:spacing w:val="-8"/>
                <w:w w:val="105"/>
                <w:sz w:val="10"/>
              </w:rPr>
              <w:t xml:space="preserve"> </w:t>
            </w:r>
            <w:r>
              <w:rPr>
                <w:w w:val="105"/>
                <w:sz w:val="10"/>
              </w:rPr>
              <w:t>IT</w:t>
            </w:r>
            <w:r>
              <w:rPr>
                <w:spacing w:val="-8"/>
                <w:w w:val="105"/>
                <w:sz w:val="10"/>
              </w:rPr>
              <w:t xml:space="preserve"> </w:t>
            </w:r>
            <w:r>
              <w:rPr>
                <w:w w:val="105"/>
                <w:sz w:val="10"/>
              </w:rPr>
              <w:t>and</w:t>
            </w:r>
            <w:r>
              <w:rPr>
                <w:spacing w:val="-7"/>
                <w:w w:val="105"/>
                <w:sz w:val="10"/>
              </w:rPr>
              <w:t xml:space="preserve"> </w:t>
            </w:r>
            <w:r>
              <w:rPr>
                <w:w w:val="105"/>
                <w:sz w:val="10"/>
              </w:rPr>
              <w:t>TA; E.S=.33,</w:t>
            </w:r>
            <w:r>
              <w:rPr>
                <w:spacing w:val="-2"/>
                <w:w w:val="105"/>
                <w:sz w:val="10"/>
              </w:rPr>
              <w:t xml:space="preserve"> </w:t>
            </w:r>
            <w:r>
              <w:rPr>
                <w:w w:val="105"/>
                <w:sz w:val="10"/>
              </w:rPr>
              <w:t>CI=-.12-.77</w:t>
            </w:r>
          </w:p>
        </w:tc>
      </w:tr>
      <w:tr w:rsidR="00B852E7" w:rsidRPr="00C65587" w:rsidTr="00B852E7">
        <w:trPr>
          <w:trHeight w:val="1265"/>
        </w:trPr>
        <w:tc>
          <w:tcPr>
            <w:tcW w:w="1286" w:type="dxa"/>
            <w:tcBorders>
              <w:top w:val="single" w:sz="2" w:space="0" w:color="000000"/>
              <w:bottom w:val="single" w:sz="2" w:space="0" w:color="000000"/>
              <w:right w:val="single" w:sz="2" w:space="0" w:color="000000"/>
            </w:tcBorders>
          </w:tcPr>
          <w:p w:rsidR="00B852E7" w:rsidRPr="00C77849" w:rsidRDefault="00B852E7" w:rsidP="00675923">
            <w:pPr>
              <w:pStyle w:val="TableParagraph"/>
              <w:spacing w:line="276" w:lineRule="auto"/>
              <w:ind w:left="23" w:right="25"/>
              <w:rPr>
                <w:sz w:val="10"/>
              </w:rPr>
            </w:pPr>
            <w:r w:rsidRPr="00C77849">
              <w:rPr>
                <w:w w:val="105"/>
                <w:sz w:val="10"/>
              </w:rPr>
              <w:t>Bringsvor HB, Langeland, E, Oftedal BF, Skaug K, Assmus J, Bentsen SB.</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2018</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Norway</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292"/>
              <w:rPr>
                <w:sz w:val="10"/>
              </w:rPr>
            </w:pPr>
            <w:r>
              <w:rPr>
                <w:w w:val="105"/>
                <w:sz w:val="10"/>
              </w:rPr>
              <w:t>Effects of a COPD self- management support intervention: a randomised controlled trial</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2"/>
              <w:rPr>
                <w:sz w:val="10"/>
              </w:rPr>
            </w:pPr>
            <w:r>
              <w:rPr>
                <w:w w:val="105"/>
                <w:sz w:val="10"/>
              </w:rPr>
              <w:t>RCT</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3"/>
              <w:rPr>
                <w:sz w:val="10"/>
              </w:rPr>
            </w:pPr>
            <w:r>
              <w:rPr>
                <w:w w:val="105"/>
                <w:sz w:val="10"/>
              </w:rPr>
              <w:t>COPD patients Mean age</w:t>
            </w:r>
          </w:p>
          <w:p w:rsidR="00B852E7" w:rsidRDefault="00B852E7" w:rsidP="00675923">
            <w:pPr>
              <w:pStyle w:val="TableParagraph"/>
              <w:spacing w:before="18" w:line="276" w:lineRule="auto"/>
              <w:ind w:left="33" w:right="13"/>
              <w:rPr>
                <w:sz w:val="10"/>
              </w:rPr>
            </w:pPr>
            <w:r>
              <w:rPr>
                <w:w w:val="105"/>
                <w:sz w:val="10"/>
              </w:rPr>
              <w:t>68.93. Intervention group = (n=92). Control group = (n=90).</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53"/>
              <w:rPr>
                <w:sz w:val="10"/>
              </w:rPr>
            </w:pPr>
            <w:r>
              <w:rPr>
                <w:w w:val="105"/>
                <w:sz w:val="10"/>
              </w:rPr>
              <w:t>Intervention group: Self-Management Intervention (SMI) Better living with COPD including a Salutogenic approach. Once a week (2 hours) over 11 weeks and treatment as usual. Control group: Treatment as usual: The Norwegian guidelines for care and treatment of people with COPD include specific criteria regarding frequency of visits to a general practitioner, smoking cessation, physiotherapy, nutritional advice, and pulmonary rehabilitation.</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8"/>
              <w:rPr>
                <w:sz w:val="10"/>
              </w:rPr>
            </w:pPr>
            <w:r>
              <w:rPr>
                <w:w w:val="105"/>
                <w:sz w:val="10"/>
              </w:rPr>
              <w:t>A salutogenic orientation was incorporated into the group conversations with focus on: Internal and external resources and their abilities to use them, self-management capabilities SOC; understanding, manageability, and meaningfulness, and on emphasizing health as a continuum, the person’s history, the understanding of tension and strain as potentially health promoting in in the context of everyday living.</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line="285" w:lineRule="auto"/>
              <w:ind w:right="-18"/>
              <w:rPr>
                <w:b/>
                <w:sz w:val="10"/>
              </w:rPr>
            </w:pPr>
            <w:r>
              <w:rPr>
                <w:b/>
                <w:w w:val="105"/>
                <w:sz w:val="10"/>
              </w:rPr>
              <w:t>A, L, GRRs, SRRs, ST, 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SOC-13</w:t>
            </w:r>
          </w:p>
          <w:p w:rsidR="00B852E7" w:rsidRDefault="00B852E7" w:rsidP="00675923">
            <w:pPr>
              <w:pStyle w:val="TableParagraph"/>
              <w:spacing w:before="18"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152"/>
              <w:rPr>
                <w:sz w:val="10"/>
              </w:rPr>
            </w:pPr>
            <w:r>
              <w:rPr>
                <w:w w:val="105"/>
                <w:sz w:val="10"/>
              </w:rPr>
              <w:t>Before &amp; after intervention (12 weeks)</w:t>
            </w:r>
          </w:p>
        </w:tc>
        <w:tc>
          <w:tcPr>
            <w:tcW w:w="1755"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52"/>
              <w:jc w:val="both"/>
              <w:rPr>
                <w:sz w:val="10"/>
              </w:rPr>
            </w:pPr>
            <w:r>
              <w:rPr>
                <w:w w:val="105"/>
                <w:sz w:val="10"/>
              </w:rPr>
              <w:t>Baseline, Intervention group:</w:t>
            </w:r>
            <w:r>
              <w:rPr>
                <w:spacing w:val="-23"/>
                <w:w w:val="105"/>
                <w:sz w:val="10"/>
              </w:rPr>
              <w:t xml:space="preserve"> </w:t>
            </w:r>
            <w:r>
              <w:rPr>
                <w:w w:val="105"/>
                <w:sz w:val="10"/>
              </w:rPr>
              <w:t>65.10, Control group: 64.06. No significant changes at follow-up (at 12 weeks) (P</w:t>
            </w:r>
            <w:r>
              <w:rPr>
                <w:rFonts w:ascii="Calibri" w:hAnsi="Calibri"/>
                <w:w w:val="105"/>
                <w:sz w:val="10"/>
              </w:rPr>
              <w:t>≥</w:t>
            </w:r>
            <w:r>
              <w:rPr>
                <w:w w:val="105"/>
                <w:sz w:val="10"/>
              </w:rPr>
              <w:t>0.1814).</w:t>
            </w:r>
          </w:p>
        </w:tc>
      </w:tr>
      <w:tr w:rsidR="00B852E7" w:rsidTr="00B852E7">
        <w:trPr>
          <w:trHeight w:val="981"/>
        </w:trPr>
        <w:tc>
          <w:tcPr>
            <w:tcW w:w="1286" w:type="dxa"/>
            <w:tcBorders>
              <w:top w:val="single" w:sz="2" w:space="0" w:color="000000"/>
              <w:bottom w:val="single" w:sz="2" w:space="0" w:color="000000"/>
              <w:right w:val="single" w:sz="2" w:space="0" w:color="000000"/>
            </w:tcBorders>
          </w:tcPr>
          <w:p w:rsidR="00B852E7" w:rsidRDefault="00B852E7" w:rsidP="00675923">
            <w:pPr>
              <w:pStyle w:val="TableParagraph"/>
              <w:spacing w:line="276" w:lineRule="auto"/>
              <w:ind w:left="23" w:right="481"/>
              <w:rPr>
                <w:sz w:val="10"/>
              </w:rPr>
            </w:pPr>
            <w:r>
              <w:rPr>
                <w:w w:val="105"/>
                <w:sz w:val="10"/>
              </w:rPr>
              <w:t>Bronikowski M, Bronikowska M.</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2009</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Poland</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12"/>
              <w:rPr>
                <w:sz w:val="10"/>
              </w:rPr>
            </w:pPr>
            <w:r>
              <w:rPr>
                <w:w w:val="105"/>
                <w:sz w:val="10"/>
              </w:rPr>
              <w:t>Salutogenesis as a framework for improving health resources of adolescent</w:t>
            </w:r>
            <w:r>
              <w:rPr>
                <w:spacing w:val="-2"/>
                <w:w w:val="105"/>
                <w:sz w:val="10"/>
              </w:rPr>
              <w:t xml:space="preserve"> </w:t>
            </w:r>
            <w:r>
              <w:rPr>
                <w:w w:val="105"/>
                <w:sz w:val="10"/>
              </w:rPr>
              <w:t>boys</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2" w:right="144"/>
              <w:rPr>
                <w:sz w:val="10"/>
              </w:rPr>
            </w:pPr>
            <w:r>
              <w:rPr>
                <w:w w:val="105"/>
                <w:sz w:val="10"/>
              </w:rPr>
              <w:t>Clinical controlled trial</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ight="75"/>
              <w:rPr>
                <w:sz w:val="10"/>
              </w:rPr>
            </w:pPr>
            <w:r>
              <w:rPr>
                <w:w w:val="105"/>
                <w:sz w:val="10"/>
              </w:rPr>
              <w:t>Adolescent boys. Mean age 13 years. Intervention (n=84). Control group (n= 115)</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6"/>
              <w:rPr>
                <w:sz w:val="10"/>
              </w:rPr>
            </w:pPr>
            <w:r>
              <w:rPr>
                <w:w w:val="105"/>
                <w:sz w:val="10"/>
              </w:rPr>
              <w:t>Intervention: 15 months regular moderate to vigorous physical activity in salutogenic approach. During four lessons of physical education per week the teacher used at least one activity per lesson.</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8"/>
              <w:rPr>
                <w:sz w:val="10"/>
              </w:rPr>
            </w:pPr>
            <w:r>
              <w:rPr>
                <w:w w:val="105"/>
                <w:sz w:val="10"/>
              </w:rPr>
              <w:t>Physical activity in salutogenic approach: Teacher talk, modelling (being), reinforcement, reflection time and student sharing to improve the levels of self-control, involvement, self-responsibility and caring-responsibility of pupil. Additionally a specially self-designed, personalized form ‘‘Planning of Leisure-time Physical Activity’’ was used.</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rPr>
                <w:b/>
                <w:sz w:val="10"/>
              </w:rPr>
            </w:pPr>
            <w:r>
              <w:rPr>
                <w:b/>
                <w:w w:val="105"/>
                <w:sz w:val="10"/>
              </w:rPr>
              <w:t>A, L, GRRs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15"/>
              <w:rPr>
                <w:sz w:val="10"/>
              </w:rPr>
            </w:pPr>
            <w:r>
              <w:rPr>
                <w:w w:val="105"/>
                <w:sz w:val="10"/>
              </w:rPr>
              <w:t>SOC-13 (5 point Likert scale) Secondary 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152"/>
              <w:rPr>
                <w:sz w:val="10"/>
              </w:rPr>
            </w:pPr>
            <w:r>
              <w:rPr>
                <w:w w:val="105"/>
                <w:sz w:val="10"/>
              </w:rPr>
              <w:t>Before &amp; after intervention (15 months)</w:t>
            </w:r>
          </w:p>
        </w:tc>
        <w:tc>
          <w:tcPr>
            <w:tcW w:w="1755" w:type="dxa"/>
            <w:tcBorders>
              <w:top w:val="single" w:sz="2" w:space="0" w:color="000000"/>
              <w:left w:val="single" w:sz="2" w:space="0" w:color="000000"/>
              <w:bottom w:val="single" w:sz="2" w:space="0" w:color="000000"/>
            </w:tcBorders>
          </w:tcPr>
          <w:p w:rsidR="00B852E7" w:rsidRDefault="00B852E7" w:rsidP="00675923">
            <w:pPr>
              <w:pStyle w:val="TableParagraph"/>
              <w:rPr>
                <w:sz w:val="10"/>
              </w:rPr>
            </w:pPr>
            <w:r>
              <w:rPr>
                <w:w w:val="105"/>
                <w:sz w:val="10"/>
              </w:rPr>
              <w:t>Intervention:</w:t>
            </w:r>
          </w:p>
          <w:p w:rsidR="00B852E7" w:rsidRDefault="00B852E7" w:rsidP="00675923">
            <w:pPr>
              <w:pStyle w:val="TableParagraph"/>
              <w:spacing w:before="17" w:line="276" w:lineRule="auto"/>
              <w:ind w:right="159"/>
              <w:rPr>
                <w:sz w:val="10"/>
              </w:rPr>
            </w:pPr>
            <w:r>
              <w:rPr>
                <w:w w:val="105"/>
                <w:sz w:val="10"/>
              </w:rPr>
              <w:t>46.4 (5 point Likert scale) →</w:t>
            </w:r>
            <w:r>
              <w:rPr>
                <w:spacing w:val="-21"/>
                <w:w w:val="105"/>
                <w:sz w:val="10"/>
              </w:rPr>
              <w:t xml:space="preserve"> </w:t>
            </w:r>
            <w:r>
              <w:rPr>
                <w:w w:val="105"/>
                <w:sz w:val="10"/>
              </w:rPr>
              <w:t>47.8 Control:</w:t>
            </w:r>
          </w:p>
          <w:p w:rsidR="00B852E7" w:rsidRDefault="00B852E7" w:rsidP="00675923">
            <w:pPr>
              <w:pStyle w:val="TableParagraph"/>
              <w:spacing w:before="1" w:line="271" w:lineRule="auto"/>
              <w:ind w:right="325"/>
              <w:rPr>
                <w:sz w:val="10"/>
              </w:rPr>
            </w:pPr>
            <w:r>
              <w:rPr>
                <w:w w:val="105"/>
                <w:sz w:val="10"/>
              </w:rPr>
              <w:t>45.2 → 43.2 (p</w:t>
            </w:r>
            <w:r>
              <w:rPr>
                <w:rFonts w:ascii="Calibri" w:hAnsi="Calibri"/>
                <w:w w:val="105"/>
                <w:sz w:val="10"/>
              </w:rPr>
              <w:t>≤</w:t>
            </w:r>
            <w:r>
              <w:rPr>
                <w:w w:val="105"/>
                <w:sz w:val="10"/>
              </w:rPr>
              <w:t>0.05</w:t>
            </w:r>
            <w:r>
              <w:rPr>
                <w:spacing w:val="-17"/>
                <w:w w:val="105"/>
                <w:sz w:val="10"/>
              </w:rPr>
              <w:t xml:space="preserve"> </w:t>
            </w:r>
            <w:r>
              <w:rPr>
                <w:w w:val="105"/>
                <w:sz w:val="10"/>
              </w:rPr>
              <w:t>between groups).</w:t>
            </w:r>
          </w:p>
        </w:tc>
      </w:tr>
      <w:tr w:rsidR="00B852E7" w:rsidRPr="00C65587" w:rsidTr="00B852E7">
        <w:trPr>
          <w:trHeight w:val="1264"/>
        </w:trPr>
        <w:tc>
          <w:tcPr>
            <w:tcW w:w="1286" w:type="dxa"/>
            <w:tcBorders>
              <w:top w:val="single" w:sz="2" w:space="0" w:color="000000"/>
              <w:bottom w:val="single" w:sz="2" w:space="0" w:color="000000"/>
              <w:right w:val="single" w:sz="2" w:space="0" w:color="000000"/>
            </w:tcBorders>
          </w:tcPr>
          <w:p w:rsidR="00B852E7" w:rsidRDefault="00B852E7" w:rsidP="00675923">
            <w:pPr>
              <w:pStyle w:val="TableParagraph"/>
              <w:spacing w:before="11" w:line="276" w:lineRule="auto"/>
              <w:ind w:left="23" w:right="25"/>
              <w:rPr>
                <w:sz w:val="10"/>
              </w:rPr>
            </w:pPr>
            <w:r>
              <w:rPr>
                <w:w w:val="105"/>
                <w:sz w:val="10"/>
              </w:rPr>
              <w:t>Brooks, D, Bradt, J, Eyre, L; Hunt, A, Dileo, C.</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ind w:left="30"/>
              <w:rPr>
                <w:sz w:val="10"/>
              </w:rPr>
            </w:pPr>
            <w:r>
              <w:rPr>
                <w:w w:val="105"/>
                <w:sz w:val="10"/>
              </w:rPr>
              <w:t>2010</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ind w:left="30"/>
              <w:rPr>
                <w:sz w:val="10"/>
              </w:rPr>
            </w:pPr>
            <w:r>
              <w:rPr>
                <w:w w:val="105"/>
                <w:sz w:val="10"/>
              </w:rPr>
              <w:t>US</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left="31" w:right="240"/>
              <w:rPr>
                <w:sz w:val="10"/>
              </w:rPr>
            </w:pPr>
            <w:r>
              <w:rPr>
                <w:w w:val="105"/>
                <w:sz w:val="10"/>
              </w:rPr>
              <w:t>Creative approaches for reducing burnout in medical personnel.</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ind w:left="32"/>
              <w:rPr>
                <w:sz w:val="10"/>
              </w:rPr>
            </w:pPr>
            <w:r>
              <w:rPr>
                <w:w w:val="105"/>
                <w:sz w:val="10"/>
              </w:rPr>
              <w:t>RCT</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left="33" w:right="-13"/>
              <w:rPr>
                <w:sz w:val="10"/>
              </w:rPr>
            </w:pPr>
            <w:r>
              <w:rPr>
                <w:w w:val="105"/>
                <w:sz w:val="10"/>
              </w:rPr>
              <w:t>Medical personnel with burnout. Experiment (n=24). Control group: (n=23).</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left="34" w:right="188"/>
              <w:rPr>
                <w:sz w:val="10"/>
              </w:rPr>
            </w:pPr>
            <w:r>
              <w:rPr>
                <w:w w:val="105"/>
                <w:sz w:val="10"/>
              </w:rPr>
              <w:t>Intervention: music-guided imagery. Three to six weeks once a week (60-75min). Control group: Wait list.</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left="34" w:right="9"/>
              <w:rPr>
                <w:sz w:val="10"/>
              </w:rPr>
            </w:pPr>
            <w:r>
              <w:rPr>
                <w:w w:val="105"/>
                <w:sz w:val="10"/>
              </w:rPr>
              <w:t>Music and imagery experiences, where the participants were guided through body relaxation and directed imagery experiences while listening to music; creative drawing of mandala after the music-imagery experience; written responses where the participants documented their experiences; and verbal discussion of their experiences. Imagery body relaxation was conducted with or without music, based upon the needs of the participant.</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rPr>
                <w:b/>
                <w:sz w:val="10"/>
              </w:rPr>
            </w:pPr>
            <w:r>
              <w:rPr>
                <w:b/>
                <w:w w:val="105"/>
                <w:sz w:val="10"/>
              </w:rPr>
              <w:t>A, L, SRRs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rPr>
                <w:sz w:val="10"/>
              </w:rPr>
            </w:pPr>
            <w:r>
              <w:rPr>
                <w:w w:val="105"/>
                <w:sz w:val="10"/>
              </w:rPr>
              <w:t>SOC-29</w:t>
            </w:r>
          </w:p>
          <w:p w:rsidR="00B852E7" w:rsidRDefault="00B852E7" w:rsidP="00675923">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right="6"/>
              <w:rPr>
                <w:sz w:val="10"/>
              </w:rPr>
            </w:pPr>
            <w:r>
              <w:rPr>
                <w:w w:val="105"/>
                <w:sz w:val="10"/>
              </w:rPr>
              <w:t>Before &amp; after intervention (3 to 6 weeks)</w:t>
            </w:r>
          </w:p>
        </w:tc>
        <w:tc>
          <w:tcPr>
            <w:tcW w:w="1755" w:type="dxa"/>
            <w:tcBorders>
              <w:top w:val="single" w:sz="2" w:space="0" w:color="000000"/>
              <w:left w:val="single" w:sz="2" w:space="0" w:color="000000"/>
              <w:bottom w:val="single" w:sz="2" w:space="0" w:color="000000"/>
            </w:tcBorders>
          </w:tcPr>
          <w:p w:rsidR="00B852E7" w:rsidRDefault="00B852E7" w:rsidP="00675923">
            <w:pPr>
              <w:pStyle w:val="TableParagraph"/>
              <w:spacing w:before="11" w:line="276" w:lineRule="auto"/>
              <w:ind w:right="144"/>
              <w:rPr>
                <w:sz w:val="10"/>
              </w:rPr>
            </w:pPr>
            <w:r>
              <w:rPr>
                <w:w w:val="105"/>
                <w:sz w:val="10"/>
              </w:rPr>
              <w:t>Experiment: 147.17 → 153.02 Control group: Wait list: 140.50→141.50 Difference in changes scores between groups: 1.14, p=.26.</w:t>
            </w:r>
          </w:p>
        </w:tc>
      </w:tr>
      <w:tr w:rsidR="00B852E7" w:rsidRPr="00C65587" w:rsidTr="00B852E7">
        <w:trPr>
          <w:trHeight w:val="1829"/>
        </w:trPr>
        <w:tc>
          <w:tcPr>
            <w:tcW w:w="1286" w:type="dxa"/>
            <w:tcBorders>
              <w:top w:val="single" w:sz="2" w:space="0" w:color="000000"/>
              <w:bottom w:val="single" w:sz="2" w:space="0" w:color="000000"/>
              <w:right w:val="single" w:sz="2" w:space="0" w:color="000000"/>
            </w:tcBorders>
          </w:tcPr>
          <w:p w:rsidR="00B852E7" w:rsidRDefault="00B852E7" w:rsidP="00675923">
            <w:pPr>
              <w:pStyle w:val="TableParagraph"/>
              <w:spacing w:line="276" w:lineRule="auto"/>
              <w:ind w:left="23" w:right="49"/>
              <w:rPr>
                <w:sz w:val="10"/>
              </w:rPr>
            </w:pPr>
            <w:r>
              <w:rPr>
                <w:w w:val="105"/>
                <w:sz w:val="10"/>
              </w:rPr>
              <w:t>Davidson,OB, Feldman, DB, Margalit, M.</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2012</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Israel</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29"/>
              <w:rPr>
                <w:sz w:val="10"/>
              </w:rPr>
            </w:pPr>
            <w:r>
              <w:rPr>
                <w:w w:val="105"/>
                <w:sz w:val="10"/>
              </w:rPr>
              <w:t>A Focused Intervention for 1st- Year College Students: Promoting Hope, Sense of Coherence, and Self-Efficacy</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2" w:right="57"/>
              <w:rPr>
                <w:sz w:val="10"/>
              </w:rPr>
            </w:pPr>
            <w:r>
              <w:rPr>
                <w:w w:val="105"/>
                <w:sz w:val="10"/>
              </w:rPr>
              <w:t>Follow-up with three different intervention groups</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Pr>
                <w:sz w:val="10"/>
              </w:rPr>
            </w:pPr>
            <w:r>
              <w:rPr>
                <w:w w:val="105"/>
                <w:sz w:val="10"/>
              </w:rPr>
              <w:t>1st-Year College Students (N=43) mean age 25.27 (5.25).</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2"/>
              <w:rPr>
                <w:sz w:val="10"/>
              </w:rPr>
            </w:pPr>
            <w:r>
              <w:rPr>
                <w:w w:val="105"/>
                <w:sz w:val="10"/>
              </w:rPr>
              <w:t>A focused workshop for 43 students, targeting the promotion of hope, sense of coherence, and self-efficacy for enhancing students’ academic adjustment as expressed through their grades. Group 1 (n=14): Focused on mental rehearsal. Group 2 (n=15) The same mental rehearsal as with the ﬁrst group but also provided “verbal persuasion” as a tool to enhancing self-efﬁcacy. Group 3 (n=14): The version of the workshop delivered to this group included a short lecture on the salutogenesis paradigm including the SOC construct in addition to the short lecture on hope theory that the other groups</w:t>
            </w:r>
            <w:r>
              <w:rPr>
                <w:spacing w:val="-11"/>
                <w:w w:val="105"/>
                <w:sz w:val="10"/>
              </w:rPr>
              <w:t xml:space="preserve"> </w:t>
            </w:r>
            <w:r>
              <w:rPr>
                <w:w w:val="105"/>
                <w:sz w:val="10"/>
              </w:rPr>
              <w:t>received.</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9"/>
              <w:rPr>
                <w:sz w:val="10"/>
              </w:rPr>
            </w:pPr>
            <w:r>
              <w:rPr>
                <w:w w:val="105"/>
                <w:sz w:val="10"/>
              </w:rPr>
              <w:t>Group 3: A short lecture on the salutogenesis paradigm including the SOC construct in addition to the short lecture on hope theory that the other groups received The members of Group 3 also ﬁlled out a different cognitive- mapping worksheet. This mapping worksheet was in line with the salutogenesis model and focused their attention on lessons they learned in the past and their future expectations.</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rPr>
                <w:b/>
                <w:sz w:val="10"/>
              </w:rPr>
            </w:pPr>
            <w:r>
              <w:rPr>
                <w:b/>
                <w:w w:val="105"/>
                <w:sz w:val="10"/>
              </w:rPr>
              <w:t>A, L, GRRs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*SOC-14</w:t>
            </w:r>
          </w:p>
          <w:p w:rsidR="00B852E7" w:rsidRDefault="00B852E7" w:rsidP="00675923">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228"/>
              <w:jc w:val="both"/>
              <w:rPr>
                <w:sz w:val="10"/>
              </w:rPr>
            </w:pPr>
            <w:r>
              <w:rPr>
                <w:w w:val="105"/>
                <w:sz w:val="10"/>
              </w:rPr>
              <w:t>Before &amp; after intervention (1 month)</w:t>
            </w:r>
          </w:p>
        </w:tc>
        <w:tc>
          <w:tcPr>
            <w:tcW w:w="1755"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10"/>
              <w:rPr>
                <w:sz w:val="10"/>
              </w:rPr>
            </w:pPr>
            <w:r>
              <w:rPr>
                <w:w w:val="105"/>
                <w:sz w:val="10"/>
              </w:rPr>
              <w:t>There was significant improvements in SOC across the groups just after the intervention one month after.</w:t>
            </w:r>
          </w:p>
          <w:p w:rsidR="00B852E7" w:rsidRDefault="00B852E7" w:rsidP="00675923">
            <w:pPr>
              <w:pStyle w:val="TableParagraph"/>
              <w:spacing w:before="0" w:line="276" w:lineRule="auto"/>
              <w:ind w:right="74"/>
              <w:rPr>
                <w:sz w:val="10"/>
              </w:rPr>
            </w:pPr>
            <w:r>
              <w:rPr>
                <w:w w:val="105"/>
                <w:sz w:val="10"/>
              </w:rPr>
              <w:t>However, there was no significant differences between the groups on SOC</w:t>
            </w:r>
          </w:p>
        </w:tc>
      </w:tr>
      <w:tr w:rsidR="00B852E7" w:rsidRPr="00C65587" w:rsidTr="00B852E7">
        <w:trPr>
          <w:trHeight w:val="981"/>
        </w:trPr>
        <w:tc>
          <w:tcPr>
            <w:tcW w:w="1286" w:type="dxa"/>
            <w:tcBorders>
              <w:top w:val="single" w:sz="2" w:space="0" w:color="000000"/>
              <w:bottom w:val="single" w:sz="2" w:space="0" w:color="000000"/>
              <w:right w:val="single" w:sz="2" w:space="0" w:color="000000"/>
            </w:tcBorders>
          </w:tcPr>
          <w:p w:rsidR="00B852E7" w:rsidRDefault="00B852E7" w:rsidP="00675923">
            <w:pPr>
              <w:pStyle w:val="TableParagraph"/>
              <w:spacing w:line="276" w:lineRule="auto"/>
              <w:ind w:left="23" w:right="49"/>
              <w:rPr>
                <w:w w:val="105"/>
                <w:sz w:val="10"/>
              </w:rPr>
            </w:pP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w w:val="105"/>
                <w:sz w:val="10"/>
              </w:rPr>
            </w:pP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w w:val="105"/>
                <w:sz w:val="10"/>
              </w:rPr>
            </w:pP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82"/>
              <w:rPr>
                <w:w w:val="105"/>
                <w:sz w:val="10"/>
              </w:rPr>
            </w:pP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2" w:right="144"/>
              <w:rPr>
                <w:w w:val="105"/>
                <w:sz w:val="10"/>
              </w:rPr>
            </w:pP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Pr>
                <w:w w:val="105"/>
                <w:sz w:val="10"/>
              </w:rPr>
            </w:pP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6"/>
              <w:rPr>
                <w:w w:val="105"/>
                <w:sz w:val="10"/>
              </w:rPr>
            </w:pP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5"/>
              <w:rPr>
                <w:w w:val="105"/>
                <w:sz w:val="10"/>
              </w:rPr>
            </w:pP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line="285" w:lineRule="auto"/>
              <w:ind w:right="-18"/>
              <w:rPr>
                <w:b/>
                <w:w w:val="105"/>
                <w:sz w:val="10"/>
              </w:rPr>
            </w:pP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w w:val="105"/>
                <w:sz w:val="10"/>
              </w:rPr>
            </w:pP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146"/>
              <w:rPr>
                <w:w w:val="105"/>
                <w:sz w:val="10"/>
              </w:rPr>
            </w:pPr>
          </w:p>
        </w:tc>
        <w:tc>
          <w:tcPr>
            <w:tcW w:w="1755"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15" w:firstLine="28"/>
              <w:jc w:val="both"/>
              <w:rPr>
                <w:w w:val="105"/>
                <w:sz w:val="10"/>
              </w:rPr>
            </w:pPr>
          </w:p>
        </w:tc>
      </w:tr>
      <w:tr w:rsidR="00B852E7" w:rsidTr="00B852E7">
        <w:trPr>
          <w:trHeight w:val="981"/>
        </w:trPr>
        <w:tc>
          <w:tcPr>
            <w:tcW w:w="1286" w:type="dxa"/>
            <w:tcBorders>
              <w:top w:val="single" w:sz="2" w:space="0" w:color="000000"/>
              <w:bottom w:val="single" w:sz="2" w:space="0" w:color="000000"/>
              <w:right w:val="single" w:sz="2" w:space="0" w:color="000000"/>
            </w:tcBorders>
          </w:tcPr>
          <w:p w:rsidR="00B852E7" w:rsidRPr="00C77849" w:rsidRDefault="00B852E7" w:rsidP="00675923">
            <w:pPr>
              <w:pStyle w:val="TableParagraph"/>
              <w:spacing w:line="276" w:lineRule="auto"/>
              <w:ind w:left="23" w:right="49"/>
              <w:rPr>
                <w:sz w:val="10"/>
              </w:rPr>
            </w:pPr>
            <w:r w:rsidRPr="00C77849">
              <w:rPr>
                <w:w w:val="105"/>
                <w:sz w:val="10"/>
              </w:rPr>
              <w:lastRenderedPageBreak/>
              <w:t>Dehnavi S, Mohammadi AZ, HassaniRaad M.</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2019</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Iran</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82"/>
              <w:rPr>
                <w:sz w:val="10"/>
              </w:rPr>
            </w:pPr>
            <w:r>
              <w:rPr>
                <w:w w:val="105"/>
                <w:sz w:val="10"/>
              </w:rPr>
              <w:t>Effectiveness of Unity-Oriented Psychodrama on Sense of Coherence</w:t>
            </w:r>
          </w:p>
          <w:p w:rsidR="00B852E7" w:rsidRDefault="00B852E7" w:rsidP="00675923">
            <w:pPr>
              <w:pStyle w:val="TableParagraph"/>
              <w:spacing w:before="0" w:line="114" w:lineRule="exact"/>
              <w:ind w:left="31"/>
              <w:rPr>
                <w:sz w:val="10"/>
              </w:rPr>
            </w:pPr>
            <w:r>
              <w:rPr>
                <w:w w:val="105"/>
                <w:sz w:val="10"/>
              </w:rPr>
              <w:t>of MS Patients</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2" w:right="144"/>
              <w:rPr>
                <w:sz w:val="10"/>
              </w:rPr>
            </w:pPr>
            <w:r>
              <w:rPr>
                <w:w w:val="105"/>
                <w:sz w:val="10"/>
              </w:rPr>
              <w:t>Clinical controlled trial</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Pr>
                <w:sz w:val="10"/>
              </w:rPr>
            </w:pPr>
            <w:r>
              <w:rPr>
                <w:w w:val="105"/>
                <w:sz w:val="10"/>
              </w:rPr>
              <w:t>MS patients, age 20-50 years. Intervention (n=10). Control (n=10)</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6"/>
              <w:rPr>
                <w:sz w:val="10"/>
              </w:rPr>
            </w:pPr>
            <w:r>
              <w:rPr>
                <w:w w:val="105"/>
                <w:sz w:val="10"/>
              </w:rPr>
              <w:t>12 session unity-focused psychodrama therapy plan for six weeks. Control: received no intervention.</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5"/>
              <w:rPr>
                <w:sz w:val="10"/>
              </w:rPr>
            </w:pPr>
            <w:r>
              <w:rPr>
                <w:w w:val="105"/>
                <w:sz w:val="10"/>
              </w:rPr>
              <w:t>Participation of each member as an assistant helper in the process of playing and behavioural training by understanding one’s own unitary being and coming to a unique understanding of the self .During the meetings, diverse technique were utilized including role reversal, mirror technique, future-projection technique, monologue, and self-actualization technique.</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line="285" w:lineRule="auto"/>
              <w:ind w:right="-18"/>
              <w:rPr>
                <w:b/>
                <w:sz w:val="10"/>
              </w:rPr>
            </w:pPr>
            <w:r>
              <w:rPr>
                <w:b/>
                <w:w w:val="105"/>
                <w:sz w:val="10"/>
              </w:rPr>
              <w:t>A, L, GRRs, SRRs, 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SOC-35</w:t>
            </w:r>
          </w:p>
          <w:p w:rsidR="00B852E7" w:rsidRDefault="00B852E7" w:rsidP="00675923">
            <w:pPr>
              <w:pStyle w:val="TableParagraph"/>
              <w:spacing w:before="17" w:line="276" w:lineRule="auto"/>
              <w:ind w:right="53"/>
              <w:rPr>
                <w:sz w:val="10"/>
              </w:rPr>
            </w:pPr>
            <w:r>
              <w:rPr>
                <w:w w:val="105"/>
                <w:sz w:val="10"/>
              </w:rPr>
              <w:t>Primary outcome (Flensborg- Madsen 2005)</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146"/>
              <w:rPr>
                <w:sz w:val="10"/>
              </w:rPr>
            </w:pPr>
            <w:r>
              <w:rPr>
                <w:w w:val="105"/>
                <w:sz w:val="10"/>
              </w:rPr>
              <w:t>Before &amp; after intervention (6 weeks) and two months after completed intervention.</w:t>
            </w:r>
          </w:p>
        </w:tc>
        <w:tc>
          <w:tcPr>
            <w:tcW w:w="1755"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15" w:firstLine="28"/>
              <w:jc w:val="both"/>
              <w:rPr>
                <w:sz w:val="10"/>
              </w:rPr>
            </w:pPr>
            <w:r>
              <w:rPr>
                <w:w w:val="105"/>
                <w:sz w:val="10"/>
              </w:rPr>
              <w:t>Intervention:</w:t>
            </w:r>
            <w:r>
              <w:rPr>
                <w:spacing w:val="-8"/>
                <w:w w:val="105"/>
                <w:sz w:val="10"/>
              </w:rPr>
              <w:t xml:space="preserve"> </w:t>
            </w:r>
            <w:r>
              <w:rPr>
                <w:w w:val="105"/>
                <w:sz w:val="10"/>
              </w:rPr>
              <w:t>61.50</w:t>
            </w:r>
            <w:r>
              <w:rPr>
                <w:spacing w:val="-9"/>
                <w:w w:val="105"/>
                <w:sz w:val="10"/>
              </w:rPr>
              <w:t xml:space="preserve"> </w:t>
            </w:r>
            <w:r>
              <w:rPr>
                <w:w w:val="105"/>
                <w:sz w:val="10"/>
              </w:rPr>
              <w:t>→80.90</w:t>
            </w:r>
            <w:r>
              <w:rPr>
                <w:spacing w:val="-9"/>
                <w:w w:val="105"/>
                <w:sz w:val="10"/>
              </w:rPr>
              <w:t xml:space="preserve"> </w:t>
            </w:r>
            <w:r>
              <w:rPr>
                <w:w w:val="105"/>
                <w:sz w:val="10"/>
              </w:rPr>
              <w:t>→72.30. Control: 57.10 →</w:t>
            </w:r>
            <w:r>
              <w:rPr>
                <w:spacing w:val="-10"/>
                <w:w w:val="105"/>
                <w:sz w:val="10"/>
              </w:rPr>
              <w:t xml:space="preserve"> </w:t>
            </w:r>
            <w:r>
              <w:rPr>
                <w:w w:val="105"/>
                <w:sz w:val="10"/>
              </w:rPr>
              <w:t>55.20→51.40.</w:t>
            </w:r>
          </w:p>
          <w:p w:rsidR="00B852E7" w:rsidRDefault="00B852E7" w:rsidP="00675923">
            <w:pPr>
              <w:pStyle w:val="TableParagraph"/>
              <w:spacing w:before="0" w:line="276" w:lineRule="auto"/>
              <w:ind w:right="30"/>
              <w:jc w:val="both"/>
              <w:rPr>
                <w:sz w:val="10"/>
              </w:rPr>
            </w:pPr>
            <w:r>
              <w:rPr>
                <w:w w:val="105"/>
                <w:sz w:val="10"/>
              </w:rPr>
              <w:t>Significant difference between two groups’ sense of coherence scores in post-test and follow-up stages (P</w:t>
            </w:r>
          </w:p>
          <w:p w:rsidR="00B852E7" w:rsidRDefault="00B852E7" w:rsidP="00675923">
            <w:pPr>
              <w:pStyle w:val="TableParagraph"/>
              <w:spacing w:before="0" w:line="114" w:lineRule="exact"/>
              <w:jc w:val="both"/>
              <w:rPr>
                <w:sz w:val="10"/>
              </w:rPr>
            </w:pPr>
            <w:r>
              <w:rPr>
                <w:w w:val="105"/>
                <w:sz w:val="10"/>
              </w:rPr>
              <w:t>&lt; 0.05).</w:t>
            </w:r>
          </w:p>
        </w:tc>
      </w:tr>
      <w:tr w:rsidR="00B852E7" w:rsidRPr="000F3419" w:rsidTr="00B852E7">
        <w:trPr>
          <w:trHeight w:val="692"/>
        </w:trPr>
        <w:tc>
          <w:tcPr>
            <w:tcW w:w="1286" w:type="dxa"/>
            <w:tcBorders>
              <w:top w:val="single" w:sz="2" w:space="0" w:color="000000"/>
              <w:right w:val="single" w:sz="2" w:space="0" w:color="000000"/>
            </w:tcBorders>
          </w:tcPr>
          <w:p w:rsidR="00B852E7" w:rsidRDefault="00B852E7" w:rsidP="00675923">
            <w:pPr>
              <w:pStyle w:val="TableParagraph"/>
              <w:ind w:left="23"/>
              <w:rPr>
                <w:sz w:val="10"/>
              </w:rPr>
            </w:pPr>
            <w:r>
              <w:rPr>
                <w:w w:val="105"/>
                <w:sz w:val="10"/>
              </w:rPr>
              <w:t>Edwards, Steve.</w:t>
            </w:r>
          </w:p>
        </w:tc>
        <w:tc>
          <w:tcPr>
            <w:tcW w:w="357" w:type="dxa"/>
            <w:tcBorders>
              <w:top w:val="single" w:sz="2" w:space="0" w:color="000000"/>
              <w:left w:val="single" w:sz="2" w:space="0" w:color="000000"/>
              <w:right w:val="single" w:sz="2" w:space="0" w:color="000000"/>
            </w:tcBorders>
          </w:tcPr>
          <w:p w:rsidR="00B852E7" w:rsidRDefault="00B852E7" w:rsidP="00675923">
            <w:pPr>
              <w:pStyle w:val="TableParagraph"/>
              <w:ind w:left="30"/>
              <w:rPr>
                <w:sz w:val="10"/>
              </w:rPr>
            </w:pPr>
            <w:r>
              <w:rPr>
                <w:w w:val="105"/>
                <w:sz w:val="10"/>
              </w:rPr>
              <w:t>2006</w:t>
            </w:r>
          </w:p>
        </w:tc>
        <w:tc>
          <w:tcPr>
            <w:tcW w:w="683" w:type="dxa"/>
            <w:tcBorders>
              <w:top w:val="single" w:sz="2" w:space="0" w:color="000000"/>
              <w:left w:val="single" w:sz="2" w:space="0" w:color="000000"/>
              <w:right w:val="single" w:sz="2" w:space="0" w:color="000000"/>
            </w:tcBorders>
          </w:tcPr>
          <w:p w:rsidR="00B852E7" w:rsidRDefault="00B852E7" w:rsidP="00675923">
            <w:pPr>
              <w:pStyle w:val="TableParagraph"/>
              <w:ind w:left="30"/>
              <w:rPr>
                <w:sz w:val="10"/>
              </w:rPr>
            </w:pPr>
            <w:r>
              <w:rPr>
                <w:w w:val="105"/>
                <w:sz w:val="10"/>
              </w:rPr>
              <w:t>South Africa</w:t>
            </w:r>
          </w:p>
        </w:tc>
        <w:tc>
          <w:tcPr>
            <w:tcW w:w="1586"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1" w:right="339"/>
              <w:rPr>
                <w:sz w:val="10"/>
              </w:rPr>
            </w:pPr>
            <w:r>
              <w:rPr>
                <w:w w:val="105"/>
                <w:sz w:val="10"/>
              </w:rPr>
              <w:t>Physical exercise and psychological well-being</w:t>
            </w:r>
          </w:p>
        </w:tc>
        <w:tc>
          <w:tcPr>
            <w:tcW w:w="657" w:type="dxa"/>
            <w:tcBorders>
              <w:top w:val="single" w:sz="2" w:space="0" w:color="000000"/>
              <w:left w:val="single" w:sz="2" w:space="0" w:color="000000"/>
              <w:right w:val="single" w:sz="2" w:space="0" w:color="000000"/>
            </w:tcBorders>
          </w:tcPr>
          <w:p w:rsidR="00B852E7" w:rsidRDefault="00B852E7" w:rsidP="00675923">
            <w:pPr>
              <w:pStyle w:val="TableParagraph"/>
              <w:ind w:left="32"/>
              <w:rPr>
                <w:sz w:val="10"/>
              </w:rPr>
            </w:pPr>
            <w:r>
              <w:rPr>
                <w:w w:val="105"/>
                <w:sz w:val="10"/>
              </w:rPr>
              <w:t>Follow-up</w:t>
            </w:r>
          </w:p>
        </w:tc>
        <w:tc>
          <w:tcPr>
            <w:tcW w:w="1528"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3" w:right="-10"/>
              <w:rPr>
                <w:sz w:val="10"/>
              </w:rPr>
            </w:pPr>
            <w:r>
              <w:rPr>
                <w:w w:val="105"/>
                <w:sz w:val="10"/>
              </w:rPr>
              <w:t>Exercisers at health clubs, women and men (N=26) age 16 52 years, mean age 31.7 years.</w:t>
            </w:r>
          </w:p>
        </w:tc>
        <w:tc>
          <w:tcPr>
            <w:tcW w:w="2815"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4" w:right="53"/>
              <w:rPr>
                <w:sz w:val="10"/>
              </w:rPr>
            </w:pPr>
            <w:r>
              <w:rPr>
                <w:w w:val="105"/>
                <w:sz w:val="10"/>
              </w:rPr>
              <w:t>Intervention: Physical exercise over a period of two to six months at health clubs. Regular exercise was defined as meeting the criterion of exercising for an average of 30 minutes a day at least three times a week.</w:t>
            </w:r>
          </w:p>
        </w:tc>
        <w:tc>
          <w:tcPr>
            <w:tcW w:w="2777" w:type="dxa"/>
            <w:tcBorders>
              <w:top w:val="single" w:sz="2" w:space="0" w:color="000000"/>
              <w:left w:val="single" w:sz="2" w:space="0" w:color="000000"/>
              <w:right w:val="single" w:sz="2" w:space="0" w:color="000000"/>
            </w:tcBorders>
          </w:tcPr>
          <w:p w:rsidR="00B852E7" w:rsidRDefault="00B852E7" w:rsidP="00675923">
            <w:pPr>
              <w:pStyle w:val="TableParagraph"/>
              <w:ind w:left="63"/>
              <w:rPr>
                <w:sz w:val="10"/>
              </w:rPr>
            </w:pPr>
            <w:r>
              <w:rPr>
                <w:w w:val="105"/>
                <w:sz w:val="10"/>
              </w:rPr>
              <w:t>Regular physical exercise together with others.</w:t>
            </w:r>
          </w:p>
        </w:tc>
        <w:tc>
          <w:tcPr>
            <w:tcW w:w="842" w:type="dxa"/>
            <w:tcBorders>
              <w:top w:val="single" w:sz="2" w:space="0" w:color="000000"/>
              <w:left w:val="single" w:sz="2" w:space="0" w:color="000000"/>
              <w:right w:val="single" w:sz="2" w:space="0" w:color="000000"/>
            </w:tcBorders>
          </w:tcPr>
          <w:p w:rsidR="00B852E7" w:rsidRDefault="00B852E7" w:rsidP="00675923">
            <w:pPr>
              <w:pStyle w:val="TableParagraph"/>
              <w:spacing w:before="15"/>
              <w:rPr>
                <w:b/>
                <w:sz w:val="10"/>
              </w:rPr>
            </w:pPr>
            <w:r>
              <w:rPr>
                <w:b/>
                <w:w w:val="105"/>
                <w:sz w:val="10"/>
              </w:rPr>
              <w:t>A, L, GRRs,</w:t>
            </w:r>
          </w:p>
        </w:tc>
        <w:tc>
          <w:tcPr>
            <w:tcW w:w="804" w:type="dxa"/>
            <w:tcBorders>
              <w:top w:val="single" w:sz="2" w:space="0" w:color="000000"/>
              <w:left w:val="single" w:sz="2" w:space="0" w:color="000000"/>
              <w:right w:val="single" w:sz="2" w:space="0" w:color="000000"/>
            </w:tcBorders>
          </w:tcPr>
          <w:p w:rsidR="00B852E7" w:rsidRDefault="00B852E7" w:rsidP="00675923">
            <w:pPr>
              <w:pStyle w:val="TableParagraph"/>
              <w:rPr>
                <w:sz w:val="10"/>
              </w:rPr>
            </w:pPr>
            <w:r>
              <w:rPr>
                <w:w w:val="105"/>
                <w:sz w:val="10"/>
              </w:rPr>
              <w:t>SOC-29</w:t>
            </w:r>
          </w:p>
          <w:p w:rsidR="00B852E7" w:rsidRDefault="00B852E7" w:rsidP="00675923">
            <w:pPr>
              <w:pStyle w:val="TableParagraph"/>
              <w:spacing w:before="18" w:line="276" w:lineRule="auto"/>
              <w:ind w:right="131"/>
              <w:rPr>
                <w:sz w:val="10"/>
              </w:rPr>
            </w:pPr>
            <w:r>
              <w:rPr>
                <w:w w:val="105"/>
                <w:sz w:val="10"/>
              </w:rPr>
              <w:t>Secondary outcome, (Revised into five factors)</w:t>
            </w:r>
          </w:p>
        </w:tc>
        <w:tc>
          <w:tcPr>
            <w:tcW w:w="936"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right="-12"/>
              <w:rPr>
                <w:sz w:val="10"/>
              </w:rPr>
            </w:pPr>
            <w:r>
              <w:rPr>
                <w:w w:val="105"/>
                <w:sz w:val="10"/>
              </w:rPr>
              <w:t>Before &amp; after intervention (two to six months)</w:t>
            </w:r>
          </w:p>
        </w:tc>
        <w:tc>
          <w:tcPr>
            <w:tcW w:w="1755" w:type="dxa"/>
            <w:tcBorders>
              <w:top w:val="single" w:sz="2" w:space="0" w:color="000000"/>
              <w:left w:val="single" w:sz="2" w:space="0" w:color="000000"/>
            </w:tcBorders>
          </w:tcPr>
          <w:p w:rsidR="00B852E7" w:rsidRDefault="00B852E7" w:rsidP="00675923">
            <w:pPr>
              <w:pStyle w:val="TableParagraph"/>
              <w:rPr>
                <w:sz w:val="10"/>
              </w:rPr>
            </w:pPr>
            <w:r>
              <w:rPr>
                <w:w w:val="105"/>
                <w:sz w:val="10"/>
              </w:rPr>
              <w:t>*SOC: 59.9 → 65, (SOC 29 has</w:t>
            </w:r>
          </w:p>
          <w:p w:rsidR="00B852E7" w:rsidRDefault="00B852E7" w:rsidP="00675923">
            <w:pPr>
              <w:pStyle w:val="TableParagraph"/>
              <w:spacing w:before="18" w:line="276" w:lineRule="auto"/>
              <w:ind w:right="-2"/>
              <w:rPr>
                <w:sz w:val="10"/>
              </w:rPr>
            </w:pPr>
            <w:r>
              <w:rPr>
                <w:w w:val="105"/>
                <w:sz w:val="10"/>
              </w:rPr>
              <w:t>been revised and translated into five factors) (p&lt;0.01).</w:t>
            </w:r>
          </w:p>
        </w:tc>
      </w:tr>
    </w:tbl>
    <w:tbl>
      <w:tblPr>
        <w:tblpPr w:leftFromText="180" w:rightFromText="180" w:vertAnchor="text" w:horzAnchor="margin" w:tblpY="-1734"/>
        <w:tblW w:w="160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8"/>
        <w:gridCol w:w="357"/>
        <w:gridCol w:w="683"/>
        <w:gridCol w:w="1586"/>
        <w:gridCol w:w="657"/>
        <w:gridCol w:w="1528"/>
        <w:gridCol w:w="2815"/>
        <w:gridCol w:w="2777"/>
        <w:gridCol w:w="842"/>
        <w:gridCol w:w="804"/>
        <w:gridCol w:w="936"/>
        <w:gridCol w:w="1753"/>
      </w:tblGrid>
      <w:tr w:rsidR="00B852E7" w:rsidTr="00B852E7">
        <w:trPr>
          <w:trHeight w:val="484"/>
        </w:trPr>
        <w:tc>
          <w:tcPr>
            <w:tcW w:w="1278" w:type="dxa"/>
            <w:tcBorders>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28"/>
              <w:rPr>
                <w:b/>
                <w:sz w:val="12"/>
              </w:rPr>
            </w:pPr>
            <w:r>
              <w:rPr>
                <w:b/>
                <w:w w:val="105"/>
                <w:sz w:val="12"/>
              </w:rPr>
              <w:t>Authors</w:t>
            </w:r>
          </w:p>
        </w:tc>
        <w:tc>
          <w:tcPr>
            <w:tcW w:w="357"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32"/>
              <w:rPr>
                <w:b/>
                <w:sz w:val="12"/>
              </w:rPr>
            </w:pPr>
            <w:r>
              <w:rPr>
                <w:b/>
                <w:w w:val="105"/>
                <w:sz w:val="12"/>
              </w:rPr>
              <w:t>Year</w:t>
            </w:r>
          </w:p>
        </w:tc>
        <w:tc>
          <w:tcPr>
            <w:tcW w:w="683"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33"/>
              <w:rPr>
                <w:b/>
                <w:sz w:val="12"/>
              </w:rPr>
            </w:pPr>
            <w:r>
              <w:rPr>
                <w:b/>
                <w:w w:val="105"/>
                <w:sz w:val="12"/>
              </w:rPr>
              <w:t>Country</w:t>
            </w:r>
          </w:p>
        </w:tc>
        <w:tc>
          <w:tcPr>
            <w:tcW w:w="1586"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33"/>
              <w:rPr>
                <w:b/>
                <w:sz w:val="12"/>
              </w:rPr>
            </w:pPr>
            <w:r>
              <w:rPr>
                <w:b/>
                <w:w w:val="105"/>
                <w:sz w:val="12"/>
              </w:rPr>
              <w:t>Title</w:t>
            </w:r>
          </w:p>
        </w:tc>
        <w:tc>
          <w:tcPr>
            <w:tcW w:w="657"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34"/>
              <w:rPr>
                <w:b/>
                <w:sz w:val="12"/>
              </w:rPr>
            </w:pPr>
            <w:r>
              <w:rPr>
                <w:b/>
                <w:w w:val="105"/>
                <w:sz w:val="12"/>
              </w:rPr>
              <w:t>Method</w:t>
            </w:r>
          </w:p>
        </w:tc>
        <w:tc>
          <w:tcPr>
            <w:tcW w:w="1528"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rPr>
                <w:b/>
                <w:sz w:val="12"/>
              </w:rPr>
            </w:pPr>
            <w:r>
              <w:rPr>
                <w:b/>
                <w:w w:val="105"/>
                <w:sz w:val="12"/>
              </w:rPr>
              <w:t>Sample</w:t>
            </w:r>
          </w:p>
        </w:tc>
        <w:tc>
          <w:tcPr>
            <w:tcW w:w="2815"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36"/>
              <w:rPr>
                <w:b/>
                <w:sz w:val="12"/>
              </w:rPr>
            </w:pPr>
            <w:r>
              <w:rPr>
                <w:b/>
                <w:w w:val="105"/>
                <w:sz w:val="12"/>
              </w:rPr>
              <w:t>Type of intervention(s)</w:t>
            </w:r>
          </w:p>
        </w:tc>
        <w:tc>
          <w:tcPr>
            <w:tcW w:w="2777"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36"/>
              <w:rPr>
                <w:b/>
                <w:sz w:val="12"/>
              </w:rPr>
            </w:pPr>
            <w:r>
              <w:rPr>
                <w:b/>
                <w:w w:val="105"/>
                <w:sz w:val="12"/>
              </w:rPr>
              <w:t>Salutogenic intervention content.</w:t>
            </w:r>
          </w:p>
        </w:tc>
        <w:tc>
          <w:tcPr>
            <w:tcW w:w="842"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1"/>
              <w:ind w:left="0"/>
              <w:rPr>
                <w:rFonts w:ascii="Times New Roman"/>
                <w:sz w:val="13"/>
              </w:rPr>
            </w:pPr>
          </w:p>
          <w:p w:rsidR="00B852E7" w:rsidRDefault="00B852E7" w:rsidP="00B852E7">
            <w:pPr>
              <w:pStyle w:val="TableParagraph"/>
              <w:spacing w:before="0" w:line="160" w:lineRule="atLeast"/>
              <w:ind w:left="37" w:right="60"/>
              <w:rPr>
                <w:b/>
                <w:sz w:val="12"/>
              </w:rPr>
            </w:pPr>
            <w:r>
              <w:rPr>
                <w:b/>
                <w:w w:val="105"/>
                <w:sz w:val="12"/>
              </w:rPr>
              <w:t>Salutogenic criteria*</w:t>
            </w:r>
          </w:p>
        </w:tc>
        <w:tc>
          <w:tcPr>
            <w:tcW w:w="804"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12"/>
              <w:ind w:left="37"/>
              <w:rPr>
                <w:b/>
                <w:sz w:val="12"/>
              </w:rPr>
            </w:pPr>
            <w:r>
              <w:rPr>
                <w:b/>
                <w:w w:val="105"/>
                <w:sz w:val="12"/>
              </w:rPr>
              <w:t>SOC</w:t>
            </w:r>
          </w:p>
          <w:p w:rsidR="00B852E7" w:rsidRDefault="00B852E7" w:rsidP="00B852E7">
            <w:pPr>
              <w:pStyle w:val="TableParagraph"/>
              <w:spacing w:before="0" w:line="160" w:lineRule="atLeast"/>
              <w:ind w:left="37" w:right="164"/>
              <w:rPr>
                <w:b/>
                <w:sz w:val="12"/>
              </w:rPr>
            </w:pPr>
            <w:r>
              <w:rPr>
                <w:b/>
                <w:spacing w:val="-1"/>
                <w:w w:val="105"/>
                <w:sz w:val="12"/>
              </w:rPr>
              <w:t>Question</w:t>
            </w:r>
            <w:r>
              <w:rPr>
                <w:b/>
                <w:w w:val="105"/>
                <w:sz w:val="12"/>
              </w:rPr>
              <w:t>naire</w:t>
            </w:r>
          </w:p>
        </w:tc>
        <w:tc>
          <w:tcPr>
            <w:tcW w:w="936"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1"/>
              <w:ind w:left="0"/>
              <w:rPr>
                <w:rFonts w:ascii="Times New Roman"/>
                <w:sz w:val="13"/>
              </w:rPr>
            </w:pPr>
          </w:p>
          <w:p w:rsidR="00B852E7" w:rsidRDefault="00B852E7" w:rsidP="00B852E7">
            <w:pPr>
              <w:pStyle w:val="TableParagraph"/>
              <w:spacing w:before="0" w:line="160" w:lineRule="atLeast"/>
              <w:ind w:left="38"/>
              <w:rPr>
                <w:b/>
                <w:sz w:val="12"/>
              </w:rPr>
            </w:pPr>
            <w:r>
              <w:rPr>
                <w:b/>
                <w:w w:val="105"/>
                <w:sz w:val="12"/>
              </w:rPr>
              <w:t>Assessment points</w:t>
            </w:r>
          </w:p>
        </w:tc>
        <w:tc>
          <w:tcPr>
            <w:tcW w:w="1753" w:type="dxa"/>
            <w:tcBorders>
              <w:left w:val="single" w:sz="4" w:space="0" w:color="000000"/>
              <w:bottom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38"/>
              <w:rPr>
                <w:b/>
                <w:sz w:val="12"/>
              </w:rPr>
            </w:pPr>
            <w:r>
              <w:rPr>
                <w:b/>
                <w:w w:val="105"/>
                <w:sz w:val="12"/>
              </w:rPr>
              <w:t>Result SOC**</w:t>
            </w:r>
          </w:p>
        </w:tc>
      </w:tr>
      <w:tr w:rsidR="00B852E7" w:rsidRPr="00C65587" w:rsidTr="00B852E7">
        <w:trPr>
          <w:trHeight w:val="699"/>
        </w:trPr>
        <w:tc>
          <w:tcPr>
            <w:tcW w:w="1278" w:type="dxa"/>
            <w:tcBorders>
              <w:top w:val="single" w:sz="4" w:space="0" w:color="000000"/>
              <w:bottom w:val="single" w:sz="2" w:space="0" w:color="000000"/>
              <w:right w:val="single" w:sz="2" w:space="0" w:color="000000"/>
            </w:tcBorders>
          </w:tcPr>
          <w:p w:rsidR="00B852E7" w:rsidRDefault="00B852E7" w:rsidP="00B852E7">
            <w:pPr>
              <w:pStyle w:val="TableParagraph"/>
              <w:spacing w:before="9" w:line="276" w:lineRule="auto"/>
              <w:ind w:left="23" w:right="183"/>
              <w:rPr>
                <w:sz w:val="10"/>
              </w:rPr>
            </w:pPr>
            <w:r>
              <w:rPr>
                <w:w w:val="105"/>
                <w:sz w:val="10"/>
              </w:rPr>
              <w:t>Ericson, H, Skoog, T Johansson, M Wahlin- Larsson, B.</w:t>
            </w:r>
          </w:p>
        </w:tc>
        <w:tc>
          <w:tcPr>
            <w:tcW w:w="357"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ind w:left="30"/>
              <w:rPr>
                <w:sz w:val="10"/>
              </w:rPr>
            </w:pPr>
            <w:r>
              <w:rPr>
                <w:w w:val="105"/>
                <w:sz w:val="10"/>
              </w:rPr>
              <w:t>2018</w:t>
            </w:r>
          </w:p>
        </w:tc>
        <w:tc>
          <w:tcPr>
            <w:tcW w:w="683"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ind w:left="30"/>
              <w:rPr>
                <w:sz w:val="10"/>
              </w:rPr>
            </w:pPr>
            <w:r>
              <w:rPr>
                <w:w w:val="105"/>
                <w:sz w:val="10"/>
              </w:rPr>
              <w:t>Sweden</w:t>
            </w:r>
          </w:p>
        </w:tc>
        <w:tc>
          <w:tcPr>
            <w:tcW w:w="1586"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line="276" w:lineRule="auto"/>
              <w:ind w:left="31" w:right="29"/>
              <w:rPr>
                <w:sz w:val="10"/>
              </w:rPr>
            </w:pPr>
            <w:r>
              <w:rPr>
                <w:w w:val="105"/>
                <w:sz w:val="10"/>
              </w:rPr>
              <w:t>Resistance training is linked to heightened positive motivational state and lower negative affect among healthy women aged 65- 70.</w:t>
            </w:r>
          </w:p>
        </w:tc>
        <w:tc>
          <w:tcPr>
            <w:tcW w:w="657"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ind w:left="32"/>
              <w:rPr>
                <w:sz w:val="10"/>
              </w:rPr>
            </w:pPr>
            <w:r>
              <w:rPr>
                <w:w w:val="105"/>
                <w:sz w:val="10"/>
              </w:rPr>
              <w:t>RCT</w:t>
            </w:r>
          </w:p>
        </w:tc>
        <w:tc>
          <w:tcPr>
            <w:tcW w:w="1528"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line="276" w:lineRule="auto"/>
              <w:ind w:left="33" w:right="75"/>
              <w:rPr>
                <w:sz w:val="10"/>
              </w:rPr>
            </w:pPr>
            <w:r>
              <w:rPr>
                <w:w w:val="105"/>
                <w:sz w:val="10"/>
              </w:rPr>
              <w:t>Women, aged 65 - 70 years. Intervention group (n=14) Control group (n=18).</w:t>
            </w:r>
          </w:p>
        </w:tc>
        <w:tc>
          <w:tcPr>
            <w:tcW w:w="2815"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line="276" w:lineRule="auto"/>
              <w:ind w:left="34" w:right="7"/>
              <w:rPr>
                <w:sz w:val="10"/>
              </w:rPr>
            </w:pPr>
            <w:r>
              <w:rPr>
                <w:w w:val="105"/>
                <w:sz w:val="10"/>
              </w:rPr>
              <w:t>Resistance training was conducted as previously described by Strandberg et al. (2015) over a period of 24 weeks.</w:t>
            </w:r>
          </w:p>
          <w:p w:rsidR="00B852E7" w:rsidRDefault="00B852E7" w:rsidP="00B852E7">
            <w:pPr>
              <w:pStyle w:val="TableParagraph"/>
              <w:spacing w:before="0" w:line="115" w:lineRule="exact"/>
              <w:ind w:left="34"/>
              <w:rPr>
                <w:sz w:val="10"/>
              </w:rPr>
            </w:pPr>
            <w:r>
              <w:rPr>
                <w:w w:val="105"/>
                <w:sz w:val="10"/>
              </w:rPr>
              <w:t>Control group: Normal level of activity.</w:t>
            </w:r>
          </w:p>
        </w:tc>
        <w:tc>
          <w:tcPr>
            <w:tcW w:w="2777"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line="276" w:lineRule="auto"/>
              <w:ind w:left="34" w:right="135"/>
              <w:rPr>
                <w:sz w:val="10"/>
              </w:rPr>
            </w:pPr>
            <w:r>
              <w:rPr>
                <w:w w:val="105"/>
                <w:sz w:val="10"/>
              </w:rPr>
              <w:t>Resistance training. Individually tailored, strength-power training program. Exercises performed in the gym were: squats, leg extensions, leg presses, seated rows and pulldowns, squat jumps, and core stability exercises.</w:t>
            </w:r>
          </w:p>
        </w:tc>
        <w:tc>
          <w:tcPr>
            <w:tcW w:w="842"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14"/>
              <w:rPr>
                <w:b/>
                <w:sz w:val="10"/>
              </w:rPr>
            </w:pPr>
            <w:r>
              <w:rPr>
                <w:b/>
                <w:w w:val="105"/>
                <w:sz w:val="10"/>
              </w:rPr>
              <w:t>A, GRRs</w:t>
            </w:r>
          </w:p>
        </w:tc>
        <w:tc>
          <w:tcPr>
            <w:tcW w:w="804"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rPr>
                <w:sz w:val="10"/>
              </w:rPr>
            </w:pPr>
            <w:r>
              <w:rPr>
                <w:w w:val="105"/>
                <w:sz w:val="10"/>
              </w:rPr>
              <w:t>SOC-13</w:t>
            </w:r>
          </w:p>
          <w:p w:rsidR="00B852E7" w:rsidRDefault="00B852E7" w:rsidP="00B852E7">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line="276" w:lineRule="auto"/>
              <w:ind w:right="152"/>
              <w:rPr>
                <w:sz w:val="10"/>
              </w:rPr>
            </w:pPr>
            <w:r>
              <w:rPr>
                <w:w w:val="105"/>
                <w:sz w:val="10"/>
              </w:rPr>
              <w:t>Before &amp; after intervention (24 weeks)</w:t>
            </w:r>
          </w:p>
        </w:tc>
        <w:tc>
          <w:tcPr>
            <w:tcW w:w="1753" w:type="dxa"/>
            <w:tcBorders>
              <w:top w:val="single" w:sz="4" w:space="0" w:color="000000"/>
              <w:left w:val="single" w:sz="2" w:space="0" w:color="000000"/>
              <w:bottom w:val="single" w:sz="2" w:space="0" w:color="000000"/>
            </w:tcBorders>
          </w:tcPr>
          <w:p w:rsidR="00B852E7" w:rsidRDefault="00B852E7" w:rsidP="00B852E7">
            <w:pPr>
              <w:pStyle w:val="TableParagraph"/>
              <w:spacing w:before="9"/>
              <w:ind w:right="-15"/>
              <w:rPr>
                <w:sz w:val="10"/>
              </w:rPr>
            </w:pPr>
            <w:r>
              <w:rPr>
                <w:w w:val="105"/>
                <w:sz w:val="10"/>
              </w:rPr>
              <w:t>Resistance training group: SOC</w:t>
            </w:r>
            <w:r>
              <w:rPr>
                <w:spacing w:val="-15"/>
                <w:w w:val="105"/>
                <w:sz w:val="10"/>
              </w:rPr>
              <w:t xml:space="preserve"> </w:t>
            </w:r>
            <w:r>
              <w:rPr>
                <w:w w:val="105"/>
                <w:sz w:val="10"/>
              </w:rPr>
              <w:t>72.4</w:t>
            </w:r>
          </w:p>
          <w:p w:rsidR="00B852E7" w:rsidRDefault="00B852E7" w:rsidP="00B852E7">
            <w:pPr>
              <w:pStyle w:val="TableParagraph"/>
              <w:spacing w:before="17" w:line="276" w:lineRule="auto"/>
              <w:ind w:right="270"/>
              <w:rPr>
                <w:sz w:val="10"/>
              </w:rPr>
            </w:pPr>
            <w:r>
              <w:rPr>
                <w:w w:val="105"/>
                <w:sz w:val="10"/>
              </w:rPr>
              <w:t>→ 72.9, p=.906 Control group: 68.1→69.2</w:t>
            </w:r>
          </w:p>
        </w:tc>
      </w:tr>
      <w:tr w:rsidR="00B852E7" w:rsidRPr="00C65587" w:rsidTr="00B852E7">
        <w:trPr>
          <w:trHeight w:val="701"/>
        </w:trPr>
        <w:tc>
          <w:tcPr>
            <w:tcW w:w="1278" w:type="dxa"/>
            <w:tcBorders>
              <w:top w:val="single" w:sz="2" w:space="0" w:color="000000"/>
              <w:bottom w:val="single" w:sz="2" w:space="0" w:color="000000"/>
              <w:right w:val="single" w:sz="2" w:space="0" w:color="000000"/>
            </w:tcBorders>
          </w:tcPr>
          <w:p w:rsidR="00B852E7" w:rsidRDefault="00B852E7" w:rsidP="00B852E7">
            <w:pPr>
              <w:pStyle w:val="TableParagraph"/>
              <w:spacing w:line="276" w:lineRule="auto"/>
              <w:ind w:left="23" w:right="189"/>
              <w:rPr>
                <w:sz w:val="10"/>
              </w:rPr>
            </w:pPr>
            <w:r>
              <w:rPr>
                <w:w w:val="105"/>
                <w:sz w:val="10"/>
              </w:rPr>
              <w:t>Fagermoen, MS, Hamilton, G, Lerdal, A</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2015</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Norway</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1" w:right="29"/>
              <w:rPr>
                <w:sz w:val="10"/>
              </w:rPr>
            </w:pPr>
            <w:r>
              <w:rPr>
                <w:w w:val="105"/>
                <w:sz w:val="10"/>
              </w:rPr>
              <w:t>Morbid obese adults increased their sense of coherence 1 year after a patient education course: a longitudinal study</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2"/>
              <w:rPr>
                <w:sz w:val="10"/>
              </w:rPr>
            </w:pPr>
            <w:r>
              <w:rPr>
                <w:w w:val="105"/>
                <w:sz w:val="10"/>
              </w:rPr>
              <w:t>Follow-up</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3" w:right="177"/>
              <w:rPr>
                <w:sz w:val="10"/>
              </w:rPr>
            </w:pPr>
            <w:r>
              <w:rPr>
                <w:w w:val="105"/>
                <w:sz w:val="10"/>
              </w:rPr>
              <w:t>Patients, women and men, with morbid obesity (N=68),mean age 43.4, (SD 10.3)</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42"/>
              <w:rPr>
                <w:sz w:val="10"/>
              </w:rPr>
            </w:pPr>
            <w:r>
              <w:rPr>
                <w:w w:val="105"/>
                <w:sz w:val="10"/>
              </w:rPr>
              <w:t>Intervention: A patient education course over a period over 9-12 weeks. It consisted of 40 hours.</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8"/>
              <w:rPr>
                <w:sz w:val="10"/>
              </w:rPr>
            </w:pPr>
            <w:r>
              <w:rPr>
                <w:w w:val="105"/>
                <w:sz w:val="10"/>
              </w:rPr>
              <w:t>Grounded</w:t>
            </w:r>
            <w:r>
              <w:rPr>
                <w:spacing w:val="-6"/>
                <w:w w:val="105"/>
                <w:sz w:val="10"/>
              </w:rPr>
              <w:t xml:space="preserve"> </w:t>
            </w:r>
            <w:r>
              <w:rPr>
                <w:w w:val="105"/>
                <w:sz w:val="10"/>
              </w:rPr>
              <w:t>in</w:t>
            </w:r>
            <w:r>
              <w:rPr>
                <w:spacing w:val="-5"/>
                <w:w w:val="105"/>
                <w:sz w:val="10"/>
              </w:rPr>
              <w:t xml:space="preserve"> </w:t>
            </w:r>
            <w:r>
              <w:rPr>
                <w:w w:val="105"/>
                <w:sz w:val="10"/>
              </w:rPr>
              <w:t>cognitive</w:t>
            </w:r>
            <w:r>
              <w:rPr>
                <w:spacing w:val="-6"/>
                <w:w w:val="105"/>
                <w:sz w:val="10"/>
              </w:rPr>
              <w:t xml:space="preserve"> </w:t>
            </w:r>
            <w:r>
              <w:rPr>
                <w:w w:val="105"/>
                <w:sz w:val="10"/>
              </w:rPr>
              <w:t>behaviour</w:t>
            </w:r>
            <w:r>
              <w:rPr>
                <w:spacing w:val="-3"/>
                <w:w w:val="105"/>
                <w:sz w:val="10"/>
              </w:rPr>
              <w:t xml:space="preserve"> </w:t>
            </w:r>
            <w:r>
              <w:rPr>
                <w:w w:val="105"/>
                <w:sz w:val="10"/>
              </w:rPr>
              <w:t>theory</w:t>
            </w:r>
            <w:r>
              <w:rPr>
                <w:spacing w:val="-6"/>
                <w:w w:val="105"/>
                <w:sz w:val="10"/>
              </w:rPr>
              <w:t xml:space="preserve"> </w:t>
            </w:r>
            <w:r>
              <w:rPr>
                <w:w w:val="105"/>
                <w:sz w:val="10"/>
              </w:rPr>
              <w:t>and</w:t>
            </w:r>
            <w:r>
              <w:rPr>
                <w:spacing w:val="-6"/>
                <w:w w:val="105"/>
                <w:sz w:val="10"/>
              </w:rPr>
              <w:t xml:space="preserve"> </w:t>
            </w:r>
            <w:r>
              <w:rPr>
                <w:w w:val="105"/>
                <w:sz w:val="10"/>
              </w:rPr>
              <w:t>emphasises</w:t>
            </w:r>
            <w:r>
              <w:rPr>
                <w:spacing w:val="-3"/>
                <w:w w:val="105"/>
                <w:sz w:val="10"/>
              </w:rPr>
              <w:t xml:space="preserve"> </w:t>
            </w:r>
            <w:r>
              <w:rPr>
                <w:w w:val="105"/>
                <w:sz w:val="10"/>
              </w:rPr>
              <w:t>the participants work in uncovering hidden resources and strengthening self-concept. It includes lifestyle changes, individual action plan, guided reflections, self-help group and physical</w:t>
            </w:r>
            <w:r>
              <w:rPr>
                <w:spacing w:val="-3"/>
                <w:w w:val="105"/>
                <w:sz w:val="10"/>
              </w:rPr>
              <w:t xml:space="preserve"> </w:t>
            </w:r>
            <w:r>
              <w:rPr>
                <w:w w:val="105"/>
                <w:sz w:val="10"/>
              </w:rPr>
              <w:t>activity</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line="285" w:lineRule="auto"/>
              <w:ind w:right="-18"/>
              <w:rPr>
                <w:b/>
                <w:sz w:val="10"/>
              </w:rPr>
            </w:pPr>
            <w:r>
              <w:rPr>
                <w:b/>
                <w:w w:val="105"/>
                <w:sz w:val="10"/>
              </w:rPr>
              <w:t>A, L, GRRs, SRRs, 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rPr>
                <w:sz w:val="10"/>
              </w:rPr>
            </w:pPr>
            <w:r>
              <w:rPr>
                <w:w w:val="105"/>
                <w:sz w:val="10"/>
              </w:rPr>
              <w:t>SOC-13</w:t>
            </w:r>
          </w:p>
          <w:p w:rsidR="00B852E7" w:rsidRDefault="00B852E7" w:rsidP="00B852E7">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right="257"/>
              <w:rPr>
                <w:sz w:val="10"/>
              </w:rPr>
            </w:pPr>
            <w:r>
              <w:rPr>
                <w:w w:val="105"/>
                <w:sz w:val="10"/>
              </w:rPr>
              <w:t>At 12 months follow up.</w:t>
            </w:r>
          </w:p>
        </w:tc>
        <w:tc>
          <w:tcPr>
            <w:tcW w:w="1753"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right="4"/>
              <w:rPr>
                <w:sz w:val="10"/>
              </w:rPr>
            </w:pPr>
            <w:r>
              <w:rPr>
                <w:w w:val="105"/>
                <w:sz w:val="10"/>
              </w:rPr>
              <w:t>N=68. SOC: Baseline and 12 months: 54.7 → 59.2 (p=.0.001)</w:t>
            </w:r>
          </w:p>
        </w:tc>
      </w:tr>
      <w:tr w:rsidR="00B852E7" w:rsidRPr="00C65587" w:rsidTr="00B852E7">
        <w:trPr>
          <w:trHeight w:val="981"/>
        </w:trPr>
        <w:tc>
          <w:tcPr>
            <w:tcW w:w="1278" w:type="dxa"/>
            <w:tcBorders>
              <w:top w:val="single" w:sz="2" w:space="0" w:color="000000"/>
              <w:bottom w:val="single" w:sz="2" w:space="0" w:color="000000"/>
              <w:right w:val="single" w:sz="2" w:space="0" w:color="000000"/>
            </w:tcBorders>
          </w:tcPr>
          <w:p w:rsidR="00B852E7" w:rsidRPr="0091233F" w:rsidRDefault="00B852E7" w:rsidP="00B852E7">
            <w:pPr>
              <w:pStyle w:val="TableParagraph"/>
              <w:spacing w:line="276" w:lineRule="auto"/>
              <w:ind w:left="23" w:right="72"/>
              <w:rPr>
                <w:sz w:val="10"/>
                <w:lang w:val="nn-NO"/>
              </w:rPr>
            </w:pPr>
            <w:r w:rsidRPr="0091233F">
              <w:rPr>
                <w:w w:val="105"/>
                <w:sz w:val="10"/>
                <w:lang w:val="nn-NO"/>
              </w:rPr>
              <w:t>Forsberg, KA; Bjorkman, T; Sandman, PO; Sandlund, M.</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2010</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Sweden</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1" w:right="18"/>
              <w:rPr>
                <w:sz w:val="10"/>
              </w:rPr>
            </w:pPr>
            <w:r>
              <w:rPr>
                <w:w w:val="105"/>
                <w:sz w:val="10"/>
              </w:rPr>
              <w:t>Influence of a lifestyle intervention among persons with a psychiatric disability: A cluster randomised controlled trail on symptoms, quality of life and sense of coherence.</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2"/>
              <w:rPr>
                <w:sz w:val="10"/>
              </w:rPr>
            </w:pPr>
            <w:r>
              <w:rPr>
                <w:w w:val="105"/>
                <w:sz w:val="10"/>
              </w:rPr>
              <w:t>RCT</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3" w:right="-7"/>
              <w:rPr>
                <w:sz w:val="10"/>
              </w:rPr>
            </w:pPr>
            <w:r>
              <w:rPr>
                <w:w w:val="105"/>
                <w:sz w:val="10"/>
              </w:rPr>
              <w:t>Persons with psychiatric disabilities living in supported housing facilities or in own flats, Age 22-71 years.</w:t>
            </w:r>
          </w:p>
          <w:p w:rsidR="00B852E7" w:rsidRDefault="00B852E7" w:rsidP="00B852E7">
            <w:pPr>
              <w:pStyle w:val="TableParagraph"/>
              <w:spacing w:before="0" w:line="276" w:lineRule="auto"/>
              <w:ind w:left="33" w:right="75"/>
              <w:rPr>
                <w:sz w:val="10"/>
              </w:rPr>
            </w:pPr>
            <w:r>
              <w:rPr>
                <w:w w:val="105"/>
                <w:sz w:val="10"/>
              </w:rPr>
              <w:t>Intervention group:(n=24) Control group: (n=17).</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1"/>
              <w:rPr>
                <w:sz w:val="10"/>
              </w:rPr>
            </w:pPr>
            <w:r>
              <w:rPr>
                <w:w w:val="105"/>
                <w:sz w:val="10"/>
              </w:rPr>
              <w:t>The intervention: a program for healthy living in a form of a study circle. Each study circle comprised 5–13 participants including between two–seven residents and three–seven staff members, and all circles had the same leader. They met twice a week for two hours for the duration of 12- months, once a week for diet sessions and once a week for physical activities.</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16"/>
              <w:rPr>
                <w:sz w:val="10"/>
              </w:rPr>
            </w:pPr>
            <w:r>
              <w:rPr>
                <w:w w:val="105"/>
                <w:sz w:val="10"/>
              </w:rPr>
              <w:t>Study circle: Healthy life style, physical activities, focus on motivation, food content, stress and fitness and different activities.</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rPr>
                <w:b/>
                <w:sz w:val="10"/>
              </w:rPr>
            </w:pPr>
            <w:r>
              <w:rPr>
                <w:b/>
                <w:w w:val="105"/>
                <w:sz w:val="10"/>
              </w:rPr>
              <w:t>A, L, SRRs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rPr>
                <w:sz w:val="10"/>
              </w:rPr>
            </w:pPr>
            <w:r>
              <w:rPr>
                <w:w w:val="105"/>
                <w:sz w:val="10"/>
              </w:rPr>
              <w:t>SOC-13</w:t>
            </w:r>
          </w:p>
          <w:p w:rsidR="00B852E7" w:rsidRDefault="00B852E7" w:rsidP="00B852E7">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right="152"/>
              <w:rPr>
                <w:sz w:val="10"/>
              </w:rPr>
            </w:pPr>
            <w:r>
              <w:rPr>
                <w:w w:val="105"/>
                <w:sz w:val="10"/>
              </w:rPr>
              <w:t>Before &amp; after intervention (12 months)</w:t>
            </w:r>
          </w:p>
        </w:tc>
        <w:tc>
          <w:tcPr>
            <w:tcW w:w="1753" w:type="dxa"/>
            <w:tcBorders>
              <w:top w:val="single" w:sz="2" w:space="0" w:color="000000"/>
              <w:left w:val="single" w:sz="2" w:space="0" w:color="000000"/>
              <w:bottom w:val="single" w:sz="2" w:space="0" w:color="000000"/>
            </w:tcBorders>
          </w:tcPr>
          <w:p w:rsidR="00B852E7" w:rsidRDefault="00B852E7" w:rsidP="00B852E7">
            <w:pPr>
              <w:pStyle w:val="TableParagraph"/>
              <w:rPr>
                <w:sz w:val="10"/>
              </w:rPr>
            </w:pPr>
            <w:r>
              <w:rPr>
                <w:w w:val="105"/>
                <w:sz w:val="10"/>
              </w:rPr>
              <w:t>Intervention:</w:t>
            </w:r>
          </w:p>
          <w:p w:rsidR="00B852E7" w:rsidRDefault="00B852E7" w:rsidP="00B852E7">
            <w:pPr>
              <w:pStyle w:val="TableParagraph"/>
              <w:spacing w:before="17"/>
              <w:rPr>
                <w:sz w:val="10"/>
              </w:rPr>
            </w:pPr>
            <w:r>
              <w:rPr>
                <w:w w:val="105"/>
                <w:sz w:val="10"/>
              </w:rPr>
              <w:t>52.8 →</w:t>
            </w:r>
            <w:r>
              <w:rPr>
                <w:spacing w:val="-12"/>
                <w:w w:val="105"/>
                <w:sz w:val="10"/>
              </w:rPr>
              <w:t xml:space="preserve"> </w:t>
            </w:r>
            <w:r>
              <w:rPr>
                <w:w w:val="105"/>
                <w:sz w:val="10"/>
              </w:rPr>
              <w:t>61.2.</w:t>
            </w:r>
          </w:p>
          <w:p w:rsidR="00B852E7" w:rsidRDefault="00B852E7" w:rsidP="00B852E7">
            <w:pPr>
              <w:pStyle w:val="TableParagraph"/>
              <w:spacing w:before="17"/>
              <w:rPr>
                <w:sz w:val="10"/>
              </w:rPr>
            </w:pPr>
            <w:r>
              <w:rPr>
                <w:w w:val="105"/>
                <w:sz w:val="10"/>
              </w:rPr>
              <w:t>Control:</w:t>
            </w:r>
          </w:p>
          <w:p w:rsidR="00B852E7" w:rsidRDefault="00B852E7" w:rsidP="00B852E7">
            <w:pPr>
              <w:pStyle w:val="TableParagraph"/>
              <w:spacing w:before="17" w:line="276" w:lineRule="auto"/>
              <w:ind w:right="4"/>
              <w:rPr>
                <w:sz w:val="10"/>
              </w:rPr>
            </w:pPr>
            <w:r>
              <w:rPr>
                <w:w w:val="105"/>
                <w:sz w:val="10"/>
              </w:rPr>
              <w:t>57.2 → 57.8 Significant difference between groups, p= 0.050)</w:t>
            </w:r>
          </w:p>
        </w:tc>
      </w:tr>
      <w:tr w:rsidR="00B852E7" w:rsidTr="00B852E7">
        <w:trPr>
          <w:trHeight w:val="839"/>
        </w:trPr>
        <w:tc>
          <w:tcPr>
            <w:tcW w:w="1278" w:type="dxa"/>
            <w:tcBorders>
              <w:top w:val="single" w:sz="2" w:space="0" w:color="000000"/>
              <w:bottom w:val="single" w:sz="2" w:space="0" w:color="000000"/>
              <w:right w:val="single" w:sz="2" w:space="0" w:color="000000"/>
            </w:tcBorders>
          </w:tcPr>
          <w:p w:rsidR="00B852E7" w:rsidRDefault="00B852E7" w:rsidP="00B852E7">
            <w:pPr>
              <w:pStyle w:val="TableParagraph"/>
              <w:spacing w:line="276" w:lineRule="auto"/>
              <w:ind w:left="23" w:right="96"/>
              <w:rPr>
                <w:sz w:val="10"/>
              </w:rPr>
            </w:pPr>
            <w:r>
              <w:rPr>
                <w:w w:val="105"/>
                <w:sz w:val="10"/>
              </w:rPr>
              <w:t>Foureur M, Besley K, Burton G, Yu N, Crisp J.</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2013</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NSW,</w:t>
            </w:r>
          </w:p>
          <w:p w:rsidR="00B852E7" w:rsidRDefault="00B852E7" w:rsidP="00B852E7">
            <w:pPr>
              <w:pStyle w:val="TableParagraph"/>
              <w:spacing w:before="17"/>
              <w:ind w:left="30"/>
              <w:rPr>
                <w:sz w:val="10"/>
              </w:rPr>
            </w:pPr>
            <w:r>
              <w:rPr>
                <w:w w:val="105"/>
                <w:sz w:val="10"/>
              </w:rPr>
              <w:t>Australia</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1" w:right="83"/>
              <w:rPr>
                <w:sz w:val="10"/>
              </w:rPr>
            </w:pPr>
            <w:r>
              <w:rPr>
                <w:w w:val="105"/>
                <w:sz w:val="10"/>
              </w:rPr>
              <w:t>Enhancing the resilience of nurses and midwives: pilot of a mindfulness-based program for increased health, sense of coherence and decreased depression, anxiety and stress.</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2" w:right="57"/>
              <w:rPr>
                <w:sz w:val="10"/>
              </w:rPr>
            </w:pPr>
            <w:r>
              <w:rPr>
                <w:w w:val="105"/>
                <w:sz w:val="10"/>
              </w:rPr>
              <w:t>Follow- up (pilot study)</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3" w:right="81"/>
              <w:rPr>
                <w:sz w:val="10"/>
              </w:rPr>
            </w:pPr>
            <w:r>
              <w:rPr>
                <w:w w:val="105"/>
                <w:sz w:val="10"/>
              </w:rPr>
              <w:t>Nurses and midwives working within stressful</w:t>
            </w:r>
          </w:p>
          <w:p w:rsidR="00B852E7" w:rsidRDefault="00B852E7" w:rsidP="00B852E7">
            <w:pPr>
              <w:pStyle w:val="TableParagraph"/>
              <w:spacing w:before="0" w:line="115" w:lineRule="exact"/>
              <w:ind w:left="33"/>
              <w:rPr>
                <w:sz w:val="10"/>
              </w:rPr>
            </w:pPr>
            <w:r>
              <w:rPr>
                <w:w w:val="105"/>
                <w:sz w:val="10"/>
              </w:rPr>
              <w:t>health care contexts (N=38)</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65"/>
              <w:rPr>
                <w:sz w:val="10"/>
              </w:rPr>
            </w:pPr>
            <w:r>
              <w:rPr>
                <w:w w:val="105"/>
                <w:sz w:val="10"/>
              </w:rPr>
              <w:t>Intervention (N=38) Mindfulness based program over 8 week daily practice: Daily meditation practice x 20 minute. Repertoire of strategies for mindfulness in the day to day. Forming habits of daily mindfulness practice</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50"/>
              <w:rPr>
                <w:sz w:val="10"/>
              </w:rPr>
            </w:pPr>
            <w:r>
              <w:rPr>
                <w:w w:val="105"/>
                <w:sz w:val="10"/>
              </w:rPr>
              <w:t>Mindfulness based program: Knowledge of stress on the body, mind, emotion and behaviour. Repertoire of strategies for mindfulness in the day to day. Forming habits of daily mindfulness practice</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rPr>
                <w:b/>
                <w:sz w:val="10"/>
              </w:rPr>
            </w:pPr>
            <w:r>
              <w:rPr>
                <w:b/>
                <w:w w:val="105"/>
                <w:sz w:val="10"/>
              </w:rPr>
              <w:t>A, L, GRRs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rPr>
                <w:sz w:val="10"/>
              </w:rPr>
            </w:pPr>
            <w:r>
              <w:rPr>
                <w:w w:val="105"/>
                <w:sz w:val="10"/>
              </w:rPr>
              <w:t>SOC-29(?)</w:t>
            </w:r>
          </w:p>
          <w:p w:rsidR="00B852E7" w:rsidRDefault="00B852E7" w:rsidP="00B852E7">
            <w:pPr>
              <w:pStyle w:val="TableParagraph"/>
              <w:spacing w:before="17" w:line="276" w:lineRule="auto"/>
              <w:ind w:right="242"/>
              <w:rPr>
                <w:sz w:val="10"/>
              </w:rPr>
            </w:pPr>
            <w:r>
              <w:rPr>
                <w:w w:val="105"/>
                <w:sz w:val="10"/>
              </w:rPr>
              <w:t>Secondary 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right="228"/>
              <w:jc w:val="both"/>
              <w:rPr>
                <w:sz w:val="10"/>
              </w:rPr>
            </w:pPr>
            <w:r>
              <w:rPr>
                <w:w w:val="105"/>
                <w:sz w:val="10"/>
              </w:rPr>
              <w:t>Before &amp; after intervention (8 weeks).</w:t>
            </w:r>
          </w:p>
        </w:tc>
        <w:tc>
          <w:tcPr>
            <w:tcW w:w="1753"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right="4"/>
              <w:rPr>
                <w:sz w:val="10"/>
              </w:rPr>
            </w:pPr>
            <w:r>
              <w:rPr>
                <w:w w:val="105"/>
                <w:sz w:val="10"/>
              </w:rPr>
              <w:t>Preintervention 129.45 → Postintervention 146. P=</w:t>
            </w:r>
          </w:p>
          <w:p w:rsidR="00B852E7" w:rsidRDefault="00B852E7" w:rsidP="00B852E7">
            <w:pPr>
              <w:pStyle w:val="TableParagraph"/>
              <w:spacing w:before="0" w:line="115" w:lineRule="exact"/>
              <w:rPr>
                <w:sz w:val="10"/>
              </w:rPr>
            </w:pPr>
            <w:r>
              <w:rPr>
                <w:w w:val="105"/>
                <w:sz w:val="10"/>
              </w:rPr>
              <w:t>0.009</w:t>
            </w:r>
          </w:p>
        </w:tc>
      </w:tr>
      <w:tr w:rsidR="00B852E7" w:rsidRPr="00C65587" w:rsidTr="00B852E7">
        <w:trPr>
          <w:trHeight w:val="1548"/>
        </w:trPr>
        <w:tc>
          <w:tcPr>
            <w:tcW w:w="1278" w:type="dxa"/>
            <w:tcBorders>
              <w:top w:val="single" w:sz="2" w:space="0" w:color="000000"/>
              <w:bottom w:val="single" w:sz="2" w:space="0" w:color="000000"/>
              <w:right w:val="single" w:sz="2" w:space="0" w:color="000000"/>
            </w:tcBorders>
          </w:tcPr>
          <w:p w:rsidR="00B852E7" w:rsidRPr="0091233F" w:rsidRDefault="00B852E7" w:rsidP="00B852E7">
            <w:pPr>
              <w:pStyle w:val="TableParagraph"/>
              <w:spacing w:before="11" w:line="276" w:lineRule="auto"/>
              <w:ind w:left="23" w:right="25"/>
              <w:rPr>
                <w:sz w:val="10"/>
                <w:lang w:val="nn-NO"/>
              </w:rPr>
            </w:pPr>
            <w:r w:rsidRPr="0091233F">
              <w:rPr>
                <w:w w:val="105"/>
                <w:sz w:val="10"/>
                <w:lang w:val="nn-NO"/>
              </w:rPr>
              <w:t>Graziano, F, Calandri, E, Borghi, M, Bonino, S.</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ind w:left="30"/>
              <w:rPr>
                <w:sz w:val="10"/>
              </w:rPr>
            </w:pPr>
            <w:r>
              <w:rPr>
                <w:w w:val="105"/>
                <w:sz w:val="10"/>
              </w:rPr>
              <w:t>2014</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ind w:left="30"/>
              <w:rPr>
                <w:sz w:val="10"/>
              </w:rPr>
            </w:pPr>
            <w:r>
              <w:rPr>
                <w:w w:val="105"/>
                <w:sz w:val="10"/>
              </w:rPr>
              <w:t>Italy</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line="276" w:lineRule="auto"/>
              <w:ind w:left="31" w:right="53"/>
              <w:rPr>
                <w:sz w:val="10"/>
              </w:rPr>
            </w:pPr>
            <w:r>
              <w:rPr>
                <w:w w:val="105"/>
                <w:sz w:val="10"/>
              </w:rPr>
              <w:t>The effects of a group-based cognitive behavioural therapy on people with multiple sclerosis: a randomized controlled trial.</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ind w:left="32"/>
              <w:rPr>
                <w:sz w:val="10"/>
              </w:rPr>
            </w:pPr>
            <w:r>
              <w:rPr>
                <w:w w:val="105"/>
                <w:sz w:val="10"/>
              </w:rPr>
              <w:t>RCT</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line="276" w:lineRule="auto"/>
              <w:ind w:left="33" w:right="57"/>
              <w:rPr>
                <w:sz w:val="10"/>
              </w:rPr>
            </w:pPr>
            <w:r>
              <w:rPr>
                <w:w w:val="105"/>
                <w:sz w:val="10"/>
              </w:rPr>
              <w:t>Adults with Multiple sclerosis. Age 20-65 years. Intervention group (n=41). Control group (n=41)</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line="276" w:lineRule="auto"/>
              <w:ind w:left="34" w:right="11"/>
              <w:rPr>
                <w:sz w:val="10"/>
              </w:rPr>
            </w:pPr>
            <w:r>
              <w:rPr>
                <w:w w:val="105"/>
                <w:sz w:val="10"/>
              </w:rPr>
              <w:t>Intervention: Five cognitive behavioural group based sessions (2 hours each) and the fifth at 6 months follow- up. Intervention sessions were held in an external non- medical place, a castle surrounded by a park. Control group: Three informative sessions about stem cells, complementary</w:t>
            </w:r>
            <w:r>
              <w:rPr>
                <w:spacing w:val="-7"/>
                <w:w w:val="105"/>
                <w:sz w:val="10"/>
              </w:rPr>
              <w:t xml:space="preserve"> </w:t>
            </w:r>
            <w:r>
              <w:rPr>
                <w:w w:val="105"/>
                <w:sz w:val="10"/>
              </w:rPr>
              <w:t>and</w:t>
            </w:r>
            <w:r>
              <w:rPr>
                <w:spacing w:val="-7"/>
                <w:w w:val="105"/>
                <w:sz w:val="10"/>
              </w:rPr>
              <w:t xml:space="preserve"> </w:t>
            </w:r>
            <w:r>
              <w:rPr>
                <w:w w:val="105"/>
                <w:sz w:val="10"/>
              </w:rPr>
              <w:t>alternative</w:t>
            </w:r>
            <w:r>
              <w:rPr>
                <w:spacing w:val="-6"/>
                <w:w w:val="105"/>
                <w:sz w:val="10"/>
              </w:rPr>
              <w:t xml:space="preserve"> </w:t>
            </w:r>
            <w:r>
              <w:rPr>
                <w:w w:val="105"/>
                <w:sz w:val="10"/>
              </w:rPr>
              <w:t>therapies,</w:t>
            </w:r>
            <w:r>
              <w:rPr>
                <w:spacing w:val="-5"/>
                <w:w w:val="105"/>
                <w:sz w:val="10"/>
              </w:rPr>
              <w:t xml:space="preserve"> </w:t>
            </w:r>
            <w:r>
              <w:rPr>
                <w:w w:val="105"/>
                <w:sz w:val="10"/>
              </w:rPr>
              <w:t>and</w:t>
            </w:r>
            <w:r>
              <w:rPr>
                <w:spacing w:val="-6"/>
                <w:w w:val="105"/>
                <w:sz w:val="10"/>
              </w:rPr>
              <w:t xml:space="preserve"> </w:t>
            </w:r>
            <w:r>
              <w:rPr>
                <w:w w:val="105"/>
                <w:sz w:val="10"/>
              </w:rPr>
              <w:t>nourishment, respectively, over the same period of six months.(In the same non-medical</w:t>
            </w:r>
            <w:r>
              <w:rPr>
                <w:spacing w:val="-3"/>
                <w:w w:val="105"/>
                <w:sz w:val="10"/>
              </w:rPr>
              <w:t xml:space="preserve"> </w:t>
            </w:r>
            <w:r>
              <w:rPr>
                <w:w w:val="105"/>
                <w:sz w:val="10"/>
              </w:rPr>
              <w:t>place).</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line="276" w:lineRule="auto"/>
              <w:ind w:left="34" w:right="-29"/>
              <w:rPr>
                <w:sz w:val="10"/>
              </w:rPr>
            </w:pPr>
            <w:r>
              <w:rPr>
                <w:w w:val="105"/>
                <w:sz w:val="10"/>
              </w:rPr>
              <w:t>Salutogenic environment. Relaxation exercises. identity change and redefinition following the diagnosis of multiple sclerosis (in the family, work, and free-time domains). Life goals that gave people a sense of coherence before the diagnosis and life goals that might give a sense of coherence after the diagnosis (in the family, work, and free- time domains); the definitions of new, realistic, and personally meaningful goals in life. Strategies to reach goals and behaviour evaluation; the promotion of self- efficacy over symptoms, in particular,</w:t>
            </w:r>
            <w:r>
              <w:rPr>
                <w:spacing w:val="-10"/>
                <w:w w:val="105"/>
                <w:sz w:val="10"/>
              </w:rPr>
              <w:t xml:space="preserve"> </w:t>
            </w:r>
            <w:r>
              <w:rPr>
                <w:w w:val="105"/>
                <w:sz w:val="10"/>
              </w:rPr>
              <w:t>fatigue.</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6"/>
              <w:rPr>
                <w:b/>
                <w:sz w:val="10"/>
              </w:rPr>
            </w:pPr>
            <w:r>
              <w:rPr>
                <w:b/>
                <w:w w:val="105"/>
                <w:sz w:val="10"/>
              </w:rPr>
              <w:t>A, L, SRRs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rPr>
                <w:sz w:val="10"/>
              </w:rPr>
            </w:pPr>
            <w:r>
              <w:rPr>
                <w:w w:val="105"/>
                <w:sz w:val="10"/>
              </w:rPr>
              <w:t>SOC-11</w:t>
            </w:r>
          </w:p>
          <w:p w:rsidR="00B852E7" w:rsidRDefault="00B852E7" w:rsidP="00B852E7">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line="276" w:lineRule="auto"/>
              <w:ind w:right="228"/>
              <w:jc w:val="both"/>
              <w:rPr>
                <w:sz w:val="10"/>
              </w:rPr>
            </w:pPr>
            <w:r>
              <w:rPr>
                <w:w w:val="105"/>
                <w:sz w:val="10"/>
              </w:rPr>
              <w:t>Before &amp; after intervention (6 months)</w:t>
            </w:r>
          </w:p>
        </w:tc>
        <w:tc>
          <w:tcPr>
            <w:tcW w:w="1753" w:type="dxa"/>
            <w:tcBorders>
              <w:top w:val="single" w:sz="2" w:space="0" w:color="000000"/>
              <w:left w:val="single" w:sz="2" w:space="0" w:color="000000"/>
              <w:bottom w:val="single" w:sz="2" w:space="0" w:color="000000"/>
            </w:tcBorders>
          </w:tcPr>
          <w:p w:rsidR="00B852E7" w:rsidRDefault="00B852E7" w:rsidP="00B852E7">
            <w:pPr>
              <w:pStyle w:val="TableParagraph"/>
              <w:spacing w:before="11" w:line="276" w:lineRule="auto"/>
              <w:ind w:right="4"/>
              <w:rPr>
                <w:sz w:val="10"/>
              </w:rPr>
            </w:pPr>
            <w:r>
              <w:rPr>
                <w:w w:val="105"/>
                <w:sz w:val="10"/>
              </w:rPr>
              <w:t>SOC increased in the intervention group compared with the control, though the differences were not significant. Intervention 51.31</w:t>
            </w:r>
          </w:p>
          <w:p w:rsidR="00B852E7" w:rsidRDefault="00B852E7" w:rsidP="00B852E7">
            <w:pPr>
              <w:pStyle w:val="TableParagraph"/>
              <w:spacing w:before="0" w:line="114" w:lineRule="exact"/>
              <w:rPr>
                <w:sz w:val="10"/>
              </w:rPr>
            </w:pPr>
            <w:r>
              <w:rPr>
                <w:w w:val="105"/>
                <w:sz w:val="10"/>
              </w:rPr>
              <w:t>→52.43→ 51.30</w:t>
            </w:r>
          </w:p>
          <w:p w:rsidR="00B852E7" w:rsidRDefault="00B852E7" w:rsidP="00B852E7">
            <w:pPr>
              <w:pStyle w:val="TableParagraph"/>
              <w:spacing w:before="17" w:line="276" w:lineRule="auto"/>
              <w:rPr>
                <w:sz w:val="10"/>
              </w:rPr>
            </w:pPr>
            <w:r>
              <w:rPr>
                <w:w w:val="105"/>
                <w:sz w:val="10"/>
              </w:rPr>
              <w:t>Comparison 53.21→ 51.73 →51.44. No significant difference. N = 56 (at 6 months 27 intervention group, 29 comparison group).</w:t>
            </w:r>
          </w:p>
        </w:tc>
      </w:tr>
      <w:tr w:rsidR="00B852E7" w:rsidRPr="00C65587" w:rsidTr="00B852E7">
        <w:trPr>
          <w:trHeight w:val="840"/>
        </w:trPr>
        <w:tc>
          <w:tcPr>
            <w:tcW w:w="1278" w:type="dxa"/>
            <w:tcBorders>
              <w:top w:val="single" w:sz="2" w:space="0" w:color="000000"/>
              <w:bottom w:val="single" w:sz="2" w:space="0" w:color="000000"/>
              <w:right w:val="single" w:sz="2" w:space="0" w:color="000000"/>
            </w:tcBorders>
          </w:tcPr>
          <w:p w:rsidR="00B852E7" w:rsidRDefault="00B852E7" w:rsidP="00B852E7">
            <w:pPr>
              <w:pStyle w:val="TableParagraph"/>
              <w:spacing w:line="276" w:lineRule="auto"/>
              <w:ind w:left="23" w:right="147"/>
              <w:rPr>
                <w:sz w:val="10"/>
              </w:rPr>
            </w:pPr>
            <w:r>
              <w:rPr>
                <w:w w:val="105"/>
                <w:sz w:val="10"/>
              </w:rPr>
              <w:t>Gunnarsson, AB Bjorklund, A.</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2013</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Sweden</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1" w:right="133"/>
              <w:rPr>
                <w:sz w:val="10"/>
              </w:rPr>
            </w:pPr>
            <w:r>
              <w:rPr>
                <w:w w:val="105"/>
                <w:sz w:val="10"/>
              </w:rPr>
              <w:t>Sustainable enhancement in clients who perceive the Tree Theme Method® as a positive intervention in psychosocial occupational therapy.</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2"/>
              <w:rPr>
                <w:sz w:val="10"/>
              </w:rPr>
            </w:pPr>
            <w:r>
              <w:rPr>
                <w:w w:val="105"/>
                <w:sz w:val="10"/>
              </w:rPr>
              <w:t>Follow-up</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3" w:right="75"/>
              <w:rPr>
                <w:sz w:val="10"/>
              </w:rPr>
            </w:pPr>
            <w:r>
              <w:rPr>
                <w:w w:val="105"/>
                <w:sz w:val="10"/>
              </w:rPr>
              <w:t>Adults (18–60 years of age) with different psychiatric diagnosis. (N=35).</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6"/>
              <w:rPr>
                <w:sz w:val="10"/>
              </w:rPr>
            </w:pPr>
            <w:r>
              <w:rPr>
                <w:w w:val="105"/>
                <w:sz w:val="10"/>
              </w:rPr>
              <w:t>Intervention group (n=35):The Three Team Method (TTM) comprises five sessions.</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6"/>
              <w:rPr>
                <w:sz w:val="10"/>
              </w:rPr>
            </w:pPr>
            <w:r>
              <w:rPr>
                <w:w w:val="105"/>
                <w:sz w:val="10"/>
              </w:rPr>
              <w:t>A method based on creative activities and occupational storytelling. The</w:t>
            </w:r>
            <w:r>
              <w:rPr>
                <w:spacing w:val="-6"/>
                <w:w w:val="105"/>
                <w:sz w:val="10"/>
              </w:rPr>
              <w:t xml:space="preserve"> </w:t>
            </w:r>
            <w:r>
              <w:rPr>
                <w:w w:val="105"/>
                <w:sz w:val="10"/>
              </w:rPr>
              <w:t>TTM</w:t>
            </w:r>
            <w:r>
              <w:rPr>
                <w:spacing w:val="-4"/>
                <w:w w:val="105"/>
                <w:sz w:val="10"/>
              </w:rPr>
              <w:t xml:space="preserve"> </w:t>
            </w:r>
            <w:r>
              <w:rPr>
                <w:w w:val="105"/>
                <w:sz w:val="10"/>
              </w:rPr>
              <w:t>implies</w:t>
            </w:r>
            <w:r>
              <w:rPr>
                <w:spacing w:val="-3"/>
                <w:w w:val="105"/>
                <w:sz w:val="10"/>
              </w:rPr>
              <w:t xml:space="preserve"> </w:t>
            </w:r>
            <w:r>
              <w:rPr>
                <w:w w:val="105"/>
                <w:sz w:val="10"/>
              </w:rPr>
              <w:t>that</w:t>
            </w:r>
            <w:r>
              <w:rPr>
                <w:spacing w:val="-5"/>
                <w:w w:val="105"/>
                <w:sz w:val="10"/>
              </w:rPr>
              <w:t xml:space="preserve"> </w:t>
            </w:r>
            <w:r>
              <w:rPr>
                <w:w w:val="105"/>
                <w:sz w:val="10"/>
              </w:rPr>
              <w:t>the</w:t>
            </w:r>
            <w:r>
              <w:rPr>
                <w:spacing w:val="-6"/>
                <w:w w:val="105"/>
                <w:sz w:val="10"/>
              </w:rPr>
              <w:t xml:space="preserve"> </w:t>
            </w:r>
            <w:r>
              <w:rPr>
                <w:w w:val="105"/>
                <w:sz w:val="10"/>
              </w:rPr>
              <w:t>clients</w:t>
            </w:r>
            <w:r>
              <w:rPr>
                <w:spacing w:val="-3"/>
                <w:w w:val="105"/>
                <w:sz w:val="10"/>
              </w:rPr>
              <w:t xml:space="preserve"> </w:t>
            </w:r>
            <w:r>
              <w:rPr>
                <w:w w:val="105"/>
                <w:sz w:val="10"/>
              </w:rPr>
              <w:t>draw</w:t>
            </w:r>
            <w:r>
              <w:rPr>
                <w:spacing w:val="-2"/>
                <w:w w:val="105"/>
                <w:sz w:val="10"/>
              </w:rPr>
              <w:t xml:space="preserve"> </w:t>
            </w:r>
            <w:r>
              <w:rPr>
                <w:w w:val="105"/>
                <w:sz w:val="10"/>
              </w:rPr>
              <w:t>and</w:t>
            </w:r>
            <w:r>
              <w:rPr>
                <w:spacing w:val="-6"/>
                <w:w w:val="105"/>
                <w:sz w:val="10"/>
              </w:rPr>
              <w:t xml:space="preserve"> </w:t>
            </w:r>
            <w:r>
              <w:rPr>
                <w:w w:val="105"/>
                <w:sz w:val="10"/>
              </w:rPr>
              <w:t>paint trees symbolising various periods in their life. The pictures are then used as a starting point to tell their life story to enhance their well-being and management of their everyday</w:t>
            </w:r>
            <w:r>
              <w:rPr>
                <w:spacing w:val="-4"/>
                <w:w w:val="105"/>
                <w:sz w:val="10"/>
              </w:rPr>
              <w:t xml:space="preserve"> </w:t>
            </w:r>
            <w:r>
              <w:rPr>
                <w:w w:val="105"/>
                <w:sz w:val="10"/>
              </w:rPr>
              <w:t>life</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rPr>
                <w:b/>
                <w:sz w:val="10"/>
              </w:rPr>
            </w:pPr>
            <w:r>
              <w:rPr>
                <w:b/>
                <w:w w:val="105"/>
                <w:sz w:val="10"/>
              </w:rPr>
              <w:t>A, L, SRRs, 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rPr>
                <w:sz w:val="10"/>
              </w:rPr>
            </w:pPr>
            <w:r>
              <w:rPr>
                <w:w w:val="105"/>
                <w:sz w:val="10"/>
              </w:rPr>
              <w:t>SOC-13</w:t>
            </w:r>
          </w:p>
          <w:p w:rsidR="00B852E7" w:rsidRDefault="00B852E7" w:rsidP="00B852E7">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right="70"/>
              <w:rPr>
                <w:sz w:val="10"/>
              </w:rPr>
            </w:pPr>
            <w:r>
              <w:rPr>
                <w:w w:val="105"/>
                <w:sz w:val="10"/>
              </w:rPr>
              <w:t>Before &amp; after intervention and three year follow up</w:t>
            </w:r>
          </w:p>
        </w:tc>
        <w:tc>
          <w:tcPr>
            <w:tcW w:w="1753"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right="4"/>
              <w:rPr>
                <w:sz w:val="10"/>
              </w:rPr>
            </w:pPr>
            <w:r>
              <w:rPr>
                <w:w w:val="105"/>
                <w:sz w:val="10"/>
              </w:rPr>
              <w:t>Baseline: 46.0 →after intervention: 48.0, p=0.014. →Three year follow- up: 55.0, p=0.006.</w:t>
            </w:r>
          </w:p>
        </w:tc>
      </w:tr>
      <w:tr w:rsidR="00B852E7" w:rsidTr="00B852E7">
        <w:trPr>
          <w:trHeight w:val="839"/>
        </w:trPr>
        <w:tc>
          <w:tcPr>
            <w:tcW w:w="1278" w:type="dxa"/>
            <w:tcBorders>
              <w:top w:val="single" w:sz="2" w:space="0" w:color="000000"/>
              <w:bottom w:val="single" w:sz="2" w:space="0" w:color="000000"/>
              <w:right w:val="single" w:sz="2" w:space="0" w:color="000000"/>
            </w:tcBorders>
          </w:tcPr>
          <w:p w:rsidR="00B852E7" w:rsidRPr="0091233F" w:rsidRDefault="00B852E7" w:rsidP="00B852E7">
            <w:pPr>
              <w:pStyle w:val="TableParagraph"/>
              <w:spacing w:line="276" w:lineRule="auto"/>
              <w:ind w:left="23" w:right="147"/>
              <w:rPr>
                <w:sz w:val="10"/>
                <w:lang w:val="nn-NO"/>
              </w:rPr>
            </w:pPr>
            <w:r w:rsidRPr="0091233F">
              <w:rPr>
                <w:w w:val="105"/>
                <w:sz w:val="10"/>
                <w:lang w:val="nn-NO"/>
              </w:rPr>
              <w:t>Heggdal, K, Jelstad Lovaas. B.</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2018</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Norway</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1" w:right="158"/>
              <w:rPr>
                <w:sz w:val="10"/>
              </w:rPr>
            </w:pPr>
            <w:r>
              <w:rPr>
                <w:w w:val="105"/>
                <w:sz w:val="10"/>
              </w:rPr>
              <w:t>Health promotion in specialist and community care: how broadly applicable health promotion intervention influences patient’s sense of coherence</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2"/>
              <w:rPr>
                <w:sz w:val="10"/>
              </w:rPr>
            </w:pPr>
            <w:r>
              <w:rPr>
                <w:w w:val="105"/>
                <w:sz w:val="10"/>
              </w:rPr>
              <w:t>Follow-up</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3" w:right="10"/>
              <w:rPr>
                <w:sz w:val="10"/>
              </w:rPr>
            </w:pPr>
            <w:r>
              <w:rPr>
                <w:w w:val="105"/>
                <w:sz w:val="10"/>
              </w:rPr>
              <w:t>Norwegian adults (aged 21–89, mean 53.3) with different chronic illnesses in specialist and community care context (N=108).</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41"/>
              <w:rPr>
                <w:sz w:val="10"/>
              </w:rPr>
            </w:pPr>
            <w:r>
              <w:rPr>
                <w:w w:val="105"/>
                <w:sz w:val="10"/>
              </w:rPr>
              <w:t>The Bodyknowledging Programme (BKP) and consisted of seven sessions stretched over a period of 4 months and conducted in 3-hour group sessions involving eight to ten persons living with different kinds of long-term conditions, or in a 1.5-hour individual format with the same content.</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4"/>
              <w:rPr>
                <w:sz w:val="10"/>
              </w:rPr>
            </w:pPr>
            <w:r>
              <w:rPr>
                <w:w w:val="105"/>
                <w:sz w:val="10"/>
              </w:rPr>
              <w:t>Bodily knowledge as a</w:t>
            </w:r>
            <w:r>
              <w:rPr>
                <w:sz w:val="10"/>
              </w:rPr>
              <w:t xml:space="preserve"> </w:t>
            </w:r>
            <w:r>
              <w:rPr>
                <w:w w:val="105"/>
                <w:sz w:val="10"/>
              </w:rPr>
              <w:t>resource with the potential to strengthen wellness. Dialogue with focus on coping skills, health capabilities, physical exercises and diary writing.</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line="285" w:lineRule="auto"/>
              <w:ind w:right="274"/>
              <w:rPr>
                <w:b/>
                <w:sz w:val="10"/>
              </w:rPr>
            </w:pPr>
            <w:r>
              <w:rPr>
                <w:b/>
                <w:w w:val="105"/>
                <w:sz w:val="10"/>
              </w:rPr>
              <w:t>A, L, SRRs, 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rPr>
                <w:sz w:val="10"/>
              </w:rPr>
            </w:pPr>
            <w:r>
              <w:rPr>
                <w:w w:val="105"/>
                <w:sz w:val="10"/>
              </w:rPr>
              <w:t>SOC-29</w:t>
            </w:r>
          </w:p>
          <w:p w:rsidR="00B852E7" w:rsidRDefault="00B852E7" w:rsidP="00B852E7">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right="-41"/>
              <w:rPr>
                <w:sz w:val="10"/>
              </w:rPr>
            </w:pPr>
            <w:r>
              <w:rPr>
                <w:w w:val="105"/>
                <w:sz w:val="10"/>
              </w:rPr>
              <w:t>Before &amp; after intervention (4 months)</w:t>
            </w:r>
          </w:p>
        </w:tc>
        <w:tc>
          <w:tcPr>
            <w:tcW w:w="1753"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right="138"/>
              <w:rPr>
                <w:sz w:val="10"/>
              </w:rPr>
            </w:pPr>
            <w:r>
              <w:rPr>
                <w:w w:val="105"/>
                <w:sz w:val="10"/>
              </w:rPr>
              <w:t>Baseline to 4 months later: No significant changes in total SOC score in the whole sample. Some significant changes in subgroups and sub dimensions.</w:t>
            </w:r>
          </w:p>
        </w:tc>
      </w:tr>
      <w:tr w:rsidR="00B852E7" w:rsidTr="00B852E7">
        <w:trPr>
          <w:trHeight w:val="981"/>
        </w:trPr>
        <w:tc>
          <w:tcPr>
            <w:tcW w:w="1278" w:type="dxa"/>
            <w:tcBorders>
              <w:top w:val="single" w:sz="2" w:space="0" w:color="000000"/>
              <w:bottom w:val="single" w:sz="2" w:space="0" w:color="000000"/>
              <w:right w:val="single" w:sz="2" w:space="0" w:color="000000"/>
            </w:tcBorders>
          </w:tcPr>
          <w:p w:rsidR="00B852E7" w:rsidRPr="00C77849" w:rsidRDefault="00B852E7" w:rsidP="00B852E7">
            <w:pPr>
              <w:pStyle w:val="TableParagraph"/>
              <w:spacing w:line="276" w:lineRule="auto"/>
              <w:ind w:left="23" w:right="97"/>
              <w:jc w:val="both"/>
              <w:rPr>
                <w:sz w:val="10"/>
              </w:rPr>
            </w:pPr>
            <w:r w:rsidRPr="00C77849">
              <w:rPr>
                <w:w w:val="105"/>
                <w:sz w:val="10"/>
              </w:rPr>
              <w:t>Hirsikangas, S Kanste,O Korpelainen,J Bloigu, R, Kyngäs, H</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2018</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Finland</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1" w:right="22"/>
              <w:rPr>
                <w:sz w:val="10"/>
              </w:rPr>
            </w:pPr>
            <w:r>
              <w:rPr>
                <w:w w:val="105"/>
                <w:sz w:val="10"/>
              </w:rPr>
              <w:t>The effects of intervention on</w:t>
            </w:r>
            <w:r>
              <w:rPr>
                <w:spacing w:val="-22"/>
                <w:w w:val="105"/>
                <w:sz w:val="10"/>
              </w:rPr>
              <w:t xml:space="preserve"> </w:t>
            </w:r>
            <w:r>
              <w:rPr>
                <w:w w:val="105"/>
                <w:sz w:val="10"/>
              </w:rPr>
              <w:t>the quality of life, sense of coherence and daily activities of frequent</w:t>
            </w:r>
            <w:r>
              <w:rPr>
                <w:spacing w:val="-2"/>
                <w:w w:val="105"/>
                <w:sz w:val="10"/>
              </w:rPr>
              <w:t xml:space="preserve"> </w:t>
            </w:r>
            <w:r>
              <w:rPr>
                <w:w w:val="105"/>
                <w:sz w:val="10"/>
              </w:rPr>
              <w:t>attenders</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2" w:right="68"/>
              <w:rPr>
                <w:sz w:val="10"/>
              </w:rPr>
            </w:pPr>
            <w:r>
              <w:rPr>
                <w:w w:val="105"/>
                <w:sz w:val="10"/>
              </w:rPr>
              <w:t>Follow-up with control group.</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3" w:right="200"/>
              <w:rPr>
                <w:sz w:val="10"/>
              </w:rPr>
            </w:pPr>
            <w:r>
              <w:rPr>
                <w:w w:val="105"/>
                <w:sz w:val="10"/>
              </w:rPr>
              <w:t>Frequent attenders (FAs) Intervention group (n=285). Control group (n=177)</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5"/>
              <w:rPr>
                <w:sz w:val="10"/>
              </w:rPr>
            </w:pPr>
            <w:r>
              <w:rPr>
                <w:w w:val="105"/>
                <w:sz w:val="10"/>
              </w:rPr>
              <w:t>An experienced public health nurse as a community matron was implemented in the intervention at each of four health centres. Control group: received traditional care, including patient education and support.</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11"/>
              <w:rPr>
                <w:sz w:val="10"/>
              </w:rPr>
            </w:pPr>
            <w:r>
              <w:rPr>
                <w:w w:val="105"/>
                <w:sz w:val="10"/>
              </w:rPr>
              <w:t>Assessment of FAs care needs and resources, coordination of multi-professional services and supporting of FAs in self-management. Continuity of care and building a confidential care relationship. Patient-oriented education, active self-management support and patient’s capabilities.</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rPr>
                <w:b/>
                <w:sz w:val="10"/>
              </w:rPr>
            </w:pPr>
            <w:r>
              <w:rPr>
                <w:b/>
                <w:w w:val="105"/>
                <w:sz w:val="10"/>
              </w:rPr>
              <w:t>A, L, SRRs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rPr>
                <w:sz w:val="10"/>
              </w:rPr>
            </w:pPr>
            <w:r>
              <w:rPr>
                <w:w w:val="105"/>
                <w:sz w:val="10"/>
              </w:rPr>
              <w:t>SOC-13</w:t>
            </w:r>
          </w:p>
          <w:p w:rsidR="00B852E7" w:rsidRDefault="00B852E7" w:rsidP="00B852E7">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right="70"/>
              <w:rPr>
                <w:sz w:val="10"/>
              </w:rPr>
            </w:pPr>
            <w:r>
              <w:rPr>
                <w:w w:val="105"/>
                <w:sz w:val="10"/>
              </w:rPr>
              <w:t>Before &amp; after intervention (Two years)</w:t>
            </w:r>
          </w:p>
        </w:tc>
        <w:tc>
          <w:tcPr>
            <w:tcW w:w="1753"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right="12"/>
              <w:rPr>
                <w:sz w:val="10"/>
              </w:rPr>
            </w:pPr>
            <w:r>
              <w:rPr>
                <w:w w:val="105"/>
                <w:sz w:val="10"/>
              </w:rPr>
              <w:t>Intervention group and control group: Baseline: 71.02, 62.8 .Two years Intervention group: (65.56 points), control group: (61.55 points) at two years (two years):- 5,5 and -</w:t>
            </w:r>
          </w:p>
          <w:p w:rsidR="00B852E7" w:rsidRDefault="00B852E7" w:rsidP="00B852E7">
            <w:pPr>
              <w:pStyle w:val="TableParagraph"/>
              <w:spacing w:before="0" w:line="114" w:lineRule="exact"/>
              <w:rPr>
                <w:sz w:val="10"/>
              </w:rPr>
            </w:pPr>
            <w:r>
              <w:rPr>
                <w:w w:val="105"/>
                <w:sz w:val="10"/>
              </w:rPr>
              <w:t>1.3 points respectively (p=0.010).</w:t>
            </w:r>
          </w:p>
        </w:tc>
      </w:tr>
      <w:tr w:rsidR="00B852E7" w:rsidRPr="000F3419" w:rsidTr="00B852E7">
        <w:trPr>
          <w:trHeight w:val="840"/>
        </w:trPr>
        <w:tc>
          <w:tcPr>
            <w:tcW w:w="1278" w:type="dxa"/>
            <w:tcBorders>
              <w:top w:val="single" w:sz="2" w:space="0" w:color="000000"/>
              <w:bottom w:val="single" w:sz="2" w:space="0" w:color="000000"/>
              <w:right w:val="single" w:sz="2" w:space="0" w:color="000000"/>
            </w:tcBorders>
          </w:tcPr>
          <w:p w:rsidR="00B852E7" w:rsidRDefault="00B852E7" w:rsidP="00B852E7">
            <w:pPr>
              <w:pStyle w:val="TableParagraph"/>
              <w:spacing w:before="11" w:line="276" w:lineRule="auto"/>
              <w:ind w:left="23" w:right="147"/>
              <w:rPr>
                <w:sz w:val="10"/>
              </w:rPr>
            </w:pPr>
            <w:r>
              <w:rPr>
                <w:w w:val="105"/>
                <w:sz w:val="10"/>
              </w:rPr>
              <w:t>Hourzad, A. Pouladi,S Ostovar,A and Ravanipour, M</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ind w:left="30"/>
              <w:rPr>
                <w:sz w:val="10"/>
              </w:rPr>
            </w:pPr>
            <w:r>
              <w:rPr>
                <w:w w:val="105"/>
                <w:sz w:val="10"/>
              </w:rPr>
              <w:t>2018</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ind w:left="30"/>
              <w:rPr>
                <w:sz w:val="10"/>
              </w:rPr>
            </w:pPr>
            <w:r>
              <w:rPr>
                <w:w w:val="105"/>
                <w:sz w:val="10"/>
              </w:rPr>
              <w:t>Iran</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line="276" w:lineRule="auto"/>
              <w:ind w:left="31" w:right="40"/>
              <w:rPr>
                <w:sz w:val="10"/>
              </w:rPr>
            </w:pPr>
            <w:r>
              <w:rPr>
                <w:w w:val="105"/>
                <w:sz w:val="10"/>
              </w:rPr>
              <w:t>The effects of an empowering self-management model on self- efficacy and sense of coherence among retired elderly with chronic diseases: a randomized controlled trial</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ind w:left="32"/>
              <w:rPr>
                <w:sz w:val="10"/>
              </w:rPr>
            </w:pPr>
            <w:r>
              <w:rPr>
                <w:w w:val="105"/>
                <w:sz w:val="10"/>
              </w:rPr>
              <w:t>RCT</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line="276" w:lineRule="auto"/>
              <w:ind w:left="33" w:right="75"/>
              <w:rPr>
                <w:sz w:val="10"/>
              </w:rPr>
            </w:pPr>
            <w:r>
              <w:rPr>
                <w:w w:val="105"/>
                <w:sz w:val="10"/>
              </w:rPr>
              <w:t>Retired young elderly people (mean 63 years old) Intervention (n=29). Control (n=29).</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line="276" w:lineRule="auto"/>
              <w:ind w:left="34" w:right="199"/>
              <w:rPr>
                <w:sz w:val="10"/>
              </w:rPr>
            </w:pPr>
            <w:r>
              <w:rPr>
                <w:w w:val="105"/>
                <w:sz w:val="10"/>
              </w:rPr>
              <w:t>Intervention: 8-weeks: Empowering Self-management model including five stage: Control group: Routine care</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line="276" w:lineRule="auto"/>
              <w:ind w:left="34" w:right="16"/>
              <w:rPr>
                <w:sz w:val="10"/>
              </w:rPr>
            </w:pPr>
            <w:r>
              <w:rPr>
                <w:w w:val="105"/>
                <w:sz w:val="10"/>
              </w:rPr>
              <w:t>Five-stage plan: 1) self-awareness of changes and understanding their personal level of performance and expectations; 2) optimal goal setting; 3) planning; 4) adjusting physical, psychological, and social structures; and 5) evaluation</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6" w:line="285" w:lineRule="auto"/>
              <w:ind w:right="-18"/>
              <w:rPr>
                <w:b/>
                <w:sz w:val="10"/>
              </w:rPr>
            </w:pPr>
            <w:r>
              <w:rPr>
                <w:b/>
                <w:w w:val="105"/>
                <w:sz w:val="10"/>
              </w:rPr>
              <w:t>A, L, GRRs, SRRs, 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rPr>
                <w:sz w:val="10"/>
              </w:rPr>
            </w:pPr>
            <w:r>
              <w:rPr>
                <w:w w:val="105"/>
                <w:sz w:val="10"/>
              </w:rPr>
              <w:t>SOC-29</w:t>
            </w:r>
          </w:p>
          <w:p w:rsidR="00B852E7" w:rsidRDefault="00B852E7" w:rsidP="00B852E7">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line="276" w:lineRule="auto"/>
              <w:ind w:right="228"/>
              <w:jc w:val="both"/>
              <w:rPr>
                <w:sz w:val="10"/>
              </w:rPr>
            </w:pPr>
            <w:r>
              <w:rPr>
                <w:w w:val="105"/>
                <w:sz w:val="10"/>
              </w:rPr>
              <w:t>Before &amp; after intervention (8 weeks).</w:t>
            </w:r>
          </w:p>
        </w:tc>
        <w:tc>
          <w:tcPr>
            <w:tcW w:w="1753" w:type="dxa"/>
            <w:tcBorders>
              <w:top w:val="single" w:sz="2" w:space="0" w:color="000000"/>
              <w:left w:val="single" w:sz="2" w:space="0" w:color="000000"/>
              <w:bottom w:val="single" w:sz="2" w:space="0" w:color="000000"/>
            </w:tcBorders>
          </w:tcPr>
          <w:p w:rsidR="00B852E7" w:rsidRDefault="00B852E7" w:rsidP="00B852E7">
            <w:pPr>
              <w:pStyle w:val="TableParagraph"/>
              <w:spacing w:before="11" w:line="276" w:lineRule="auto"/>
              <w:rPr>
                <w:sz w:val="10"/>
              </w:rPr>
            </w:pPr>
            <w:r>
              <w:rPr>
                <w:w w:val="105"/>
                <w:sz w:val="10"/>
              </w:rPr>
              <w:t>The mean change of the SOC score in</w:t>
            </w:r>
            <w:r>
              <w:rPr>
                <w:spacing w:val="-6"/>
                <w:w w:val="105"/>
                <w:sz w:val="10"/>
              </w:rPr>
              <w:t xml:space="preserve"> </w:t>
            </w:r>
            <w:r>
              <w:rPr>
                <w:w w:val="105"/>
                <w:sz w:val="10"/>
              </w:rPr>
              <w:t>the</w:t>
            </w:r>
            <w:r>
              <w:rPr>
                <w:spacing w:val="-6"/>
                <w:w w:val="105"/>
                <w:sz w:val="10"/>
              </w:rPr>
              <w:t xml:space="preserve"> </w:t>
            </w:r>
            <w:r>
              <w:rPr>
                <w:w w:val="105"/>
                <w:sz w:val="10"/>
              </w:rPr>
              <w:t>intervention</w:t>
            </w:r>
            <w:r>
              <w:rPr>
                <w:spacing w:val="-6"/>
                <w:w w:val="105"/>
                <w:sz w:val="10"/>
              </w:rPr>
              <w:t xml:space="preserve"> </w:t>
            </w:r>
            <w:r>
              <w:rPr>
                <w:w w:val="105"/>
                <w:sz w:val="10"/>
              </w:rPr>
              <w:t>(n=29)</w:t>
            </w:r>
            <w:r>
              <w:rPr>
                <w:spacing w:val="-5"/>
                <w:w w:val="105"/>
                <w:sz w:val="10"/>
              </w:rPr>
              <w:t xml:space="preserve"> </w:t>
            </w:r>
            <w:r>
              <w:rPr>
                <w:w w:val="105"/>
                <w:sz w:val="10"/>
              </w:rPr>
              <w:t>and</w:t>
            </w:r>
            <w:r>
              <w:rPr>
                <w:spacing w:val="-6"/>
                <w:w w:val="105"/>
                <w:sz w:val="10"/>
              </w:rPr>
              <w:t xml:space="preserve"> </w:t>
            </w:r>
            <w:r>
              <w:rPr>
                <w:w w:val="105"/>
                <w:sz w:val="10"/>
              </w:rPr>
              <w:t>control groups (n=29) was 24.17±12.05 and 0.10±13.42, respectively, (t[56]=7.18,</w:t>
            </w:r>
            <w:r>
              <w:rPr>
                <w:spacing w:val="-3"/>
                <w:w w:val="105"/>
                <w:sz w:val="10"/>
              </w:rPr>
              <w:t xml:space="preserve"> </w:t>
            </w:r>
            <w:r>
              <w:rPr>
                <w:w w:val="105"/>
                <w:sz w:val="10"/>
              </w:rPr>
              <w:t>P&lt;0.001).</w:t>
            </w:r>
          </w:p>
        </w:tc>
      </w:tr>
      <w:tr w:rsidR="00B852E7" w:rsidTr="00B852E7">
        <w:trPr>
          <w:trHeight w:val="1122"/>
        </w:trPr>
        <w:tc>
          <w:tcPr>
            <w:tcW w:w="1278" w:type="dxa"/>
            <w:tcBorders>
              <w:top w:val="single" w:sz="2" w:space="0" w:color="000000"/>
              <w:bottom w:val="single" w:sz="2" w:space="0" w:color="000000"/>
              <w:right w:val="single" w:sz="2" w:space="0" w:color="000000"/>
            </w:tcBorders>
          </w:tcPr>
          <w:p w:rsidR="00B852E7" w:rsidRPr="0091233F" w:rsidRDefault="00B852E7" w:rsidP="00B852E7">
            <w:pPr>
              <w:pStyle w:val="TableParagraph"/>
              <w:spacing w:line="276" w:lineRule="auto"/>
              <w:ind w:left="23" w:right="154"/>
              <w:rPr>
                <w:sz w:val="10"/>
                <w:lang w:val="nn-NO"/>
              </w:rPr>
            </w:pPr>
            <w:r w:rsidRPr="0091233F">
              <w:rPr>
                <w:w w:val="105"/>
                <w:sz w:val="10"/>
                <w:lang w:val="nn-NO"/>
              </w:rPr>
              <w:t>Höjdahl T, Magnus JH, Mdala I, Hagen R, Langeland E.</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2015</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0"/>
              <w:rPr>
                <w:sz w:val="10"/>
              </w:rPr>
            </w:pPr>
            <w:r>
              <w:rPr>
                <w:w w:val="105"/>
                <w:sz w:val="10"/>
              </w:rPr>
              <w:t>Norway</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1" w:right="24"/>
              <w:rPr>
                <w:sz w:val="10"/>
              </w:rPr>
            </w:pPr>
            <w:r>
              <w:rPr>
                <w:w w:val="105"/>
                <w:sz w:val="10"/>
              </w:rPr>
              <w:t>Emotional distress and sense of coherence in women completing a motivational program in five countries. A prospective study.</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32"/>
              <w:rPr>
                <w:sz w:val="10"/>
              </w:rPr>
            </w:pPr>
            <w:r>
              <w:rPr>
                <w:w w:val="105"/>
                <w:sz w:val="10"/>
              </w:rPr>
              <w:t>Follow-up</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3" w:right="133"/>
              <w:rPr>
                <w:sz w:val="10"/>
              </w:rPr>
            </w:pPr>
            <w:r>
              <w:rPr>
                <w:w w:val="105"/>
                <w:sz w:val="10"/>
              </w:rPr>
              <w:t>Women in correctional institutions from five different countries (N= 534).</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Pr>
                <w:sz w:val="10"/>
              </w:rPr>
            </w:pPr>
            <w:r>
              <w:rPr>
                <w:w w:val="105"/>
                <w:sz w:val="10"/>
              </w:rPr>
              <w:t>The "VINN" program: a Salutogenic approach consisting of up</w:t>
            </w:r>
            <w:r>
              <w:rPr>
                <w:spacing w:val="-1"/>
                <w:w w:val="105"/>
                <w:sz w:val="10"/>
              </w:rPr>
              <w:t xml:space="preserve"> </w:t>
            </w:r>
            <w:r>
              <w:rPr>
                <w:w w:val="105"/>
                <w:sz w:val="10"/>
              </w:rPr>
              <w:t>to</w:t>
            </w:r>
            <w:r>
              <w:rPr>
                <w:spacing w:val="-4"/>
                <w:w w:val="105"/>
                <w:sz w:val="10"/>
              </w:rPr>
              <w:t xml:space="preserve"> </w:t>
            </w:r>
            <w:r>
              <w:rPr>
                <w:w w:val="105"/>
                <w:sz w:val="10"/>
              </w:rPr>
              <w:t>15</w:t>
            </w:r>
            <w:r>
              <w:rPr>
                <w:spacing w:val="-4"/>
                <w:w w:val="105"/>
                <w:sz w:val="10"/>
              </w:rPr>
              <w:t xml:space="preserve"> </w:t>
            </w:r>
            <w:r>
              <w:rPr>
                <w:w w:val="105"/>
                <w:sz w:val="10"/>
              </w:rPr>
              <w:t>three</w:t>
            </w:r>
            <w:r>
              <w:rPr>
                <w:spacing w:val="-4"/>
                <w:w w:val="105"/>
                <w:sz w:val="10"/>
              </w:rPr>
              <w:t xml:space="preserve"> </w:t>
            </w:r>
            <w:r>
              <w:rPr>
                <w:w w:val="105"/>
                <w:sz w:val="10"/>
              </w:rPr>
              <w:t>hours</w:t>
            </w:r>
            <w:r>
              <w:rPr>
                <w:spacing w:val="-2"/>
                <w:w w:val="105"/>
                <w:sz w:val="10"/>
              </w:rPr>
              <w:t xml:space="preserve"> </w:t>
            </w:r>
            <w:r>
              <w:rPr>
                <w:w w:val="105"/>
                <w:sz w:val="10"/>
              </w:rPr>
              <w:t>sessions</w:t>
            </w:r>
            <w:r>
              <w:rPr>
                <w:spacing w:val="-1"/>
                <w:w w:val="105"/>
                <w:sz w:val="10"/>
              </w:rPr>
              <w:t xml:space="preserve"> </w:t>
            </w:r>
            <w:r>
              <w:rPr>
                <w:w w:val="105"/>
                <w:sz w:val="10"/>
              </w:rPr>
              <w:t>over</w:t>
            </w:r>
            <w:r>
              <w:rPr>
                <w:spacing w:val="-2"/>
                <w:w w:val="105"/>
                <w:sz w:val="10"/>
              </w:rPr>
              <w:t xml:space="preserve"> </w:t>
            </w:r>
            <w:r>
              <w:rPr>
                <w:w w:val="105"/>
                <w:sz w:val="10"/>
              </w:rPr>
              <w:t>six</w:t>
            </w:r>
            <w:r>
              <w:rPr>
                <w:spacing w:val="-2"/>
                <w:w w:val="105"/>
                <w:sz w:val="10"/>
              </w:rPr>
              <w:t xml:space="preserve"> </w:t>
            </w:r>
            <w:r>
              <w:rPr>
                <w:w w:val="105"/>
                <w:sz w:val="10"/>
              </w:rPr>
              <w:t>to</w:t>
            </w:r>
            <w:r>
              <w:rPr>
                <w:spacing w:val="-4"/>
                <w:w w:val="105"/>
                <w:sz w:val="10"/>
              </w:rPr>
              <w:t xml:space="preserve"> </w:t>
            </w:r>
            <w:r>
              <w:rPr>
                <w:w w:val="105"/>
                <w:sz w:val="10"/>
              </w:rPr>
              <w:t>twelve</w:t>
            </w:r>
            <w:r>
              <w:rPr>
                <w:spacing w:val="-4"/>
                <w:w w:val="105"/>
                <w:sz w:val="10"/>
              </w:rPr>
              <w:t xml:space="preserve"> </w:t>
            </w:r>
            <w:r>
              <w:rPr>
                <w:w w:val="105"/>
                <w:sz w:val="10"/>
              </w:rPr>
              <w:t>weeks.</w:t>
            </w:r>
            <w:r>
              <w:rPr>
                <w:spacing w:val="-3"/>
                <w:w w:val="105"/>
                <w:sz w:val="10"/>
              </w:rPr>
              <w:t xml:space="preserve"> </w:t>
            </w:r>
            <w:r>
              <w:rPr>
                <w:w w:val="105"/>
                <w:sz w:val="10"/>
              </w:rPr>
              <w:t>The program is described in detail elsewhere (Højdahl et al., 2013, 2014). Briefly, two facilitators and four to eight women meet for up to 15 three-hour sessions over six to 12 weeks.</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34" w:right="50"/>
              <w:rPr>
                <w:sz w:val="10"/>
              </w:rPr>
            </w:pPr>
            <w:r>
              <w:rPr>
                <w:w w:val="105"/>
                <w:sz w:val="10"/>
              </w:rPr>
              <w:t>Combined with homework exercises, relaxation exercises and group work the women are encouraged to identify something meaningful that they can engage with in their personal lives while serving, and would like to do after serving their sentences. In the groups, each woman’s personal motivation for and commitment to change behaviour is purposefully stimulated, within an atmosphere of acceptance and compassion.</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line="285" w:lineRule="auto"/>
              <w:ind w:right="274"/>
              <w:rPr>
                <w:b/>
                <w:sz w:val="10"/>
              </w:rPr>
            </w:pPr>
            <w:r>
              <w:rPr>
                <w:b/>
                <w:w w:val="105"/>
                <w:sz w:val="10"/>
              </w:rPr>
              <w:t>A, L, SRRs, ST,WPA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rPr>
                <w:sz w:val="10"/>
              </w:rPr>
            </w:pPr>
            <w:r>
              <w:rPr>
                <w:w w:val="105"/>
                <w:sz w:val="10"/>
              </w:rPr>
              <w:t>SOC-13</w:t>
            </w:r>
          </w:p>
          <w:p w:rsidR="00B852E7" w:rsidRDefault="00B852E7" w:rsidP="00B852E7">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right="152"/>
              <w:rPr>
                <w:sz w:val="10"/>
              </w:rPr>
            </w:pPr>
            <w:r>
              <w:rPr>
                <w:w w:val="105"/>
                <w:sz w:val="10"/>
              </w:rPr>
              <w:t>Before &amp; after intervention (12 weeks).</w:t>
            </w:r>
          </w:p>
        </w:tc>
        <w:tc>
          <w:tcPr>
            <w:tcW w:w="1753"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right="22"/>
              <w:rPr>
                <w:sz w:val="10"/>
              </w:rPr>
            </w:pPr>
            <w:r>
              <w:rPr>
                <w:w w:val="105"/>
                <w:sz w:val="10"/>
              </w:rPr>
              <w:t>SOC significantly improved( 52.4 → 54.24) from pre- to post- measurement (12 weeks) by</w:t>
            </w:r>
            <w:r>
              <w:rPr>
                <w:spacing w:val="-11"/>
                <w:w w:val="105"/>
                <w:sz w:val="10"/>
              </w:rPr>
              <w:t xml:space="preserve"> </w:t>
            </w:r>
            <w:r>
              <w:rPr>
                <w:w w:val="105"/>
                <w:sz w:val="10"/>
              </w:rPr>
              <w:t>1.82</w:t>
            </w:r>
          </w:p>
          <w:p w:rsidR="00B852E7" w:rsidRDefault="00B852E7" w:rsidP="00B852E7">
            <w:pPr>
              <w:pStyle w:val="TableParagraph"/>
              <w:spacing w:before="0" w:line="114" w:lineRule="exact"/>
              <w:rPr>
                <w:sz w:val="10"/>
              </w:rPr>
            </w:pPr>
            <w:r>
              <w:rPr>
                <w:w w:val="105"/>
                <w:sz w:val="10"/>
              </w:rPr>
              <w:t>points</w:t>
            </w:r>
            <w:r>
              <w:rPr>
                <w:spacing w:val="-4"/>
                <w:w w:val="105"/>
                <w:sz w:val="10"/>
              </w:rPr>
              <w:t xml:space="preserve"> </w:t>
            </w:r>
            <w:r>
              <w:rPr>
                <w:w w:val="105"/>
                <w:sz w:val="10"/>
              </w:rPr>
              <w:t>(95</w:t>
            </w:r>
            <w:r>
              <w:rPr>
                <w:spacing w:val="-6"/>
                <w:w w:val="105"/>
                <w:sz w:val="10"/>
              </w:rPr>
              <w:t xml:space="preserve"> </w:t>
            </w:r>
            <w:r>
              <w:rPr>
                <w:w w:val="105"/>
                <w:sz w:val="10"/>
              </w:rPr>
              <w:t>percent</w:t>
            </w:r>
            <w:r>
              <w:rPr>
                <w:spacing w:val="-5"/>
                <w:w w:val="105"/>
                <w:sz w:val="10"/>
              </w:rPr>
              <w:t xml:space="preserve"> </w:t>
            </w:r>
            <w:r>
              <w:rPr>
                <w:w w:val="105"/>
                <w:sz w:val="10"/>
              </w:rPr>
              <w:t>CI</w:t>
            </w:r>
            <w:r>
              <w:rPr>
                <w:spacing w:val="-5"/>
                <w:w w:val="105"/>
                <w:sz w:val="10"/>
              </w:rPr>
              <w:t xml:space="preserve"> </w:t>
            </w:r>
            <w:r>
              <w:rPr>
                <w:w w:val="105"/>
                <w:sz w:val="10"/>
              </w:rPr>
              <w:t>(0.72,</w:t>
            </w:r>
            <w:r>
              <w:rPr>
                <w:spacing w:val="-5"/>
                <w:w w:val="105"/>
                <w:sz w:val="10"/>
              </w:rPr>
              <w:t xml:space="preserve"> </w:t>
            </w:r>
            <w:r>
              <w:rPr>
                <w:w w:val="105"/>
                <w:sz w:val="10"/>
              </w:rPr>
              <w:t>2.92)</w:t>
            </w:r>
          </w:p>
        </w:tc>
      </w:tr>
      <w:tr w:rsidR="00B852E7" w:rsidRPr="00C65587" w:rsidTr="00B852E7">
        <w:trPr>
          <w:trHeight w:val="1256"/>
        </w:trPr>
        <w:tc>
          <w:tcPr>
            <w:tcW w:w="1278" w:type="dxa"/>
            <w:tcBorders>
              <w:top w:val="single" w:sz="2" w:space="0" w:color="000000"/>
              <w:right w:val="single" w:sz="2" w:space="0" w:color="000000"/>
            </w:tcBorders>
          </w:tcPr>
          <w:p w:rsidR="00B852E7" w:rsidRPr="0091233F" w:rsidRDefault="00B852E7" w:rsidP="00B852E7">
            <w:pPr>
              <w:pStyle w:val="TableParagraph"/>
              <w:spacing w:line="276" w:lineRule="auto"/>
              <w:ind w:left="23" w:right="147"/>
              <w:rPr>
                <w:sz w:val="10"/>
                <w:lang w:val="nn-NO"/>
              </w:rPr>
            </w:pPr>
            <w:r w:rsidRPr="0091233F">
              <w:rPr>
                <w:w w:val="105"/>
                <w:sz w:val="10"/>
                <w:lang w:val="nn-NO"/>
              </w:rPr>
              <w:lastRenderedPageBreak/>
              <w:t>Jensen, JF, Egerod,I, . Bestle,MH,</w:t>
            </w:r>
          </w:p>
          <w:p w:rsidR="00B852E7" w:rsidRPr="00C77849" w:rsidRDefault="00B852E7" w:rsidP="00B852E7">
            <w:pPr>
              <w:pStyle w:val="TableParagraph"/>
              <w:spacing w:before="0" w:line="276" w:lineRule="auto"/>
              <w:ind w:left="23"/>
              <w:rPr>
                <w:sz w:val="10"/>
              </w:rPr>
            </w:pPr>
            <w:r w:rsidRPr="00C77849">
              <w:rPr>
                <w:w w:val="105"/>
                <w:sz w:val="10"/>
              </w:rPr>
              <w:t>Christensen, DF, Elklit, A, Hansen, RL, Knudsen, H, Grode. LB, Overgaard, D.</w:t>
            </w:r>
          </w:p>
        </w:tc>
        <w:tc>
          <w:tcPr>
            <w:tcW w:w="357" w:type="dxa"/>
            <w:tcBorders>
              <w:top w:val="single" w:sz="2" w:space="0" w:color="000000"/>
              <w:left w:val="single" w:sz="2" w:space="0" w:color="000000"/>
              <w:right w:val="single" w:sz="2" w:space="0" w:color="000000"/>
            </w:tcBorders>
          </w:tcPr>
          <w:p w:rsidR="00B852E7" w:rsidRDefault="00B852E7" w:rsidP="00B852E7">
            <w:pPr>
              <w:pStyle w:val="TableParagraph"/>
              <w:ind w:left="30"/>
              <w:rPr>
                <w:sz w:val="10"/>
              </w:rPr>
            </w:pPr>
            <w:r>
              <w:rPr>
                <w:w w:val="105"/>
                <w:sz w:val="10"/>
              </w:rPr>
              <w:t>2016</w:t>
            </w:r>
          </w:p>
        </w:tc>
        <w:tc>
          <w:tcPr>
            <w:tcW w:w="683" w:type="dxa"/>
            <w:tcBorders>
              <w:top w:val="single" w:sz="2" w:space="0" w:color="000000"/>
              <w:left w:val="single" w:sz="2" w:space="0" w:color="000000"/>
              <w:right w:val="single" w:sz="2" w:space="0" w:color="000000"/>
            </w:tcBorders>
          </w:tcPr>
          <w:p w:rsidR="00B852E7" w:rsidRDefault="00B852E7" w:rsidP="00B852E7">
            <w:pPr>
              <w:pStyle w:val="TableParagraph"/>
              <w:ind w:left="30"/>
              <w:rPr>
                <w:sz w:val="10"/>
              </w:rPr>
            </w:pPr>
            <w:r>
              <w:rPr>
                <w:w w:val="105"/>
                <w:sz w:val="10"/>
              </w:rPr>
              <w:t>Denmark</w:t>
            </w:r>
          </w:p>
        </w:tc>
        <w:tc>
          <w:tcPr>
            <w:tcW w:w="1586" w:type="dxa"/>
            <w:tcBorders>
              <w:top w:val="single" w:sz="2" w:space="0" w:color="000000"/>
              <w:left w:val="single" w:sz="2" w:space="0" w:color="000000"/>
              <w:right w:val="single" w:sz="2" w:space="0" w:color="000000"/>
            </w:tcBorders>
          </w:tcPr>
          <w:p w:rsidR="00B852E7" w:rsidRDefault="00B852E7" w:rsidP="00B852E7">
            <w:pPr>
              <w:pStyle w:val="TableParagraph"/>
              <w:spacing w:line="276" w:lineRule="auto"/>
              <w:ind w:left="31" w:right="40"/>
              <w:rPr>
                <w:sz w:val="10"/>
              </w:rPr>
            </w:pPr>
            <w:r>
              <w:rPr>
                <w:w w:val="105"/>
                <w:sz w:val="10"/>
              </w:rPr>
              <w:t>A recovery program to improve quality of life, sense of coherence and psychological health in ICU survivors: a multicenter randomized controlled trial, the RAPIT study</w:t>
            </w:r>
          </w:p>
        </w:tc>
        <w:tc>
          <w:tcPr>
            <w:tcW w:w="657" w:type="dxa"/>
            <w:tcBorders>
              <w:top w:val="single" w:sz="2" w:space="0" w:color="000000"/>
              <w:left w:val="single" w:sz="2" w:space="0" w:color="000000"/>
              <w:right w:val="single" w:sz="2" w:space="0" w:color="000000"/>
            </w:tcBorders>
          </w:tcPr>
          <w:p w:rsidR="00B852E7" w:rsidRDefault="00B852E7" w:rsidP="00B852E7">
            <w:pPr>
              <w:pStyle w:val="TableParagraph"/>
              <w:ind w:left="32"/>
              <w:rPr>
                <w:sz w:val="10"/>
              </w:rPr>
            </w:pPr>
            <w:r>
              <w:rPr>
                <w:w w:val="105"/>
                <w:sz w:val="10"/>
              </w:rPr>
              <w:t>RCT</w:t>
            </w:r>
          </w:p>
        </w:tc>
        <w:tc>
          <w:tcPr>
            <w:tcW w:w="1528" w:type="dxa"/>
            <w:tcBorders>
              <w:top w:val="single" w:sz="2" w:space="0" w:color="000000"/>
              <w:left w:val="single" w:sz="2" w:space="0" w:color="000000"/>
              <w:right w:val="single" w:sz="2" w:space="0" w:color="000000"/>
            </w:tcBorders>
          </w:tcPr>
          <w:p w:rsidR="00B852E7" w:rsidRDefault="00B852E7" w:rsidP="00B852E7">
            <w:pPr>
              <w:pStyle w:val="TableParagraph"/>
              <w:spacing w:line="276" w:lineRule="auto"/>
              <w:ind w:left="33" w:right="28"/>
              <w:rPr>
                <w:sz w:val="10"/>
              </w:rPr>
            </w:pPr>
            <w:r>
              <w:rPr>
                <w:w w:val="105"/>
                <w:sz w:val="10"/>
              </w:rPr>
              <w:t>Post-Intensive Care Units (ICU) patients. Intervention (n=136). Control (n=196).</w:t>
            </w:r>
          </w:p>
        </w:tc>
        <w:tc>
          <w:tcPr>
            <w:tcW w:w="2815" w:type="dxa"/>
            <w:tcBorders>
              <w:top w:val="single" w:sz="2" w:space="0" w:color="000000"/>
              <w:left w:val="single" w:sz="2" w:space="0" w:color="000000"/>
              <w:right w:val="single" w:sz="2" w:space="0" w:color="000000"/>
            </w:tcBorders>
          </w:tcPr>
          <w:p w:rsidR="00B852E7" w:rsidRDefault="00B852E7" w:rsidP="00B852E7">
            <w:pPr>
              <w:pStyle w:val="TableParagraph"/>
              <w:spacing w:line="276" w:lineRule="auto"/>
              <w:ind w:left="34" w:right="20"/>
              <w:rPr>
                <w:sz w:val="10"/>
              </w:rPr>
            </w:pPr>
            <w:r>
              <w:rPr>
                <w:w w:val="105"/>
                <w:sz w:val="10"/>
              </w:rPr>
              <w:t>Intervention: standard care (SC) plus a nurse-led intensive care recovery program:  First consultation was conducted at the clinic with the patient and close relative at 1–3 months post- ICU. Second and third consultations at 5 and 10</w:t>
            </w:r>
            <w:r>
              <w:rPr>
                <w:spacing w:val="-6"/>
                <w:w w:val="105"/>
                <w:sz w:val="10"/>
              </w:rPr>
              <w:t xml:space="preserve"> </w:t>
            </w:r>
            <w:r>
              <w:rPr>
                <w:w w:val="105"/>
                <w:sz w:val="10"/>
              </w:rPr>
              <w:t>months</w:t>
            </w:r>
            <w:r>
              <w:rPr>
                <w:spacing w:val="-3"/>
                <w:w w:val="105"/>
                <w:sz w:val="10"/>
              </w:rPr>
              <w:t xml:space="preserve"> </w:t>
            </w:r>
            <w:r>
              <w:rPr>
                <w:w w:val="105"/>
                <w:sz w:val="10"/>
              </w:rPr>
              <w:t>post-ICU</w:t>
            </w:r>
            <w:r>
              <w:rPr>
                <w:spacing w:val="-4"/>
                <w:w w:val="105"/>
                <w:sz w:val="10"/>
              </w:rPr>
              <w:t xml:space="preserve"> </w:t>
            </w:r>
            <w:r>
              <w:rPr>
                <w:w w:val="105"/>
                <w:sz w:val="10"/>
              </w:rPr>
              <w:t>were</w:t>
            </w:r>
            <w:r>
              <w:rPr>
                <w:spacing w:val="-5"/>
                <w:w w:val="105"/>
                <w:sz w:val="10"/>
              </w:rPr>
              <w:t xml:space="preserve"> </w:t>
            </w:r>
            <w:r>
              <w:rPr>
                <w:w w:val="105"/>
                <w:sz w:val="10"/>
              </w:rPr>
              <w:t>conducted</w:t>
            </w:r>
            <w:r>
              <w:rPr>
                <w:spacing w:val="-5"/>
                <w:w w:val="105"/>
                <w:sz w:val="10"/>
              </w:rPr>
              <w:t xml:space="preserve"> </w:t>
            </w:r>
            <w:r>
              <w:rPr>
                <w:w w:val="105"/>
                <w:sz w:val="10"/>
              </w:rPr>
              <w:t>by</w:t>
            </w:r>
            <w:r>
              <w:rPr>
                <w:spacing w:val="-6"/>
                <w:w w:val="105"/>
                <w:sz w:val="10"/>
              </w:rPr>
              <w:t xml:space="preserve"> </w:t>
            </w:r>
            <w:r>
              <w:rPr>
                <w:w w:val="105"/>
                <w:sz w:val="10"/>
              </w:rPr>
              <w:t>telephone.</w:t>
            </w:r>
            <w:r>
              <w:rPr>
                <w:spacing w:val="-5"/>
                <w:w w:val="105"/>
                <w:sz w:val="10"/>
              </w:rPr>
              <w:t xml:space="preserve"> </w:t>
            </w:r>
            <w:r>
              <w:rPr>
                <w:w w:val="105"/>
                <w:sz w:val="10"/>
              </w:rPr>
              <w:t>Control: Standard care: SC included light sedation, early mobilization, daily CAM-ICU delirium assessment, written information for visitors, and ICU discharge without follow- up.</w:t>
            </w:r>
          </w:p>
        </w:tc>
        <w:tc>
          <w:tcPr>
            <w:tcW w:w="2777" w:type="dxa"/>
            <w:tcBorders>
              <w:top w:val="single" w:sz="2" w:space="0" w:color="000000"/>
              <w:left w:val="single" w:sz="2" w:space="0" w:color="000000"/>
              <w:right w:val="single" w:sz="2" w:space="0" w:color="000000"/>
            </w:tcBorders>
          </w:tcPr>
          <w:p w:rsidR="00B852E7" w:rsidRDefault="00B852E7" w:rsidP="00B852E7">
            <w:pPr>
              <w:pStyle w:val="TableParagraph"/>
              <w:spacing w:line="276" w:lineRule="auto"/>
              <w:ind w:left="34" w:right="9"/>
              <w:rPr>
                <w:sz w:val="10"/>
              </w:rPr>
            </w:pPr>
            <w:r>
              <w:rPr>
                <w:w w:val="105"/>
                <w:sz w:val="10"/>
              </w:rPr>
              <w:t>The individualized ICU recovery program was based on literature and theoretical approaches toward psychological recovery including the salutogenic model, illness narratives, person-centered communication, and elements from guided self-determination and trauma-focused cognitive behavioural therapy. A nurse-led intensive care recovery program:</w:t>
            </w:r>
          </w:p>
        </w:tc>
        <w:tc>
          <w:tcPr>
            <w:tcW w:w="842" w:type="dxa"/>
            <w:tcBorders>
              <w:top w:val="single" w:sz="2" w:space="0" w:color="000000"/>
              <w:left w:val="single" w:sz="2" w:space="0" w:color="000000"/>
              <w:right w:val="single" w:sz="2" w:space="0" w:color="000000"/>
            </w:tcBorders>
          </w:tcPr>
          <w:p w:rsidR="00B852E7" w:rsidRDefault="00B852E7" w:rsidP="00B852E7">
            <w:pPr>
              <w:pStyle w:val="TableParagraph"/>
              <w:spacing w:before="15"/>
              <w:rPr>
                <w:b/>
                <w:sz w:val="10"/>
              </w:rPr>
            </w:pPr>
            <w:r>
              <w:rPr>
                <w:b/>
                <w:w w:val="105"/>
                <w:sz w:val="10"/>
              </w:rPr>
              <w:t xml:space="preserve"> A, L, SRRs</w:t>
            </w:r>
          </w:p>
        </w:tc>
        <w:tc>
          <w:tcPr>
            <w:tcW w:w="804" w:type="dxa"/>
            <w:tcBorders>
              <w:top w:val="single" w:sz="2" w:space="0" w:color="000000"/>
              <w:left w:val="single" w:sz="2" w:space="0" w:color="000000"/>
              <w:right w:val="single" w:sz="2" w:space="0" w:color="000000"/>
            </w:tcBorders>
          </w:tcPr>
          <w:p w:rsidR="00B852E7" w:rsidRDefault="00B852E7" w:rsidP="00B852E7">
            <w:pPr>
              <w:pStyle w:val="TableParagraph"/>
              <w:rPr>
                <w:sz w:val="10"/>
              </w:rPr>
            </w:pPr>
            <w:r>
              <w:rPr>
                <w:w w:val="105"/>
                <w:sz w:val="10"/>
              </w:rPr>
              <w:t>SOC-13</w:t>
            </w:r>
          </w:p>
          <w:p w:rsidR="00B852E7" w:rsidRDefault="00B852E7" w:rsidP="00B852E7">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right w:val="single" w:sz="2" w:space="0" w:color="000000"/>
            </w:tcBorders>
          </w:tcPr>
          <w:p w:rsidR="00B852E7" w:rsidRDefault="00B852E7" w:rsidP="00B852E7">
            <w:pPr>
              <w:pStyle w:val="TableParagraph"/>
              <w:spacing w:line="276" w:lineRule="auto"/>
              <w:ind w:right="210"/>
              <w:rPr>
                <w:sz w:val="10"/>
              </w:rPr>
            </w:pPr>
            <w:r>
              <w:rPr>
                <w:w w:val="105"/>
                <w:sz w:val="10"/>
              </w:rPr>
              <w:t>Before &amp; after intervention (3</w:t>
            </w:r>
          </w:p>
          <w:p w:rsidR="00B852E7" w:rsidRDefault="00B852E7" w:rsidP="00B852E7">
            <w:pPr>
              <w:pStyle w:val="TableParagraph"/>
              <w:spacing w:before="0" w:line="276" w:lineRule="auto"/>
              <w:ind w:right="82"/>
              <w:rPr>
                <w:sz w:val="10"/>
              </w:rPr>
            </w:pPr>
            <w:r>
              <w:rPr>
                <w:w w:val="105"/>
                <w:sz w:val="10"/>
              </w:rPr>
              <w:t>months) and 12 months follow-up</w:t>
            </w:r>
          </w:p>
        </w:tc>
        <w:tc>
          <w:tcPr>
            <w:tcW w:w="1753" w:type="dxa"/>
            <w:tcBorders>
              <w:top w:val="single" w:sz="2" w:space="0" w:color="000000"/>
              <w:left w:val="single" w:sz="2" w:space="0" w:color="000000"/>
            </w:tcBorders>
          </w:tcPr>
          <w:p w:rsidR="00B852E7" w:rsidRDefault="00B852E7" w:rsidP="00B852E7">
            <w:pPr>
              <w:pStyle w:val="TableParagraph"/>
              <w:spacing w:line="276" w:lineRule="auto"/>
              <w:ind w:right="51"/>
              <w:rPr>
                <w:sz w:val="10"/>
              </w:rPr>
            </w:pPr>
            <w:r>
              <w:rPr>
                <w:w w:val="105"/>
                <w:sz w:val="10"/>
              </w:rPr>
              <w:t>Baseline, three and twelve months: No significant changes in SOC.</w:t>
            </w:r>
          </w:p>
        </w:tc>
      </w:tr>
    </w:tbl>
    <w:p w:rsidR="00B852E7" w:rsidRPr="0091233F" w:rsidRDefault="00B852E7" w:rsidP="00B852E7">
      <w:pPr>
        <w:spacing w:line="276" w:lineRule="auto"/>
        <w:rPr>
          <w:sz w:val="10"/>
          <w:lang w:val="en-US"/>
        </w:rPr>
        <w:sectPr w:rsidR="00B852E7" w:rsidRPr="0091233F" w:rsidSect="00AA6DE4">
          <w:pgSz w:w="16840" w:h="11910" w:orient="landscape"/>
          <w:pgMar w:top="720" w:right="567" w:bottom="720" w:left="567" w:header="720" w:footer="720" w:gutter="0"/>
          <w:cols w:space="720"/>
        </w:sectPr>
      </w:pPr>
    </w:p>
    <w:p w:rsidR="00B852E7" w:rsidRPr="0091233F" w:rsidRDefault="00B852E7" w:rsidP="00B852E7">
      <w:pPr>
        <w:spacing w:line="276" w:lineRule="auto"/>
        <w:rPr>
          <w:sz w:val="10"/>
          <w:lang w:val="en-US"/>
        </w:rPr>
        <w:sectPr w:rsidR="00B852E7" w:rsidRPr="0091233F" w:rsidSect="00AA6DE4">
          <w:type w:val="continuous"/>
          <w:pgSz w:w="16840" w:h="11910" w:orient="landscape"/>
          <w:pgMar w:top="720" w:right="720" w:bottom="720" w:left="720" w:header="720" w:footer="720" w:gutter="0"/>
          <w:cols w:space="720"/>
        </w:sectPr>
      </w:pPr>
    </w:p>
    <w:tbl>
      <w:tblPr>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8"/>
        <w:gridCol w:w="357"/>
        <w:gridCol w:w="683"/>
        <w:gridCol w:w="1586"/>
        <w:gridCol w:w="657"/>
        <w:gridCol w:w="1528"/>
        <w:gridCol w:w="2815"/>
        <w:gridCol w:w="2777"/>
        <w:gridCol w:w="842"/>
        <w:gridCol w:w="804"/>
        <w:gridCol w:w="936"/>
        <w:gridCol w:w="1753"/>
      </w:tblGrid>
      <w:tr w:rsidR="00B852E7" w:rsidTr="00675923">
        <w:trPr>
          <w:trHeight w:val="484"/>
        </w:trPr>
        <w:tc>
          <w:tcPr>
            <w:tcW w:w="1278" w:type="dxa"/>
            <w:tcBorders>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28"/>
              <w:rPr>
                <w:b/>
                <w:sz w:val="12"/>
              </w:rPr>
            </w:pPr>
            <w:r>
              <w:rPr>
                <w:b/>
                <w:w w:val="105"/>
                <w:sz w:val="12"/>
              </w:rPr>
              <w:t>Authors</w:t>
            </w:r>
          </w:p>
        </w:tc>
        <w:tc>
          <w:tcPr>
            <w:tcW w:w="357"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2"/>
              <w:rPr>
                <w:b/>
                <w:sz w:val="12"/>
              </w:rPr>
            </w:pPr>
            <w:r>
              <w:rPr>
                <w:b/>
                <w:w w:val="105"/>
                <w:sz w:val="12"/>
              </w:rPr>
              <w:t>Year</w:t>
            </w:r>
          </w:p>
        </w:tc>
        <w:tc>
          <w:tcPr>
            <w:tcW w:w="683"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3"/>
              <w:rPr>
                <w:b/>
                <w:sz w:val="12"/>
              </w:rPr>
            </w:pPr>
            <w:r>
              <w:rPr>
                <w:b/>
                <w:w w:val="105"/>
                <w:sz w:val="12"/>
              </w:rPr>
              <w:t>Country</w:t>
            </w:r>
          </w:p>
        </w:tc>
        <w:tc>
          <w:tcPr>
            <w:tcW w:w="1586"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3"/>
              <w:rPr>
                <w:b/>
                <w:sz w:val="12"/>
              </w:rPr>
            </w:pPr>
            <w:r>
              <w:rPr>
                <w:b/>
                <w:w w:val="105"/>
                <w:sz w:val="12"/>
              </w:rPr>
              <w:t>Title</w:t>
            </w:r>
          </w:p>
        </w:tc>
        <w:tc>
          <w:tcPr>
            <w:tcW w:w="657"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4"/>
              <w:rPr>
                <w:b/>
                <w:sz w:val="12"/>
              </w:rPr>
            </w:pPr>
            <w:r>
              <w:rPr>
                <w:b/>
                <w:w w:val="105"/>
                <w:sz w:val="12"/>
              </w:rPr>
              <w:t>Method</w:t>
            </w:r>
          </w:p>
        </w:tc>
        <w:tc>
          <w:tcPr>
            <w:tcW w:w="1528"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rPr>
                <w:b/>
                <w:sz w:val="12"/>
              </w:rPr>
            </w:pPr>
            <w:r>
              <w:rPr>
                <w:b/>
                <w:w w:val="105"/>
                <w:sz w:val="12"/>
              </w:rPr>
              <w:t>Sample</w:t>
            </w:r>
          </w:p>
        </w:tc>
        <w:tc>
          <w:tcPr>
            <w:tcW w:w="2815"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6"/>
              <w:rPr>
                <w:b/>
                <w:sz w:val="12"/>
              </w:rPr>
            </w:pPr>
            <w:r>
              <w:rPr>
                <w:b/>
                <w:w w:val="105"/>
                <w:sz w:val="12"/>
              </w:rPr>
              <w:t>Type of intervention(s)</w:t>
            </w:r>
          </w:p>
        </w:tc>
        <w:tc>
          <w:tcPr>
            <w:tcW w:w="2777"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6"/>
              <w:rPr>
                <w:b/>
                <w:sz w:val="12"/>
              </w:rPr>
            </w:pPr>
            <w:r>
              <w:rPr>
                <w:b/>
                <w:w w:val="105"/>
                <w:sz w:val="12"/>
              </w:rPr>
              <w:t>Salutogenic intervention content.</w:t>
            </w:r>
          </w:p>
        </w:tc>
        <w:tc>
          <w:tcPr>
            <w:tcW w:w="842"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1"/>
              <w:ind w:left="0"/>
              <w:rPr>
                <w:rFonts w:ascii="Times New Roman"/>
                <w:sz w:val="13"/>
              </w:rPr>
            </w:pPr>
          </w:p>
          <w:p w:rsidR="00B852E7" w:rsidRDefault="00B852E7" w:rsidP="00675923">
            <w:pPr>
              <w:pStyle w:val="TableParagraph"/>
              <w:spacing w:before="0" w:line="160" w:lineRule="atLeast"/>
              <w:ind w:left="37" w:right="60"/>
              <w:rPr>
                <w:b/>
                <w:sz w:val="12"/>
              </w:rPr>
            </w:pPr>
            <w:r>
              <w:rPr>
                <w:b/>
                <w:w w:val="105"/>
                <w:sz w:val="12"/>
              </w:rPr>
              <w:t>Salutogenic criteria*</w:t>
            </w:r>
          </w:p>
        </w:tc>
        <w:tc>
          <w:tcPr>
            <w:tcW w:w="804"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12"/>
              <w:ind w:left="37"/>
              <w:rPr>
                <w:b/>
                <w:sz w:val="12"/>
              </w:rPr>
            </w:pPr>
            <w:r>
              <w:rPr>
                <w:b/>
                <w:w w:val="105"/>
                <w:sz w:val="12"/>
              </w:rPr>
              <w:t>SOC</w:t>
            </w:r>
          </w:p>
          <w:p w:rsidR="00B852E7" w:rsidRDefault="00B852E7" w:rsidP="00675923">
            <w:pPr>
              <w:pStyle w:val="TableParagraph"/>
              <w:spacing w:before="0" w:line="160" w:lineRule="atLeast"/>
              <w:ind w:left="37" w:right="164"/>
              <w:rPr>
                <w:b/>
                <w:sz w:val="12"/>
              </w:rPr>
            </w:pPr>
            <w:r>
              <w:rPr>
                <w:b/>
                <w:spacing w:val="-1"/>
                <w:w w:val="105"/>
                <w:sz w:val="12"/>
              </w:rPr>
              <w:t>Question</w:t>
            </w:r>
            <w:r>
              <w:rPr>
                <w:b/>
                <w:w w:val="105"/>
                <w:sz w:val="12"/>
              </w:rPr>
              <w:t>naire</w:t>
            </w:r>
          </w:p>
        </w:tc>
        <w:tc>
          <w:tcPr>
            <w:tcW w:w="936"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1"/>
              <w:ind w:left="0"/>
              <w:rPr>
                <w:rFonts w:ascii="Times New Roman"/>
                <w:sz w:val="13"/>
              </w:rPr>
            </w:pPr>
          </w:p>
          <w:p w:rsidR="00B852E7" w:rsidRDefault="00B852E7" w:rsidP="00675923">
            <w:pPr>
              <w:pStyle w:val="TableParagraph"/>
              <w:spacing w:before="0" w:line="160" w:lineRule="atLeast"/>
              <w:ind w:left="38"/>
              <w:rPr>
                <w:b/>
                <w:sz w:val="12"/>
              </w:rPr>
            </w:pPr>
            <w:r>
              <w:rPr>
                <w:b/>
                <w:w w:val="105"/>
                <w:sz w:val="12"/>
              </w:rPr>
              <w:t>Assessment points</w:t>
            </w:r>
          </w:p>
        </w:tc>
        <w:tc>
          <w:tcPr>
            <w:tcW w:w="1753" w:type="dxa"/>
            <w:tcBorders>
              <w:left w:val="single" w:sz="4" w:space="0" w:color="000000"/>
              <w:bottom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8"/>
              <w:rPr>
                <w:b/>
                <w:sz w:val="12"/>
              </w:rPr>
            </w:pPr>
            <w:r>
              <w:rPr>
                <w:b/>
                <w:w w:val="105"/>
                <w:sz w:val="12"/>
              </w:rPr>
              <w:t>Result SOC**</w:t>
            </w:r>
          </w:p>
        </w:tc>
      </w:tr>
      <w:tr w:rsidR="00B852E7" w:rsidRPr="00C65587" w:rsidTr="00675923">
        <w:trPr>
          <w:trHeight w:val="1546"/>
        </w:trPr>
        <w:tc>
          <w:tcPr>
            <w:tcW w:w="1278" w:type="dxa"/>
            <w:tcBorders>
              <w:top w:val="single" w:sz="4" w:space="0" w:color="000000"/>
              <w:bottom w:val="single" w:sz="2" w:space="0" w:color="000000"/>
              <w:right w:val="single" w:sz="2" w:space="0" w:color="000000"/>
            </w:tcBorders>
          </w:tcPr>
          <w:p w:rsidR="00B852E7" w:rsidRPr="00C77849" w:rsidRDefault="00B852E7" w:rsidP="00675923">
            <w:pPr>
              <w:pStyle w:val="TableParagraph"/>
              <w:spacing w:before="9" w:line="276" w:lineRule="auto"/>
              <w:ind w:left="23" w:right="25"/>
              <w:rPr>
                <w:sz w:val="10"/>
              </w:rPr>
            </w:pPr>
            <w:r w:rsidRPr="00C77849">
              <w:rPr>
                <w:w w:val="105"/>
                <w:sz w:val="10"/>
              </w:rPr>
              <w:t>Kekäläinen,T · Kokko, K · Sipilä, S · Walker; S</w:t>
            </w:r>
          </w:p>
        </w:tc>
        <w:tc>
          <w:tcPr>
            <w:tcW w:w="357"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ind w:left="30"/>
              <w:rPr>
                <w:sz w:val="10"/>
              </w:rPr>
            </w:pPr>
            <w:r>
              <w:rPr>
                <w:w w:val="105"/>
                <w:sz w:val="10"/>
              </w:rPr>
              <w:t>2018</w:t>
            </w:r>
          </w:p>
        </w:tc>
        <w:tc>
          <w:tcPr>
            <w:tcW w:w="683"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ind w:left="30"/>
              <w:rPr>
                <w:sz w:val="10"/>
              </w:rPr>
            </w:pPr>
            <w:r>
              <w:rPr>
                <w:w w:val="105"/>
                <w:sz w:val="10"/>
              </w:rPr>
              <w:t>Finland</w:t>
            </w:r>
          </w:p>
        </w:tc>
        <w:tc>
          <w:tcPr>
            <w:tcW w:w="1586"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1" w:right="18"/>
              <w:rPr>
                <w:sz w:val="10"/>
              </w:rPr>
            </w:pPr>
            <w:r>
              <w:rPr>
                <w:w w:val="105"/>
                <w:sz w:val="10"/>
              </w:rPr>
              <w:t>Effects of a 9-month resistance training intervention on quality of life, sense of coherence, and depressive symptoms in older adults: randomized controlled trial</w:t>
            </w:r>
          </w:p>
        </w:tc>
        <w:tc>
          <w:tcPr>
            <w:tcW w:w="657"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ind w:left="32"/>
              <w:rPr>
                <w:sz w:val="10"/>
              </w:rPr>
            </w:pPr>
            <w:r>
              <w:rPr>
                <w:w w:val="105"/>
                <w:sz w:val="10"/>
              </w:rPr>
              <w:t>RCT</w:t>
            </w:r>
          </w:p>
        </w:tc>
        <w:tc>
          <w:tcPr>
            <w:tcW w:w="1528"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3" w:right="-7"/>
              <w:rPr>
                <w:sz w:val="10"/>
              </w:rPr>
            </w:pPr>
            <w:r>
              <w:rPr>
                <w:w w:val="105"/>
                <w:sz w:val="10"/>
              </w:rPr>
              <w:t>Older adults (N=106), aged 65–75 years (mean 68.3).Three training groups (n=26, n=27, n=28) and one non-training group(n=25)</w:t>
            </w:r>
          </w:p>
        </w:tc>
        <w:tc>
          <w:tcPr>
            <w:tcW w:w="2815"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4" w:right="-5"/>
              <w:rPr>
                <w:sz w:val="10"/>
              </w:rPr>
            </w:pPr>
            <w:r>
              <w:rPr>
                <w:w w:val="105"/>
                <w:sz w:val="10"/>
              </w:rPr>
              <w:t>9-month resistance training (RT) intervention: Each training session lasted for 1 h, and consisted of a 10-min warm-up and 8–9 exercises for different muscle groups. Months 1–3: All three training groups trained twice a week, to become familiar with RT methods, and to build capacity for subsequent high-load training. The focus was on local muscular endurance using low loads. Months 4–9: The training groups split into different training frequencies in which they were randomized: For RT1, this represented a reduced and for RT3 an increased training frequency.</w:t>
            </w:r>
          </w:p>
        </w:tc>
        <w:tc>
          <w:tcPr>
            <w:tcW w:w="2777"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ind w:left="34"/>
              <w:rPr>
                <w:sz w:val="10"/>
              </w:rPr>
            </w:pPr>
            <w:r>
              <w:rPr>
                <w:w w:val="105"/>
                <w:sz w:val="10"/>
              </w:rPr>
              <w:t>Resistance training. Muscular endurance. Supervision.</w:t>
            </w:r>
          </w:p>
        </w:tc>
        <w:tc>
          <w:tcPr>
            <w:tcW w:w="842"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14"/>
              <w:rPr>
                <w:b/>
                <w:sz w:val="10"/>
              </w:rPr>
            </w:pPr>
            <w:r>
              <w:rPr>
                <w:b/>
                <w:w w:val="105"/>
                <w:sz w:val="10"/>
              </w:rPr>
              <w:t>A, GRRs</w:t>
            </w:r>
          </w:p>
        </w:tc>
        <w:tc>
          <w:tcPr>
            <w:tcW w:w="804"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rPr>
                <w:sz w:val="10"/>
              </w:rPr>
            </w:pPr>
            <w:r>
              <w:rPr>
                <w:w w:val="105"/>
                <w:sz w:val="10"/>
              </w:rPr>
              <w:t>SOC-13</w:t>
            </w:r>
          </w:p>
          <w:p w:rsidR="00B852E7" w:rsidRDefault="00B852E7" w:rsidP="00675923">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right="228"/>
              <w:jc w:val="both"/>
              <w:rPr>
                <w:sz w:val="10"/>
              </w:rPr>
            </w:pPr>
            <w:r>
              <w:rPr>
                <w:w w:val="105"/>
                <w:sz w:val="10"/>
              </w:rPr>
              <w:t>Before &amp; after intervention (9 Months)</w:t>
            </w:r>
          </w:p>
        </w:tc>
        <w:tc>
          <w:tcPr>
            <w:tcW w:w="1753" w:type="dxa"/>
            <w:tcBorders>
              <w:top w:val="single" w:sz="4" w:space="0" w:color="000000"/>
              <w:left w:val="single" w:sz="2" w:space="0" w:color="000000"/>
              <w:bottom w:val="single" w:sz="2" w:space="0" w:color="000000"/>
            </w:tcBorders>
          </w:tcPr>
          <w:p w:rsidR="00B852E7" w:rsidRDefault="00B852E7" w:rsidP="00675923">
            <w:pPr>
              <w:pStyle w:val="TableParagraph"/>
              <w:spacing w:before="9" w:line="276" w:lineRule="auto"/>
              <w:ind w:right="22"/>
              <w:rPr>
                <w:sz w:val="10"/>
              </w:rPr>
            </w:pPr>
            <w:r>
              <w:rPr>
                <w:w w:val="105"/>
                <w:sz w:val="10"/>
              </w:rPr>
              <w:t>SOC increased in RT2 compared to the control group and RT3 (group × time p = .032)</w:t>
            </w:r>
          </w:p>
        </w:tc>
      </w:tr>
      <w:tr w:rsidR="00B852E7" w:rsidRPr="00C65587" w:rsidTr="00675923">
        <w:trPr>
          <w:trHeight w:val="1970"/>
        </w:trPr>
        <w:tc>
          <w:tcPr>
            <w:tcW w:w="1278" w:type="dxa"/>
            <w:tcBorders>
              <w:top w:val="single" w:sz="2" w:space="0" w:color="000000"/>
              <w:bottom w:val="single" w:sz="2" w:space="0" w:color="000000"/>
              <w:right w:val="single" w:sz="2" w:space="0" w:color="000000"/>
            </w:tcBorders>
          </w:tcPr>
          <w:p w:rsidR="00B852E7" w:rsidRDefault="00B852E7" w:rsidP="00675923">
            <w:pPr>
              <w:pStyle w:val="TableParagraph"/>
              <w:spacing w:line="276" w:lineRule="auto"/>
              <w:ind w:left="23" w:right="3"/>
              <w:jc w:val="both"/>
              <w:rPr>
                <w:sz w:val="10"/>
              </w:rPr>
            </w:pPr>
            <w:r>
              <w:rPr>
                <w:w w:val="105"/>
                <w:sz w:val="10"/>
              </w:rPr>
              <w:t>Kähönen, K, Näätänen, P, Tolvanen, A, Salmela-Aro, K.</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2012</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Finland</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228"/>
              <w:rPr>
                <w:sz w:val="10"/>
              </w:rPr>
            </w:pPr>
            <w:r>
              <w:rPr>
                <w:w w:val="105"/>
                <w:sz w:val="10"/>
              </w:rPr>
              <w:t>Development of sense of coherence during two group interventions.</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2" w:right="144"/>
              <w:rPr>
                <w:sz w:val="10"/>
              </w:rPr>
            </w:pPr>
            <w:r>
              <w:rPr>
                <w:w w:val="105"/>
                <w:sz w:val="10"/>
              </w:rPr>
              <w:t>Follow-up with three different groups.</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ight="13"/>
              <w:rPr>
                <w:sz w:val="10"/>
              </w:rPr>
            </w:pPr>
            <w:r>
              <w:rPr>
                <w:w w:val="105"/>
                <w:sz w:val="10"/>
              </w:rPr>
              <w:t>Employees suffering from severe burnout (33-59 years of age (mean age = 47).Analytic- dialogue based (n=25):Psycho- dramatic, action based (n=24), Controls (n=28)</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53"/>
              <w:rPr>
                <w:sz w:val="10"/>
              </w:rPr>
            </w:pPr>
            <w:r>
              <w:rPr>
                <w:w w:val="105"/>
                <w:sz w:val="10"/>
              </w:rPr>
              <w:t>Interventions: A total of 16 separate days, over a nine month period with an interval of two weeks between each, and with four sessions on each day Follow-up: six months later: The same timetable as the intervention days</w:t>
            </w:r>
          </w:p>
          <w:p w:rsidR="00B852E7" w:rsidRDefault="00B852E7" w:rsidP="00675923">
            <w:pPr>
              <w:pStyle w:val="TableParagraph"/>
              <w:spacing w:before="0" w:line="276" w:lineRule="auto"/>
              <w:ind w:left="34" w:right="76"/>
              <w:rPr>
                <w:sz w:val="10"/>
              </w:rPr>
            </w:pPr>
            <w:r>
              <w:rPr>
                <w:w w:val="105"/>
                <w:sz w:val="10"/>
              </w:rPr>
              <w:t>The psychodrama method was based on many different kinds of psychodramatic techniques. A psychodrama group stays dependent on coordinators, while the analytic group becomes more and more independent.</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2"/>
              <w:rPr>
                <w:sz w:val="10"/>
              </w:rPr>
            </w:pPr>
            <w:r>
              <w:rPr>
                <w:w w:val="105"/>
                <w:sz w:val="10"/>
              </w:rPr>
              <w:t>A common issue in both group methods was to investigate the balance between work, social life (including family life) and personal hobbies. In terms of general resistance resources these three basic dimensions support each other, meaning that if some-one faces serious conflicts in his occupational domain, a functional social life and important personal hobbies may be enough to prevent burnout. Another common issue was to investigate participants’ personal values, beliefs, attitudes and patterns of behaviour, especially those exposing to conflicts in their work. This connects both the perceptual and behavioural mechanisms of SOC. The group analytic method was based on free ﬂoating discussion.</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line="285" w:lineRule="auto"/>
              <w:ind w:right="234" w:firstLine="28"/>
              <w:rPr>
                <w:b/>
                <w:sz w:val="10"/>
              </w:rPr>
            </w:pPr>
            <w:r>
              <w:rPr>
                <w:b/>
                <w:w w:val="105"/>
                <w:sz w:val="10"/>
              </w:rPr>
              <w:t>A, L, GRRs, SRRs, 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SOC-13</w:t>
            </w:r>
          </w:p>
          <w:p w:rsidR="00B852E7" w:rsidRDefault="00B852E7" w:rsidP="00675923">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228"/>
              <w:jc w:val="both"/>
              <w:rPr>
                <w:sz w:val="10"/>
              </w:rPr>
            </w:pPr>
            <w:r>
              <w:rPr>
                <w:w w:val="105"/>
                <w:sz w:val="10"/>
              </w:rPr>
              <w:t>Before &amp; after intervention (9 months).</w:t>
            </w:r>
          </w:p>
        </w:tc>
        <w:tc>
          <w:tcPr>
            <w:tcW w:w="1753"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20"/>
              <w:rPr>
                <w:sz w:val="10"/>
              </w:rPr>
            </w:pPr>
            <w:r>
              <w:rPr>
                <w:w w:val="105"/>
                <w:sz w:val="10"/>
              </w:rPr>
              <w:t>Total effect size from baseline to follow-up was in the analytic group 0.71, in the psychodrama group 0.47, and in the control group from baseline to end of intervention 0.09.</w:t>
            </w:r>
          </w:p>
        </w:tc>
      </w:tr>
      <w:tr w:rsidR="00B852E7" w:rsidRPr="00C65587" w:rsidTr="00675923">
        <w:trPr>
          <w:trHeight w:val="1686"/>
        </w:trPr>
        <w:tc>
          <w:tcPr>
            <w:tcW w:w="1278" w:type="dxa"/>
            <w:tcBorders>
              <w:top w:val="single" w:sz="2" w:space="0" w:color="000000"/>
              <w:bottom w:val="single" w:sz="2" w:space="0" w:color="000000"/>
              <w:right w:val="single" w:sz="2" w:space="0" w:color="000000"/>
            </w:tcBorders>
          </w:tcPr>
          <w:p w:rsidR="00B852E7" w:rsidRPr="00C77849" w:rsidRDefault="00B852E7" w:rsidP="00675923">
            <w:pPr>
              <w:pStyle w:val="TableParagraph"/>
              <w:spacing w:line="276" w:lineRule="auto"/>
              <w:ind w:left="23" w:right="84"/>
              <w:rPr>
                <w:sz w:val="10"/>
              </w:rPr>
            </w:pPr>
            <w:r w:rsidRPr="00C77849">
              <w:rPr>
                <w:w w:val="105"/>
                <w:sz w:val="10"/>
              </w:rPr>
              <w:t>Langeland, E, Riise, T, Hanestad, BR, Nortvedt, MW, Kristoffersen, K, Wahl, AK</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2006</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Norway</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70"/>
              <w:rPr>
                <w:sz w:val="10"/>
              </w:rPr>
            </w:pPr>
            <w:r>
              <w:rPr>
                <w:w w:val="105"/>
                <w:sz w:val="10"/>
              </w:rPr>
              <w:t>The effect of salutogenic treatment principles on coping with mental health problems - A randomised controlled trial</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2"/>
              <w:rPr>
                <w:sz w:val="10"/>
              </w:rPr>
            </w:pPr>
            <w:r>
              <w:rPr>
                <w:w w:val="105"/>
                <w:sz w:val="10"/>
              </w:rPr>
              <w:t>RCT</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ight="-4"/>
              <w:rPr>
                <w:sz w:val="10"/>
              </w:rPr>
            </w:pPr>
            <w:r>
              <w:rPr>
                <w:w w:val="105"/>
                <w:sz w:val="10"/>
              </w:rPr>
              <w:t>Adults with mental health challenges. Intervention (n=56). Control (n=42).</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9"/>
              <w:rPr>
                <w:sz w:val="10"/>
              </w:rPr>
            </w:pPr>
            <w:r>
              <w:rPr>
                <w:w w:val="105"/>
                <w:sz w:val="10"/>
              </w:rPr>
              <w:t>Intervention: Salutogenic talk-therapy group once a week 16 times, each 2 hours. It targets people with various mental health problems who live at home but need support from the health system. The intervention is described in detail in Langeland et, al. 2007, 2013). In addition TAU. The main objective of the group intervention in this study was to increase participants’ consciousness of their potential, their internal and external resistance resources (such as personal qualities, coping abilities and social support) and their</w:t>
            </w:r>
            <w:r>
              <w:rPr>
                <w:spacing w:val="-3"/>
                <w:w w:val="105"/>
                <w:sz w:val="10"/>
              </w:rPr>
              <w:t xml:space="preserve"> </w:t>
            </w:r>
            <w:r>
              <w:rPr>
                <w:w w:val="105"/>
                <w:sz w:val="10"/>
              </w:rPr>
              <w:t>ability</w:t>
            </w:r>
            <w:r>
              <w:rPr>
                <w:spacing w:val="-5"/>
                <w:w w:val="105"/>
                <w:sz w:val="10"/>
              </w:rPr>
              <w:t xml:space="preserve"> </w:t>
            </w:r>
            <w:r>
              <w:rPr>
                <w:w w:val="105"/>
                <w:sz w:val="10"/>
              </w:rPr>
              <w:t>to</w:t>
            </w:r>
            <w:r>
              <w:rPr>
                <w:spacing w:val="-4"/>
                <w:w w:val="105"/>
                <w:sz w:val="10"/>
              </w:rPr>
              <w:t xml:space="preserve"> </w:t>
            </w:r>
            <w:r>
              <w:rPr>
                <w:w w:val="105"/>
                <w:sz w:val="10"/>
              </w:rPr>
              <w:t>use</w:t>
            </w:r>
            <w:r>
              <w:rPr>
                <w:spacing w:val="-4"/>
                <w:w w:val="105"/>
                <w:sz w:val="10"/>
              </w:rPr>
              <w:t xml:space="preserve"> </w:t>
            </w:r>
            <w:r>
              <w:rPr>
                <w:w w:val="105"/>
                <w:sz w:val="10"/>
              </w:rPr>
              <w:t>them,</w:t>
            </w:r>
            <w:r>
              <w:rPr>
                <w:spacing w:val="-4"/>
                <w:w w:val="105"/>
                <w:sz w:val="10"/>
              </w:rPr>
              <w:t xml:space="preserve"> </w:t>
            </w:r>
            <w:r>
              <w:rPr>
                <w:w w:val="105"/>
                <w:sz w:val="10"/>
              </w:rPr>
              <w:t>and</w:t>
            </w:r>
            <w:r>
              <w:rPr>
                <w:spacing w:val="-4"/>
                <w:w w:val="105"/>
                <w:sz w:val="10"/>
              </w:rPr>
              <w:t xml:space="preserve"> </w:t>
            </w:r>
            <w:r>
              <w:rPr>
                <w:w w:val="105"/>
                <w:sz w:val="10"/>
              </w:rPr>
              <w:t>thus</w:t>
            </w:r>
            <w:r>
              <w:rPr>
                <w:spacing w:val="-2"/>
                <w:w w:val="105"/>
                <w:sz w:val="10"/>
              </w:rPr>
              <w:t xml:space="preserve"> </w:t>
            </w:r>
            <w:r>
              <w:rPr>
                <w:w w:val="105"/>
                <w:sz w:val="10"/>
              </w:rPr>
              <w:t>to</w:t>
            </w:r>
            <w:r>
              <w:rPr>
                <w:spacing w:val="-4"/>
                <w:w w:val="105"/>
                <w:sz w:val="10"/>
              </w:rPr>
              <w:t xml:space="preserve"> </w:t>
            </w:r>
            <w:r>
              <w:rPr>
                <w:w w:val="105"/>
                <w:sz w:val="10"/>
              </w:rPr>
              <w:t>increase</w:t>
            </w:r>
            <w:r>
              <w:rPr>
                <w:spacing w:val="-4"/>
                <w:w w:val="105"/>
                <w:sz w:val="10"/>
              </w:rPr>
              <w:t xml:space="preserve"> </w:t>
            </w:r>
            <w:r>
              <w:rPr>
                <w:w w:val="105"/>
                <w:sz w:val="10"/>
              </w:rPr>
              <w:t>their</w:t>
            </w:r>
            <w:r>
              <w:rPr>
                <w:spacing w:val="-3"/>
                <w:w w:val="105"/>
                <w:sz w:val="10"/>
              </w:rPr>
              <w:t xml:space="preserve"> </w:t>
            </w:r>
            <w:r>
              <w:rPr>
                <w:w w:val="105"/>
                <w:sz w:val="10"/>
              </w:rPr>
              <w:t>coping</w:t>
            </w:r>
            <w:r>
              <w:rPr>
                <w:spacing w:val="-1"/>
                <w:w w:val="105"/>
                <w:sz w:val="10"/>
              </w:rPr>
              <w:t xml:space="preserve"> </w:t>
            </w:r>
            <w:r>
              <w:rPr>
                <w:w w:val="105"/>
                <w:sz w:val="10"/>
              </w:rPr>
              <w:t>in the context of everyday living. Control</w:t>
            </w:r>
            <w:r>
              <w:rPr>
                <w:spacing w:val="-14"/>
                <w:w w:val="105"/>
                <w:sz w:val="10"/>
              </w:rPr>
              <w:t xml:space="preserve"> </w:t>
            </w:r>
            <w:r>
              <w:rPr>
                <w:w w:val="105"/>
                <w:sz w:val="10"/>
              </w:rPr>
              <w:t>group: TAU</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20"/>
              <w:rPr>
                <w:sz w:val="10"/>
              </w:rPr>
            </w:pPr>
            <w:r>
              <w:rPr>
                <w:w w:val="105"/>
                <w:sz w:val="10"/>
              </w:rPr>
              <w:t>The groups clearly concentrates on factors promoting health and the attention and support spheres in the person’s life that work well. It does not view health as a dichotomous variable but as a health continuum, striving to explain what makes a person move towards the healthy end of that continuum. It focuses on the story of the person and emphasises the coping ability in their stories. It understands that stress and strain may potentially promote health and focuses on appropriate challenges. This salutogenic approach is adapted to the person’s ability to work with herself or himself and her or his relations.</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line="285" w:lineRule="auto"/>
              <w:ind w:right="-18"/>
              <w:rPr>
                <w:b/>
                <w:sz w:val="10"/>
              </w:rPr>
            </w:pPr>
            <w:r>
              <w:rPr>
                <w:b/>
                <w:w w:val="105"/>
                <w:sz w:val="10"/>
              </w:rPr>
              <w:t>A, L, GRRs, SRRs, ST, 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SOC-29</w:t>
            </w:r>
          </w:p>
          <w:p w:rsidR="00B852E7" w:rsidRDefault="00B852E7" w:rsidP="00675923">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210"/>
              <w:rPr>
                <w:sz w:val="10"/>
              </w:rPr>
            </w:pPr>
            <w:r>
              <w:rPr>
                <w:w w:val="105"/>
                <w:sz w:val="10"/>
              </w:rPr>
              <w:t>Before &amp; after intervention (6</w:t>
            </w:r>
          </w:p>
          <w:p w:rsidR="00B852E7" w:rsidRDefault="00B852E7" w:rsidP="00675923">
            <w:pPr>
              <w:pStyle w:val="TableParagraph"/>
              <w:spacing w:before="0" w:line="276" w:lineRule="auto"/>
              <w:ind w:right="146"/>
              <w:rPr>
                <w:sz w:val="10"/>
              </w:rPr>
            </w:pPr>
            <w:r>
              <w:rPr>
                <w:w w:val="105"/>
                <w:sz w:val="10"/>
              </w:rPr>
              <w:t>months) and 12 months</w:t>
            </w:r>
          </w:p>
        </w:tc>
        <w:tc>
          <w:tcPr>
            <w:tcW w:w="1753"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4"/>
              <w:rPr>
                <w:sz w:val="10"/>
              </w:rPr>
            </w:pPr>
            <w:r>
              <w:rPr>
                <w:w w:val="105"/>
                <w:sz w:val="10"/>
              </w:rPr>
              <w:t>Baseline - 19 weeks Intervention group 120 →125. Control group:</w:t>
            </w:r>
            <w:r>
              <w:rPr>
                <w:spacing w:val="-19"/>
                <w:w w:val="105"/>
                <w:sz w:val="10"/>
              </w:rPr>
              <w:t xml:space="preserve"> </w:t>
            </w:r>
            <w:r>
              <w:rPr>
                <w:spacing w:val="-6"/>
                <w:w w:val="105"/>
                <w:sz w:val="10"/>
              </w:rPr>
              <w:t>111</w:t>
            </w:r>
          </w:p>
          <w:p w:rsidR="00B852E7" w:rsidRDefault="00B852E7" w:rsidP="00675923">
            <w:pPr>
              <w:pStyle w:val="TableParagraph"/>
              <w:spacing w:before="0" w:line="276" w:lineRule="auto"/>
              <w:ind w:right="21"/>
              <w:rPr>
                <w:sz w:val="10"/>
              </w:rPr>
            </w:pPr>
            <w:r>
              <w:rPr>
                <w:w w:val="105"/>
                <w:sz w:val="10"/>
              </w:rPr>
              <w:t xml:space="preserve">→ </w:t>
            </w:r>
            <w:r>
              <w:rPr>
                <w:spacing w:val="-4"/>
                <w:w w:val="105"/>
                <w:sz w:val="10"/>
              </w:rPr>
              <w:t xml:space="preserve">110. </w:t>
            </w:r>
            <w:r>
              <w:rPr>
                <w:w w:val="105"/>
                <w:sz w:val="10"/>
              </w:rPr>
              <w:t>SOC improved significantly in the experiment group (+6 points) compared with the control group (-2 points) from before to after Intervention (P=0.03, E.S =0.29) no significant changes after 12</w:t>
            </w:r>
            <w:r>
              <w:rPr>
                <w:spacing w:val="-17"/>
                <w:w w:val="105"/>
                <w:sz w:val="10"/>
              </w:rPr>
              <w:t xml:space="preserve"> </w:t>
            </w:r>
            <w:r>
              <w:rPr>
                <w:w w:val="105"/>
                <w:sz w:val="10"/>
              </w:rPr>
              <w:t>months.</w:t>
            </w:r>
          </w:p>
        </w:tc>
      </w:tr>
      <w:tr w:rsidR="00B852E7" w:rsidTr="00675923">
        <w:trPr>
          <w:trHeight w:val="1123"/>
        </w:trPr>
        <w:tc>
          <w:tcPr>
            <w:tcW w:w="1278" w:type="dxa"/>
            <w:tcBorders>
              <w:top w:val="single" w:sz="2" w:space="0" w:color="000000"/>
              <w:bottom w:val="single" w:sz="2" w:space="0" w:color="000000"/>
              <w:right w:val="single" w:sz="2" w:space="0" w:color="000000"/>
            </w:tcBorders>
          </w:tcPr>
          <w:p w:rsidR="00B852E7" w:rsidRPr="00C77849" w:rsidRDefault="00B852E7" w:rsidP="00675923">
            <w:pPr>
              <w:pStyle w:val="TableParagraph"/>
              <w:spacing w:line="276" w:lineRule="auto"/>
              <w:ind w:left="23" w:right="49"/>
              <w:rPr>
                <w:sz w:val="10"/>
              </w:rPr>
            </w:pPr>
            <w:r w:rsidRPr="00C77849">
              <w:rPr>
                <w:w w:val="105"/>
                <w:sz w:val="10"/>
              </w:rPr>
              <w:t>Langeland, E, Robinson HS, Moum. T, Larsen, MH, Krogstad,</w:t>
            </w:r>
            <w:r>
              <w:rPr>
                <w:w w:val="105"/>
                <w:sz w:val="10"/>
              </w:rPr>
              <w:t xml:space="preserve"> </w:t>
            </w:r>
            <w:r w:rsidRPr="00C77849">
              <w:rPr>
                <w:w w:val="105"/>
                <w:sz w:val="10"/>
              </w:rPr>
              <w:t>AL, Wahl, AK</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2013</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Norway</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8"/>
              <w:rPr>
                <w:sz w:val="10"/>
              </w:rPr>
            </w:pPr>
            <w:r>
              <w:rPr>
                <w:w w:val="105"/>
                <w:sz w:val="10"/>
              </w:rPr>
              <w:t>Promoting sense of coherence: Salutogenesis among people with psoriasis undergoing patient education in climate therapy.</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2"/>
              <w:rPr>
                <w:sz w:val="10"/>
              </w:rPr>
            </w:pPr>
            <w:r>
              <w:rPr>
                <w:w w:val="105"/>
                <w:sz w:val="10"/>
              </w:rPr>
              <w:t>Follow-up</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ight="224"/>
              <w:rPr>
                <w:sz w:val="10"/>
              </w:rPr>
            </w:pPr>
            <w:r>
              <w:rPr>
                <w:w w:val="105"/>
                <w:sz w:val="10"/>
              </w:rPr>
              <w:t>Persons with psoriasis (N= 254)</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24"/>
              <w:rPr>
                <w:sz w:val="10"/>
              </w:rPr>
            </w:pPr>
            <w:r>
              <w:rPr>
                <w:w w:val="105"/>
                <w:sz w:val="10"/>
              </w:rPr>
              <w:t>The program consisted a three weeks Climate-therapy and Patient education (Healthy lifestyles)</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6"/>
              <w:rPr>
                <w:sz w:val="10"/>
              </w:rPr>
            </w:pPr>
            <w:r>
              <w:rPr>
                <w:w w:val="105"/>
                <w:sz w:val="10"/>
              </w:rPr>
              <w:t>Focus on sun treatment and education: The program provided individual and group based education, guidance and daily training, physical activity and healthy eating.</w:t>
            </w:r>
          </w:p>
          <w:p w:rsidR="00B852E7" w:rsidRDefault="00B852E7" w:rsidP="00675923">
            <w:pPr>
              <w:pStyle w:val="TableParagraph"/>
              <w:spacing w:before="0" w:line="276" w:lineRule="auto"/>
              <w:ind w:left="34" w:right="62"/>
              <w:rPr>
                <w:sz w:val="10"/>
              </w:rPr>
            </w:pPr>
            <w:r>
              <w:rPr>
                <w:w w:val="105"/>
                <w:sz w:val="10"/>
              </w:rPr>
              <w:t>Discussions in smaller groups focused on finding ways to manage psoriasis in daily life.</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rPr>
                <w:b/>
                <w:sz w:val="10"/>
              </w:rPr>
            </w:pPr>
            <w:r>
              <w:rPr>
                <w:b/>
                <w:w w:val="105"/>
                <w:sz w:val="10"/>
              </w:rPr>
              <w:t>A, L, GRRs, SRRs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SOC-13</w:t>
            </w:r>
          </w:p>
          <w:p w:rsidR="00B852E7" w:rsidRDefault="00B852E7" w:rsidP="00675923">
            <w:pPr>
              <w:pStyle w:val="TableParagraph"/>
              <w:spacing w:before="18"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12"/>
              <w:rPr>
                <w:sz w:val="10"/>
              </w:rPr>
            </w:pPr>
            <w:r>
              <w:rPr>
                <w:w w:val="105"/>
                <w:sz w:val="10"/>
              </w:rPr>
              <w:t>Before &amp; after intervention (3 weeks) and after 3 months.</w:t>
            </w:r>
          </w:p>
        </w:tc>
        <w:tc>
          <w:tcPr>
            <w:tcW w:w="1753"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22"/>
              <w:rPr>
                <w:sz w:val="10"/>
              </w:rPr>
            </w:pPr>
            <w:r>
              <w:rPr>
                <w:w w:val="105"/>
                <w:sz w:val="10"/>
              </w:rPr>
              <w:t>The SOC score changed significantly by 2.65 points, (95% CI</w:t>
            </w:r>
          </w:p>
          <w:p w:rsidR="00B852E7" w:rsidRDefault="00B852E7" w:rsidP="00675923">
            <w:pPr>
              <w:pStyle w:val="TableParagraph"/>
              <w:spacing w:before="0" w:line="276" w:lineRule="auto"/>
              <w:ind w:right="22"/>
              <w:rPr>
                <w:sz w:val="10"/>
              </w:rPr>
            </w:pPr>
            <w:r>
              <w:rPr>
                <w:w w:val="105"/>
                <w:sz w:val="10"/>
              </w:rPr>
              <w:t>= 0.621, 3.685) from the baseline to follow-up 1(after 3 weeks) SOC score was still improved by 1.15 points (95% CI = 0.073, 0.223) at</w:t>
            </w:r>
          </w:p>
          <w:p w:rsidR="00B852E7" w:rsidRDefault="00B852E7" w:rsidP="00675923">
            <w:pPr>
              <w:pStyle w:val="TableParagraph"/>
              <w:spacing w:before="0" w:line="114" w:lineRule="exact"/>
              <w:rPr>
                <w:sz w:val="10"/>
              </w:rPr>
            </w:pPr>
            <w:r>
              <w:rPr>
                <w:w w:val="105"/>
                <w:sz w:val="10"/>
              </w:rPr>
              <w:t>follow-up 2 (After 3 months)</w:t>
            </w:r>
          </w:p>
        </w:tc>
      </w:tr>
      <w:tr w:rsidR="00B852E7" w:rsidTr="00675923">
        <w:trPr>
          <w:trHeight w:val="1123"/>
        </w:trPr>
        <w:tc>
          <w:tcPr>
            <w:tcW w:w="1278" w:type="dxa"/>
            <w:tcBorders>
              <w:top w:val="single" w:sz="2" w:space="0" w:color="000000"/>
              <w:bottom w:val="single" w:sz="2" w:space="0" w:color="000000"/>
              <w:right w:val="single" w:sz="2" w:space="0" w:color="000000"/>
            </w:tcBorders>
          </w:tcPr>
          <w:p w:rsidR="00B852E7" w:rsidRPr="0091233F" w:rsidRDefault="00B852E7" w:rsidP="00675923">
            <w:pPr>
              <w:pStyle w:val="TableParagraph"/>
              <w:spacing w:line="276" w:lineRule="auto"/>
              <w:ind w:left="23" w:right="49"/>
              <w:rPr>
                <w:sz w:val="10"/>
                <w:lang w:val="nb-NO"/>
              </w:rPr>
            </w:pPr>
            <w:r w:rsidRPr="0091233F">
              <w:rPr>
                <w:w w:val="105"/>
                <w:sz w:val="10"/>
                <w:lang w:val="nb-NO"/>
              </w:rPr>
              <w:t>Malm, D, Fridlund,B Ekblad, H, Karlström, P, Hag,E, and Pakpour,V</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2018</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Sweden</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Pr>
                <w:sz w:val="10"/>
              </w:rPr>
            </w:pPr>
            <w:r>
              <w:rPr>
                <w:w w:val="105"/>
                <w:sz w:val="10"/>
              </w:rPr>
              <w:t>Effects of brief mindfulness- based cognitive behavioural therapy on health-related quality of life and sense of coherence in atrial fibrillation patients</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2"/>
              <w:rPr>
                <w:sz w:val="10"/>
              </w:rPr>
            </w:pPr>
            <w:r>
              <w:rPr>
                <w:w w:val="105"/>
                <w:sz w:val="10"/>
              </w:rPr>
              <w:t>RCT</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ight="57"/>
              <w:rPr>
                <w:sz w:val="10"/>
              </w:rPr>
            </w:pPr>
            <w:r>
              <w:rPr>
                <w:w w:val="105"/>
                <w:sz w:val="10"/>
              </w:rPr>
              <w:t>Older atrial fibrillation patients. Intervention (n=56). Control (n=55): TAU</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0"/>
              <w:rPr>
                <w:sz w:val="10"/>
              </w:rPr>
            </w:pPr>
            <w:r>
              <w:rPr>
                <w:w w:val="105"/>
                <w:sz w:val="10"/>
              </w:rPr>
              <w:t>The intervention was Brief dyadic cognitive behavioural therapy (CBT) programme and Treatment as usual (TAU).A CBT programme and consisted of three 2.5-hour group sessions over a period of 9 weeks, with four to six AF patients, including spouses. In these sessions, Control group: TAU.</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5"/>
              <w:rPr>
                <w:sz w:val="10"/>
              </w:rPr>
            </w:pPr>
            <w:r>
              <w:rPr>
                <w:w w:val="105"/>
                <w:sz w:val="10"/>
              </w:rPr>
              <w:t>Participants were trained to be aware of their breathing. HeartMath is a standardised and easy-to-learn stress reduction programme. It comprises a series of self- regulation techniques that facilitate, through the regulation of emotions and behaviours and psychological coherence. Patients also experienced, through mindfulness practice,</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rPr>
                <w:b/>
                <w:sz w:val="10"/>
              </w:rPr>
            </w:pPr>
            <w:r>
              <w:rPr>
                <w:b/>
                <w:w w:val="105"/>
                <w:sz w:val="10"/>
              </w:rPr>
              <w:t>A, L, SRRs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SOC-13</w:t>
            </w:r>
          </w:p>
          <w:p w:rsidR="00B852E7" w:rsidRDefault="00B852E7" w:rsidP="00675923">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64"/>
              <w:rPr>
                <w:sz w:val="10"/>
              </w:rPr>
            </w:pPr>
            <w:r>
              <w:rPr>
                <w:w w:val="105"/>
                <w:sz w:val="10"/>
              </w:rPr>
              <w:t>Before &amp; after intervention (9 weeks).Follow up at 12 months</w:t>
            </w:r>
          </w:p>
        </w:tc>
        <w:tc>
          <w:tcPr>
            <w:tcW w:w="1753"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10"/>
              <w:rPr>
                <w:sz w:val="10"/>
              </w:rPr>
            </w:pPr>
            <w:r>
              <w:rPr>
                <w:w w:val="105"/>
                <w:sz w:val="10"/>
              </w:rPr>
              <w:t>SOC improved in the CBT group after the 12-month follow-up, compared to the TAU group (mean changes in the CBT group 0.062 vs. mean changes in the TAU group</w:t>
            </w:r>
          </w:p>
          <w:p w:rsidR="00B852E7" w:rsidRDefault="00B852E7" w:rsidP="00675923">
            <w:pPr>
              <w:pStyle w:val="TableParagraph"/>
              <w:spacing w:before="0" w:line="114" w:lineRule="exact"/>
              <w:rPr>
                <w:sz w:val="10"/>
              </w:rPr>
            </w:pPr>
            <w:r>
              <w:rPr>
                <w:w w:val="105"/>
                <w:sz w:val="10"/>
              </w:rPr>
              <w:t>−0.16; P=0.04). Intervention :SOC:</w:t>
            </w:r>
          </w:p>
          <w:p w:rsidR="00B852E7" w:rsidRDefault="00B852E7" w:rsidP="00675923">
            <w:pPr>
              <w:pStyle w:val="TableParagraph"/>
              <w:spacing w:before="17"/>
              <w:rPr>
                <w:sz w:val="10"/>
              </w:rPr>
            </w:pPr>
            <w:r>
              <w:rPr>
                <w:w w:val="105"/>
                <w:sz w:val="10"/>
              </w:rPr>
              <w:t>73.31 → 76.15 Control : 70.24</w:t>
            </w:r>
          </w:p>
          <w:p w:rsidR="00B852E7" w:rsidRDefault="00B852E7" w:rsidP="00675923">
            <w:pPr>
              <w:pStyle w:val="TableParagraph"/>
              <w:spacing w:before="17"/>
              <w:rPr>
                <w:sz w:val="10"/>
              </w:rPr>
            </w:pPr>
            <w:r>
              <w:rPr>
                <w:w w:val="105"/>
                <w:sz w:val="10"/>
              </w:rPr>
              <w:t>→70.08</w:t>
            </w:r>
          </w:p>
        </w:tc>
      </w:tr>
      <w:tr w:rsidR="00B852E7" w:rsidTr="00675923">
        <w:trPr>
          <w:trHeight w:val="1687"/>
        </w:trPr>
        <w:tc>
          <w:tcPr>
            <w:tcW w:w="1278" w:type="dxa"/>
            <w:tcBorders>
              <w:top w:val="single" w:sz="2" w:space="0" w:color="000000"/>
              <w:bottom w:val="single" w:sz="2" w:space="0" w:color="000000"/>
              <w:right w:val="single" w:sz="2" w:space="0" w:color="000000"/>
            </w:tcBorders>
          </w:tcPr>
          <w:p w:rsidR="00B852E7" w:rsidRPr="0091233F" w:rsidRDefault="00B852E7" w:rsidP="00675923">
            <w:pPr>
              <w:pStyle w:val="TableParagraph"/>
              <w:spacing w:before="11" w:line="276" w:lineRule="auto"/>
              <w:ind w:left="23" w:right="24"/>
              <w:rPr>
                <w:sz w:val="10"/>
                <w:lang w:val="nb-NO"/>
              </w:rPr>
            </w:pPr>
            <w:r w:rsidRPr="0091233F">
              <w:rPr>
                <w:w w:val="105"/>
                <w:sz w:val="10"/>
                <w:lang w:val="nb-NO"/>
              </w:rPr>
              <w:lastRenderedPageBreak/>
              <w:t>Merakou K, Tsoukas K, Stavrinos G, Amanaki E, Daleziou A, Kourmousi N, Stamatelopoulou G, Spourdalaki E, Barbouni A</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ind w:left="30"/>
              <w:rPr>
                <w:sz w:val="10"/>
              </w:rPr>
            </w:pPr>
            <w:r>
              <w:rPr>
                <w:w w:val="105"/>
                <w:sz w:val="10"/>
              </w:rPr>
              <w:t>2018</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ind w:left="30"/>
              <w:rPr>
                <w:sz w:val="10"/>
              </w:rPr>
            </w:pPr>
            <w:r>
              <w:rPr>
                <w:w w:val="105"/>
                <w:sz w:val="10"/>
              </w:rPr>
              <w:t>Greece</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left="31" w:right="292"/>
              <w:rPr>
                <w:sz w:val="10"/>
              </w:rPr>
            </w:pPr>
            <w:r>
              <w:rPr>
                <w:w w:val="105"/>
                <w:sz w:val="10"/>
              </w:rPr>
              <w:t>The effect of progressive muscle relaxation on emotional</w:t>
            </w:r>
            <w:r>
              <w:rPr>
                <w:sz w:val="10"/>
              </w:rPr>
              <w:t xml:space="preserve"> </w:t>
            </w:r>
            <w:r>
              <w:rPr>
                <w:w w:val="105"/>
                <w:sz w:val="10"/>
              </w:rPr>
              <w:t>competence: depression-anxiety- stress, sense of coherence, Health -related quality of life, and well-being of unemployed people in Greece: An intervention study.</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left="32"/>
              <w:rPr>
                <w:sz w:val="10"/>
              </w:rPr>
            </w:pPr>
            <w:r>
              <w:rPr>
                <w:w w:val="105"/>
                <w:sz w:val="10"/>
              </w:rPr>
              <w:t>Follow-up with control group</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left="33" w:right="37"/>
              <w:rPr>
                <w:sz w:val="10"/>
              </w:rPr>
            </w:pPr>
            <w:r>
              <w:rPr>
                <w:w w:val="105"/>
                <w:sz w:val="10"/>
              </w:rPr>
              <w:t xml:space="preserve">Long-term unemployed people suffering from anxiety disorders. Mean age 33.5 </w:t>
            </w:r>
            <w:r>
              <w:rPr>
                <w:rFonts w:ascii="Calibri"/>
                <w:w w:val="105"/>
                <w:sz w:val="10"/>
              </w:rPr>
              <w:t>(</w:t>
            </w:r>
            <w:r>
              <w:rPr>
                <w:w w:val="105"/>
                <w:sz w:val="10"/>
              </w:rPr>
              <w:t>6.4) Intervention group (n=30).</w:t>
            </w:r>
          </w:p>
          <w:p w:rsidR="00B852E7" w:rsidRDefault="00B852E7" w:rsidP="00675923">
            <w:pPr>
              <w:pStyle w:val="TableParagraph"/>
              <w:spacing w:before="0" w:line="113" w:lineRule="exact"/>
              <w:ind w:left="33"/>
              <w:rPr>
                <w:sz w:val="10"/>
              </w:rPr>
            </w:pPr>
            <w:r>
              <w:rPr>
                <w:w w:val="105"/>
                <w:sz w:val="10"/>
              </w:rPr>
              <w:t>Control group (n=20).</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left="34" w:right="3"/>
              <w:rPr>
                <w:sz w:val="10"/>
              </w:rPr>
            </w:pPr>
            <w:r>
              <w:rPr>
                <w:w w:val="105"/>
                <w:sz w:val="10"/>
              </w:rPr>
              <w:t>The intervention consisted of an 8-week on Progressive Muscle Relaxation (PMR) program and also received counselling services. The participants of the intervention group were divided in four subgroups of 6- 8 people with each small group attending a two month training course for the PMR technique. The training included 4 weekly sessions (45 min) from a professional PMR trainer that took place during the first month. Additional educational material was given to the participants (CD with detailed recorded instructions, 12 min duration) The control group that received only counselling services.</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left="34" w:right="39"/>
              <w:rPr>
                <w:sz w:val="10"/>
              </w:rPr>
            </w:pPr>
            <w:r>
              <w:rPr>
                <w:w w:val="105"/>
                <w:sz w:val="10"/>
              </w:rPr>
              <w:t>Groups including Progressive Muscle Relaxation program and counselling services.</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6"/>
              <w:rPr>
                <w:b/>
                <w:sz w:val="10"/>
              </w:rPr>
            </w:pPr>
            <w:r>
              <w:rPr>
                <w:b/>
                <w:w w:val="105"/>
                <w:sz w:val="10"/>
              </w:rPr>
              <w:t>A, L, GRRs, SRRs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rPr>
                <w:sz w:val="10"/>
              </w:rPr>
            </w:pPr>
            <w:r>
              <w:rPr>
                <w:w w:val="105"/>
                <w:sz w:val="10"/>
              </w:rPr>
              <w:t>SOC-13</w:t>
            </w:r>
          </w:p>
          <w:p w:rsidR="00B852E7" w:rsidRDefault="00B852E7" w:rsidP="00675923">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1" w:line="276" w:lineRule="auto"/>
              <w:ind w:right="228"/>
              <w:jc w:val="both"/>
              <w:rPr>
                <w:sz w:val="10"/>
              </w:rPr>
            </w:pPr>
            <w:r>
              <w:rPr>
                <w:w w:val="105"/>
                <w:sz w:val="10"/>
              </w:rPr>
              <w:t>Before &amp; after intervention (8 weeks)</w:t>
            </w:r>
          </w:p>
        </w:tc>
        <w:tc>
          <w:tcPr>
            <w:tcW w:w="1753" w:type="dxa"/>
            <w:tcBorders>
              <w:top w:val="single" w:sz="2" w:space="0" w:color="000000"/>
              <w:left w:val="single" w:sz="2" w:space="0" w:color="000000"/>
              <w:bottom w:val="single" w:sz="2" w:space="0" w:color="000000"/>
            </w:tcBorders>
          </w:tcPr>
          <w:p w:rsidR="00B852E7" w:rsidRDefault="00B852E7" w:rsidP="00675923">
            <w:pPr>
              <w:pStyle w:val="TableParagraph"/>
              <w:spacing w:before="11" w:line="276" w:lineRule="auto"/>
              <w:ind w:right="4"/>
              <w:rPr>
                <w:sz w:val="10"/>
              </w:rPr>
            </w:pPr>
            <w:r>
              <w:rPr>
                <w:w w:val="105"/>
                <w:sz w:val="10"/>
              </w:rPr>
              <w:t>Intervention: 45.80 → 49.34 (p=0.001) Control: 53.68→54.65 (p=0.008)</w:t>
            </w:r>
          </w:p>
        </w:tc>
      </w:tr>
      <w:tr w:rsidR="00B852E7" w:rsidTr="00675923">
        <w:trPr>
          <w:trHeight w:val="831"/>
        </w:trPr>
        <w:tc>
          <w:tcPr>
            <w:tcW w:w="1278" w:type="dxa"/>
            <w:tcBorders>
              <w:top w:val="single" w:sz="2" w:space="0" w:color="000000"/>
              <w:right w:val="single" w:sz="2" w:space="0" w:color="000000"/>
            </w:tcBorders>
          </w:tcPr>
          <w:p w:rsidR="00B852E7" w:rsidRPr="0091233F" w:rsidRDefault="00B852E7" w:rsidP="00675923">
            <w:pPr>
              <w:pStyle w:val="TableParagraph"/>
              <w:spacing w:line="276" w:lineRule="auto"/>
              <w:ind w:left="23" w:right="49"/>
              <w:rPr>
                <w:sz w:val="10"/>
                <w:lang w:val="nb-NO"/>
              </w:rPr>
            </w:pPr>
            <w:r w:rsidRPr="0091233F">
              <w:rPr>
                <w:w w:val="105"/>
                <w:sz w:val="10"/>
                <w:lang w:val="nb-NO"/>
              </w:rPr>
              <w:t>Murayama Y, Ohba H, Yasunaga M, Nonaka K, Takeuchi R, Nishi M, Sakuma N, Uchida H, Shoji S, Shinkai S, Fujiwara Y.</w:t>
            </w:r>
          </w:p>
        </w:tc>
        <w:tc>
          <w:tcPr>
            <w:tcW w:w="357" w:type="dxa"/>
            <w:tcBorders>
              <w:top w:val="single" w:sz="2" w:space="0" w:color="000000"/>
              <w:left w:val="single" w:sz="2" w:space="0" w:color="000000"/>
              <w:right w:val="single" w:sz="2" w:space="0" w:color="000000"/>
            </w:tcBorders>
          </w:tcPr>
          <w:p w:rsidR="00B852E7" w:rsidRDefault="00B852E7" w:rsidP="00675923">
            <w:pPr>
              <w:pStyle w:val="TableParagraph"/>
              <w:ind w:left="30"/>
              <w:rPr>
                <w:sz w:val="10"/>
              </w:rPr>
            </w:pPr>
            <w:r>
              <w:rPr>
                <w:w w:val="105"/>
                <w:sz w:val="10"/>
              </w:rPr>
              <w:t>2015</w:t>
            </w:r>
          </w:p>
        </w:tc>
        <w:tc>
          <w:tcPr>
            <w:tcW w:w="683" w:type="dxa"/>
            <w:tcBorders>
              <w:top w:val="single" w:sz="2" w:space="0" w:color="000000"/>
              <w:left w:val="single" w:sz="2" w:space="0" w:color="000000"/>
              <w:right w:val="single" w:sz="2" w:space="0" w:color="000000"/>
            </w:tcBorders>
          </w:tcPr>
          <w:p w:rsidR="00B852E7" w:rsidRDefault="00B852E7" w:rsidP="00675923">
            <w:pPr>
              <w:pStyle w:val="TableParagraph"/>
              <w:ind w:left="30"/>
              <w:rPr>
                <w:sz w:val="10"/>
              </w:rPr>
            </w:pPr>
            <w:r>
              <w:rPr>
                <w:w w:val="105"/>
                <w:sz w:val="10"/>
              </w:rPr>
              <w:t>Japan</w:t>
            </w:r>
          </w:p>
        </w:tc>
        <w:tc>
          <w:tcPr>
            <w:tcW w:w="1586"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1"/>
              <w:rPr>
                <w:sz w:val="10"/>
              </w:rPr>
            </w:pPr>
            <w:r>
              <w:rPr>
                <w:w w:val="105"/>
                <w:sz w:val="10"/>
              </w:rPr>
              <w:t>The effect of intergenerational programs on the</w:t>
            </w:r>
          </w:p>
          <w:p w:rsidR="00B852E7" w:rsidRDefault="00B852E7" w:rsidP="00675923">
            <w:pPr>
              <w:pStyle w:val="TableParagraph"/>
              <w:spacing w:before="0" w:line="115" w:lineRule="exact"/>
              <w:ind w:left="31"/>
              <w:rPr>
                <w:sz w:val="10"/>
              </w:rPr>
            </w:pPr>
            <w:r>
              <w:rPr>
                <w:w w:val="105"/>
                <w:sz w:val="10"/>
              </w:rPr>
              <w:t>mental health of elderly adults</w:t>
            </w:r>
          </w:p>
        </w:tc>
        <w:tc>
          <w:tcPr>
            <w:tcW w:w="657"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2" w:right="68"/>
              <w:rPr>
                <w:sz w:val="10"/>
              </w:rPr>
            </w:pPr>
            <w:r>
              <w:rPr>
                <w:w w:val="105"/>
                <w:sz w:val="10"/>
              </w:rPr>
              <w:t>Follow-up with control group</w:t>
            </w:r>
          </w:p>
        </w:tc>
        <w:tc>
          <w:tcPr>
            <w:tcW w:w="1528"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3" w:right="104"/>
              <w:rPr>
                <w:sz w:val="10"/>
              </w:rPr>
            </w:pPr>
            <w:r>
              <w:rPr>
                <w:w w:val="105"/>
                <w:sz w:val="10"/>
              </w:rPr>
              <w:t>Elderly adults Intervention, (n=26). Control group (n=54).</w:t>
            </w:r>
          </w:p>
        </w:tc>
        <w:tc>
          <w:tcPr>
            <w:tcW w:w="2815"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4" w:right="22"/>
              <w:rPr>
                <w:sz w:val="10"/>
              </w:rPr>
            </w:pPr>
            <w:r>
              <w:rPr>
                <w:w w:val="105"/>
                <w:sz w:val="10"/>
              </w:rPr>
              <w:t>Intergenerational program: 60-year-old volunteers read picture books to children in nursery schools, kindergartens, elementary</w:t>
            </w:r>
            <w:r>
              <w:rPr>
                <w:spacing w:val="-8"/>
                <w:w w:val="105"/>
                <w:sz w:val="10"/>
              </w:rPr>
              <w:t xml:space="preserve"> </w:t>
            </w:r>
            <w:r>
              <w:rPr>
                <w:w w:val="105"/>
                <w:sz w:val="10"/>
              </w:rPr>
              <w:t>schools,</w:t>
            </w:r>
            <w:r>
              <w:rPr>
                <w:spacing w:val="-6"/>
                <w:w w:val="105"/>
                <w:sz w:val="10"/>
              </w:rPr>
              <w:t xml:space="preserve"> </w:t>
            </w:r>
            <w:r>
              <w:rPr>
                <w:w w:val="105"/>
                <w:sz w:val="10"/>
              </w:rPr>
              <w:t>and</w:t>
            </w:r>
            <w:r>
              <w:rPr>
                <w:spacing w:val="-7"/>
                <w:w w:val="105"/>
                <w:sz w:val="10"/>
              </w:rPr>
              <w:t xml:space="preserve"> </w:t>
            </w:r>
            <w:r>
              <w:rPr>
                <w:w w:val="105"/>
                <w:sz w:val="10"/>
              </w:rPr>
              <w:t>junior</w:t>
            </w:r>
            <w:r>
              <w:rPr>
                <w:spacing w:val="-6"/>
                <w:w w:val="105"/>
                <w:sz w:val="10"/>
              </w:rPr>
              <w:t xml:space="preserve"> </w:t>
            </w:r>
            <w:r>
              <w:rPr>
                <w:w w:val="105"/>
                <w:sz w:val="10"/>
              </w:rPr>
              <w:t>high</w:t>
            </w:r>
            <w:r>
              <w:rPr>
                <w:spacing w:val="-7"/>
                <w:w w:val="105"/>
                <w:sz w:val="10"/>
              </w:rPr>
              <w:t xml:space="preserve"> </w:t>
            </w:r>
            <w:r>
              <w:rPr>
                <w:w w:val="105"/>
                <w:sz w:val="10"/>
              </w:rPr>
              <w:t>schools. The</w:t>
            </w:r>
            <w:r>
              <w:rPr>
                <w:spacing w:val="-7"/>
                <w:w w:val="105"/>
                <w:sz w:val="10"/>
              </w:rPr>
              <w:t xml:space="preserve"> </w:t>
            </w:r>
            <w:r>
              <w:rPr>
                <w:w w:val="105"/>
                <w:sz w:val="10"/>
              </w:rPr>
              <w:t>no-contact control group members were also recreated to participate in</w:t>
            </w:r>
            <w:r>
              <w:rPr>
                <w:spacing w:val="-5"/>
                <w:w w:val="105"/>
                <w:sz w:val="10"/>
              </w:rPr>
              <w:t xml:space="preserve"> </w:t>
            </w:r>
            <w:r>
              <w:rPr>
                <w:w w:val="105"/>
                <w:sz w:val="10"/>
              </w:rPr>
              <w:t>health</w:t>
            </w:r>
            <w:r>
              <w:rPr>
                <w:spacing w:val="-4"/>
                <w:w w:val="105"/>
                <w:sz w:val="10"/>
              </w:rPr>
              <w:t xml:space="preserve"> </w:t>
            </w:r>
            <w:r>
              <w:rPr>
                <w:w w:val="105"/>
                <w:sz w:val="10"/>
              </w:rPr>
              <w:t>checks</w:t>
            </w:r>
            <w:r>
              <w:rPr>
                <w:spacing w:val="-3"/>
                <w:w w:val="105"/>
                <w:sz w:val="10"/>
              </w:rPr>
              <w:t xml:space="preserve"> </w:t>
            </w:r>
            <w:r>
              <w:rPr>
                <w:w w:val="105"/>
                <w:sz w:val="10"/>
              </w:rPr>
              <w:t>and</w:t>
            </w:r>
            <w:r>
              <w:rPr>
                <w:spacing w:val="-4"/>
                <w:w w:val="105"/>
                <w:sz w:val="10"/>
              </w:rPr>
              <w:t xml:space="preserve"> </w:t>
            </w:r>
            <w:r>
              <w:rPr>
                <w:w w:val="105"/>
                <w:sz w:val="10"/>
              </w:rPr>
              <w:t>surveys</w:t>
            </w:r>
            <w:r>
              <w:rPr>
                <w:spacing w:val="-3"/>
                <w:w w:val="105"/>
                <w:sz w:val="10"/>
              </w:rPr>
              <w:t xml:space="preserve"> </w:t>
            </w:r>
            <w:r>
              <w:rPr>
                <w:w w:val="105"/>
                <w:sz w:val="10"/>
              </w:rPr>
              <w:t>for</w:t>
            </w:r>
            <w:r>
              <w:rPr>
                <w:spacing w:val="-2"/>
                <w:w w:val="105"/>
                <w:sz w:val="10"/>
              </w:rPr>
              <w:t xml:space="preserve"> </w:t>
            </w:r>
            <w:r>
              <w:rPr>
                <w:w w:val="105"/>
                <w:sz w:val="10"/>
              </w:rPr>
              <w:t>data</w:t>
            </w:r>
            <w:r>
              <w:rPr>
                <w:spacing w:val="-4"/>
                <w:w w:val="105"/>
                <w:sz w:val="10"/>
              </w:rPr>
              <w:t xml:space="preserve"> </w:t>
            </w:r>
            <w:r>
              <w:rPr>
                <w:w w:val="105"/>
                <w:sz w:val="10"/>
              </w:rPr>
              <w:t>collection</w:t>
            </w:r>
            <w:r>
              <w:rPr>
                <w:spacing w:val="-5"/>
                <w:w w:val="105"/>
                <w:sz w:val="10"/>
              </w:rPr>
              <w:t xml:space="preserve"> </w:t>
            </w:r>
            <w:r>
              <w:rPr>
                <w:w w:val="105"/>
                <w:sz w:val="10"/>
              </w:rPr>
              <w:t>purposes.</w:t>
            </w:r>
          </w:p>
        </w:tc>
        <w:tc>
          <w:tcPr>
            <w:tcW w:w="2777"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4" w:right="-14"/>
              <w:rPr>
                <w:sz w:val="10"/>
              </w:rPr>
            </w:pPr>
            <w:r>
              <w:rPr>
                <w:w w:val="105"/>
                <w:sz w:val="10"/>
              </w:rPr>
              <w:t>The intervention educated and engaged senior volunteers in picture book reading projects with preschool and school- aged children in educational settings.</w:t>
            </w:r>
          </w:p>
        </w:tc>
        <w:tc>
          <w:tcPr>
            <w:tcW w:w="842" w:type="dxa"/>
            <w:tcBorders>
              <w:top w:val="single" w:sz="2" w:space="0" w:color="000000"/>
              <w:left w:val="single" w:sz="2" w:space="0" w:color="000000"/>
              <w:right w:val="single" w:sz="2" w:space="0" w:color="000000"/>
            </w:tcBorders>
          </w:tcPr>
          <w:p w:rsidR="00B852E7" w:rsidRDefault="00B852E7" w:rsidP="00675923">
            <w:pPr>
              <w:pStyle w:val="TableParagraph"/>
              <w:spacing w:before="15"/>
              <w:rPr>
                <w:b/>
                <w:sz w:val="10"/>
              </w:rPr>
            </w:pPr>
            <w:r>
              <w:rPr>
                <w:b/>
                <w:w w:val="105"/>
                <w:sz w:val="10"/>
              </w:rPr>
              <w:t>A, GRRs,</w:t>
            </w:r>
          </w:p>
        </w:tc>
        <w:tc>
          <w:tcPr>
            <w:tcW w:w="804" w:type="dxa"/>
            <w:tcBorders>
              <w:top w:val="single" w:sz="2" w:space="0" w:color="000000"/>
              <w:left w:val="single" w:sz="2" w:space="0" w:color="000000"/>
              <w:right w:val="single" w:sz="2" w:space="0" w:color="000000"/>
            </w:tcBorders>
          </w:tcPr>
          <w:p w:rsidR="00B852E7" w:rsidRDefault="00B852E7" w:rsidP="00675923">
            <w:pPr>
              <w:pStyle w:val="TableParagraph"/>
              <w:rPr>
                <w:sz w:val="10"/>
              </w:rPr>
            </w:pPr>
            <w:r>
              <w:rPr>
                <w:w w:val="105"/>
                <w:sz w:val="10"/>
              </w:rPr>
              <w:t>SOC-13</w:t>
            </w:r>
          </w:p>
          <w:p w:rsidR="00B852E7" w:rsidRDefault="00B852E7" w:rsidP="00675923">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right="53"/>
              <w:rPr>
                <w:sz w:val="10"/>
              </w:rPr>
            </w:pPr>
            <w:r>
              <w:rPr>
                <w:w w:val="105"/>
                <w:sz w:val="10"/>
              </w:rPr>
              <w:t>Before &amp; after intervention (3 months) and after 1 and 2 years.</w:t>
            </w:r>
          </w:p>
        </w:tc>
        <w:tc>
          <w:tcPr>
            <w:tcW w:w="1753" w:type="dxa"/>
            <w:tcBorders>
              <w:top w:val="single" w:sz="2" w:space="0" w:color="000000"/>
              <w:left w:val="single" w:sz="2" w:space="0" w:color="000000"/>
            </w:tcBorders>
          </w:tcPr>
          <w:p w:rsidR="00B852E7" w:rsidRDefault="00B852E7" w:rsidP="00675923">
            <w:pPr>
              <w:pStyle w:val="TableParagraph"/>
              <w:rPr>
                <w:sz w:val="10"/>
              </w:rPr>
            </w:pPr>
            <w:r>
              <w:rPr>
                <w:w w:val="105"/>
                <w:sz w:val="10"/>
              </w:rPr>
              <w:t>Intervention (n=26): 65.12</w:t>
            </w:r>
          </w:p>
          <w:p w:rsidR="00B852E7" w:rsidRDefault="00B852E7" w:rsidP="00675923">
            <w:pPr>
              <w:pStyle w:val="TableParagraph"/>
              <w:spacing w:before="17" w:line="276" w:lineRule="auto"/>
              <w:ind w:right="4"/>
              <w:rPr>
                <w:sz w:val="10"/>
              </w:rPr>
            </w:pPr>
            <w:r>
              <w:rPr>
                <w:w w:val="105"/>
                <w:sz w:val="10"/>
              </w:rPr>
              <w:t>→70.38→71.04→72.19 Control group (n=54): 66.57→67.11→68.41→68.52</w:t>
            </w:r>
          </w:p>
          <w:p w:rsidR="00B852E7" w:rsidRDefault="00B852E7" w:rsidP="00675923">
            <w:pPr>
              <w:pStyle w:val="TableParagraph"/>
              <w:spacing w:before="0" w:line="115" w:lineRule="exact"/>
              <w:rPr>
                <w:sz w:val="10"/>
              </w:rPr>
            </w:pPr>
            <w:r>
              <w:rPr>
                <w:w w:val="105"/>
                <w:sz w:val="10"/>
              </w:rPr>
              <w:t>(P=&lt;.01, between groups)</w:t>
            </w:r>
          </w:p>
        </w:tc>
      </w:tr>
    </w:tbl>
    <w:p w:rsidR="00B852E7" w:rsidRDefault="00B852E7" w:rsidP="00B852E7">
      <w:pPr>
        <w:spacing w:line="115" w:lineRule="exact"/>
        <w:rPr>
          <w:sz w:val="10"/>
        </w:rPr>
        <w:sectPr w:rsidR="00B852E7" w:rsidSect="00AA6DE4">
          <w:type w:val="continuous"/>
          <w:pgSz w:w="16840" w:h="11910" w:orient="landscape"/>
          <w:pgMar w:top="720" w:right="720" w:bottom="720" w:left="720" w:header="720" w:footer="720" w:gutter="0"/>
          <w:cols w:space="720"/>
        </w:sectPr>
      </w:pPr>
    </w:p>
    <w:tbl>
      <w:tblPr>
        <w:tblW w:w="16016" w:type="dxa"/>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8"/>
        <w:gridCol w:w="357"/>
        <w:gridCol w:w="683"/>
        <w:gridCol w:w="1586"/>
        <w:gridCol w:w="657"/>
        <w:gridCol w:w="1528"/>
        <w:gridCol w:w="2815"/>
        <w:gridCol w:w="2777"/>
        <w:gridCol w:w="842"/>
        <w:gridCol w:w="804"/>
        <w:gridCol w:w="936"/>
        <w:gridCol w:w="1753"/>
      </w:tblGrid>
      <w:tr w:rsidR="00B852E7" w:rsidTr="00675923">
        <w:trPr>
          <w:trHeight w:val="484"/>
        </w:trPr>
        <w:tc>
          <w:tcPr>
            <w:tcW w:w="1278" w:type="dxa"/>
            <w:tcBorders>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28"/>
              <w:rPr>
                <w:b/>
                <w:sz w:val="12"/>
              </w:rPr>
            </w:pPr>
            <w:r>
              <w:rPr>
                <w:b/>
                <w:w w:val="105"/>
                <w:sz w:val="12"/>
              </w:rPr>
              <w:t>Authors</w:t>
            </w:r>
          </w:p>
        </w:tc>
        <w:tc>
          <w:tcPr>
            <w:tcW w:w="357"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2"/>
              <w:rPr>
                <w:b/>
                <w:sz w:val="12"/>
              </w:rPr>
            </w:pPr>
            <w:r>
              <w:rPr>
                <w:b/>
                <w:w w:val="105"/>
                <w:sz w:val="12"/>
              </w:rPr>
              <w:t>Year</w:t>
            </w:r>
          </w:p>
        </w:tc>
        <w:tc>
          <w:tcPr>
            <w:tcW w:w="683"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3"/>
              <w:rPr>
                <w:b/>
                <w:sz w:val="12"/>
              </w:rPr>
            </w:pPr>
            <w:r>
              <w:rPr>
                <w:b/>
                <w:w w:val="105"/>
                <w:sz w:val="12"/>
              </w:rPr>
              <w:t>Country</w:t>
            </w:r>
          </w:p>
        </w:tc>
        <w:tc>
          <w:tcPr>
            <w:tcW w:w="1586"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3"/>
              <w:rPr>
                <w:b/>
                <w:sz w:val="12"/>
              </w:rPr>
            </w:pPr>
            <w:r>
              <w:rPr>
                <w:b/>
                <w:w w:val="105"/>
                <w:sz w:val="12"/>
              </w:rPr>
              <w:t>Title</w:t>
            </w:r>
          </w:p>
        </w:tc>
        <w:tc>
          <w:tcPr>
            <w:tcW w:w="657"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4"/>
              <w:rPr>
                <w:b/>
                <w:sz w:val="12"/>
              </w:rPr>
            </w:pPr>
            <w:r>
              <w:rPr>
                <w:b/>
                <w:w w:val="105"/>
                <w:sz w:val="12"/>
              </w:rPr>
              <w:t>Method</w:t>
            </w:r>
          </w:p>
        </w:tc>
        <w:tc>
          <w:tcPr>
            <w:tcW w:w="1528"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rPr>
                <w:b/>
                <w:sz w:val="12"/>
              </w:rPr>
            </w:pPr>
            <w:r>
              <w:rPr>
                <w:b/>
                <w:w w:val="105"/>
                <w:sz w:val="12"/>
              </w:rPr>
              <w:t>Sample</w:t>
            </w:r>
          </w:p>
        </w:tc>
        <w:tc>
          <w:tcPr>
            <w:tcW w:w="2815"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6"/>
              <w:rPr>
                <w:b/>
                <w:sz w:val="12"/>
              </w:rPr>
            </w:pPr>
            <w:r>
              <w:rPr>
                <w:b/>
                <w:w w:val="105"/>
                <w:sz w:val="12"/>
              </w:rPr>
              <w:t>Type of intervention(s)</w:t>
            </w:r>
          </w:p>
        </w:tc>
        <w:tc>
          <w:tcPr>
            <w:tcW w:w="2777"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6"/>
              <w:rPr>
                <w:b/>
                <w:sz w:val="12"/>
              </w:rPr>
            </w:pPr>
            <w:r>
              <w:rPr>
                <w:b/>
                <w:w w:val="105"/>
                <w:sz w:val="12"/>
              </w:rPr>
              <w:t>Salutogenic intervention content.</w:t>
            </w:r>
          </w:p>
        </w:tc>
        <w:tc>
          <w:tcPr>
            <w:tcW w:w="842"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1"/>
              <w:ind w:left="0"/>
              <w:rPr>
                <w:rFonts w:ascii="Times New Roman"/>
                <w:sz w:val="13"/>
              </w:rPr>
            </w:pPr>
          </w:p>
          <w:p w:rsidR="00B852E7" w:rsidRDefault="00B852E7" w:rsidP="00675923">
            <w:pPr>
              <w:pStyle w:val="TableParagraph"/>
              <w:spacing w:before="0" w:line="160" w:lineRule="atLeast"/>
              <w:ind w:left="37" w:right="60"/>
              <w:rPr>
                <w:b/>
                <w:sz w:val="12"/>
              </w:rPr>
            </w:pPr>
            <w:r>
              <w:rPr>
                <w:b/>
                <w:w w:val="105"/>
                <w:sz w:val="12"/>
              </w:rPr>
              <w:t>Salutogenic criteria*</w:t>
            </w:r>
          </w:p>
        </w:tc>
        <w:tc>
          <w:tcPr>
            <w:tcW w:w="804"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12"/>
              <w:ind w:left="37"/>
              <w:rPr>
                <w:b/>
                <w:sz w:val="12"/>
              </w:rPr>
            </w:pPr>
            <w:r>
              <w:rPr>
                <w:b/>
                <w:w w:val="105"/>
                <w:sz w:val="12"/>
              </w:rPr>
              <w:t>SOC</w:t>
            </w:r>
          </w:p>
          <w:p w:rsidR="00B852E7" w:rsidRDefault="00B852E7" w:rsidP="00675923">
            <w:pPr>
              <w:pStyle w:val="TableParagraph"/>
              <w:spacing w:before="0" w:line="160" w:lineRule="atLeast"/>
              <w:ind w:left="37" w:right="164"/>
              <w:rPr>
                <w:b/>
                <w:sz w:val="12"/>
              </w:rPr>
            </w:pPr>
            <w:r>
              <w:rPr>
                <w:b/>
                <w:spacing w:val="-1"/>
                <w:w w:val="105"/>
                <w:sz w:val="12"/>
              </w:rPr>
              <w:t>Question</w:t>
            </w:r>
            <w:r>
              <w:rPr>
                <w:b/>
                <w:w w:val="105"/>
                <w:sz w:val="12"/>
              </w:rPr>
              <w:t>naire</w:t>
            </w:r>
          </w:p>
        </w:tc>
        <w:tc>
          <w:tcPr>
            <w:tcW w:w="936" w:type="dxa"/>
            <w:tcBorders>
              <w:left w:val="single" w:sz="4" w:space="0" w:color="000000"/>
              <w:bottom w:val="single" w:sz="4" w:space="0" w:color="000000"/>
              <w:right w:val="single" w:sz="4" w:space="0" w:color="000000"/>
            </w:tcBorders>
            <w:shd w:val="clear" w:color="auto" w:fill="E7E6E6"/>
          </w:tcPr>
          <w:p w:rsidR="00B852E7" w:rsidRDefault="00B852E7" w:rsidP="00675923">
            <w:pPr>
              <w:pStyle w:val="TableParagraph"/>
              <w:spacing w:before="1"/>
              <w:ind w:left="0"/>
              <w:rPr>
                <w:rFonts w:ascii="Times New Roman"/>
                <w:sz w:val="13"/>
              </w:rPr>
            </w:pPr>
          </w:p>
          <w:p w:rsidR="00B852E7" w:rsidRDefault="00B852E7" w:rsidP="00675923">
            <w:pPr>
              <w:pStyle w:val="TableParagraph"/>
              <w:spacing w:before="0" w:line="160" w:lineRule="atLeast"/>
              <w:ind w:left="38"/>
              <w:rPr>
                <w:b/>
                <w:sz w:val="12"/>
              </w:rPr>
            </w:pPr>
            <w:r>
              <w:rPr>
                <w:b/>
                <w:w w:val="105"/>
                <w:sz w:val="12"/>
              </w:rPr>
              <w:t>Assessment points</w:t>
            </w:r>
          </w:p>
        </w:tc>
        <w:tc>
          <w:tcPr>
            <w:tcW w:w="1753" w:type="dxa"/>
            <w:tcBorders>
              <w:left w:val="single" w:sz="4" w:space="0" w:color="000000"/>
              <w:bottom w:val="single" w:sz="4" w:space="0" w:color="000000"/>
            </w:tcBorders>
            <w:shd w:val="clear" w:color="auto" w:fill="E7E6E6"/>
          </w:tcPr>
          <w:p w:rsidR="00B852E7" w:rsidRDefault="00B852E7" w:rsidP="00675923">
            <w:pPr>
              <w:pStyle w:val="TableParagraph"/>
              <w:spacing w:before="0"/>
              <w:ind w:left="0"/>
              <w:rPr>
                <w:rFonts w:ascii="Times New Roman"/>
                <w:sz w:val="14"/>
              </w:rPr>
            </w:pPr>
          </w:p>
          <w:p w:rsidR="00B852E7" w:rsidRDefault="00B852E7" w:rsidP="00675923">
            <w:pPr>
              <w:pStyle w:val="TableParagraph"/>
              <w:spacing w:before="0"/>
              <w:ind w:left="0"/>
              <w:rPr>
                <w:rFonts w:ascii="Times New Roman"/>
                <w:sz w:val="15"/>
              </w:rPr>
            </w:pPr>
          </w:p>
          <w:p w:rsidR="00B852E7" w:rsidRDefault="00B852E7" w:rsidP="00675923">
            <w:pPr>
              <w:pStyle w:val="TableParagraph"/>
              <w:spacing w:before="0" w:line="131" w:lineRule="exact"/>
              <w:ind w:left="38"/>
              <w:rPr>
                <w:b/>
                <w:sz w:val="12"/>
              </w:rPr>
            </w:pPr>
            <w:r>
              <w:rPr>
                <w:b/>
                <w:w w:val="105"/>
                <w:sz w:val="12"/>
              </w:rPr>
              <w:t>Result SOC**</w:t>
            </w:r>
          </w:p>
        </w:tc>
      </w:tr>
      <w:tr w:rsidR="00B852E7" w:rsidTr="00675923">
        <w:trPr>
          <w:trHeight w:val="1686"/>
        </w:trPr>
        <w:tc>
          <w:tcPr>
            <w:tcW w:w="1278" w:type="dxa"/>
            <w:tcBorders>
              <w:top w:val="single" w:sz="4" w:space="0" w:color="000000"/>
              <w:bottom w:val="single" w:sz="2" w:space="0" w:color="000000"/>
              <w:right w:val="single" w:sz="2" w:space="0" w:color="000000"/>
            </w:tcBorders>
          </w:tcPr>
          <w:p w:rsidR="00B852E7" w:rsidRDefault="00B852E7" w:rsidP="00675923">
            <w:pPr>
              <w:pStyle w:val="TableParagraph"/>
              <w:spacing w:before="9" w:line="276" w:lineRule="auto"/>
              <w:ind w:left="23"/>
              <w:rPr>
                <w:sz w:val="10"/>
              </w:rPr>
            </w:pPr>
            <w:r>
              <w:rPr>
                <w:w w:val="105"/>
                <w:sz w:val="10"/>
              </w:rPr>
              <w:t>Musavinasab, M, Ravanipour,M Pouladi, S, Niloofar,M, Barekat,M</w:t>
            </w:r>
          </w:p>
        </w:tc>
        <w:tc>
          <w:tcPr>
            <w:tcW w:w="357"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ind w:left="30"/>
              <w:rPr>
                <w:sz w:val="10"/>
              </w:rPr>
            </w:pPr>
            <w:r>
              <w:rPr>
                <w:w w:val="105"/>
                <w:sz w:val="10"/>
              </w:rPr>
              <w:t>2016</w:t>
            </w:r>
          </w:p>
        </w:tc>
        <w:tc>
          <w:tcPr>
            <w:tcW w:w="683"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ind w:left="30"/>
              <w:rPr>
                <w:sz w:val="10"/>
              </w:rPr>
            </w:pPr>
            <w:r>
              <w:rPr>
                <w:w w:val="105"/>
                <w:sz w:val="10"/>
              </w:rPr>
              <w:t>Iran</w:t>
            </w:r>
          </w:p>
        </w:tc>
        <w:tc>
          <w:tcPr>
            <w:tcW w:w="1586"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1" w:right="105"/>
              <w:rPr>
                <w:sz w:val="10"/>
              </w:rPr>
            </w:pPr>
            <w:r>
              <w:rPr>
                <w:w w:val="105"/>
                <w:sz w:val="10"/>
              </w:rPr>
              <w:t>The effect of self-management empowerment model on the sense of coherence among elderly patients with cardiovascular disease</w:t>
            </w:r>
          </w:p>
        </w:tc>
        <w:tc>
          <w:tcPr>
            <w:tcW w:w="657"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2" w:right="144"/>
              <w:rPr>
                <w:sz w:val="10"/>
              </w:rPr>
            </w:pPr>
            <w:r>
              <w:rPr>
                <w:w w:val="105"/>
                <w:sz w:val="10"/>
              </w:rPr>
              <w:t>Clinical controlled trial</w:t>
            </w:r>
          </w:p>
        </w:tc>
        <w:tc>
          <w:tcPr>
            <w:tcW w:w="1528"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3" w:right="247"/>
              <w:rPr>
                <w:sz w:val="10"/>
              </w:rPr>
            </w:pPr>
            <w:r>
              <w:rPr>
                <w:w w:val="105"/>
                <w:sz w:val="10"/>
              </w:rPr>
              <w:t>Older people with cardiovascular disorders Experiment group (n=50) Control group (n= 50)</w:t>
            </w:r>
          </w:p>
        </w:tc>
        <w:tc>
          <w:tcPr>
            <w:tcW w:w="2815"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4" w:right="10"/>
              <w:rPr>
                <w:sz w:val="10"/>
              </w:rPr>
            </w:pPr>
            <w:r>
              <w:rPr>
                <w:w w:val="105"/>
                <w:sz w:val="10"/>
              </w:rPr>
              <w:t>The Intervention lasted three to four months: Five-step self- management empowerment education. The intervention (three to four months) consisted of five steps based on the self-management empowerment model.</w:t>
            </w:r>
          </w:p>
          <w:p w:rsidR="00B852E7" w:rsidRDefault="00B852E7" w:rsidP="00675923">
            <w:pPr>
              <w:pStyle w:val="TableParagraph"/>
              <w:spacing w:before="0" w:line="114" w:lineRule="exact"/>
              <w:ind w:left="34"/>
              <w:rPr>
                <w:sz w:val="10"/>
              </w:rPr>
            </w:pPr>
            <w:r>
              <w:rPr>
                <w:w w:val="105"/>
                <w:sz w:val="10"/>
              </w:rPr>
              <w:t>Control group: Routine education by physicians and nurses.</w:t>
            </w:r>
          </w:p>
        </w:tc>
        <w:tc>
          <w:tcPr>
            <w:tcW w:w="2777"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left="34" w:right="16"/>
              <w:rPr>
                <w:sz w:val="10"/>
              </w:rPr>
            </w:pPr>
            <w:r>
              <w:rPr>
                <w:w w:val="105"/>
                <w:sz w:val="10"/>
              </w:rPr>
              <w:t>The program included self-awareness of changes and an understanding of the levels of performance and expectations of themselves, the individuals, knowledge of changes in physical capacities in psychological and social capacities, the level of adaptation to the current situation, support resources, and the elderly’s expectations of themselves. Further, optimum goal setting, enhancing the autonomy to perform self-care behaviours, and improving the individual’s understanding and knowledge of the changes in his/her physical, psychological, and social capacities were given attention</w:t>
            </w:r>
          </w:p>
        </w:tc>
        <w:tc>
          <w:tcPr>
            <w:tcW w:w="842"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14"/>
              <w:rPr>
                <w:b/>
                <w:sz w:val="10"/>
              </w:rPr>
            </w:pPr>
            <w:r>
              <w:rPr>
                <w:b/>
                <w:w w:val="105"/>
                <w:sz w:val="10"/>
              </w:rPr>
              <w:t>A, L, SRRs, WPA</w:t>
            </w:r>
          </w:p>
        </w:tc>
        <w:tc>
          <w:tcPr>
            <w:tcW w:w="804"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rPr>
                <w:sz w:val="10"/>
              </w:rPr>
            </w:pPr>
            <w:r>
              <w:rPr>
                <w:w w:val="105"/>
                <w:sz w:val="10"/>
              </w:rPr>
              <w:t>SOC-29</w:t>
            </w:r>
          </w:p>
          <w:p w:rsidR="00B852E7" w:rsidRDefault="00B852E7" w:rsidP="00675923">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4"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6" w:lineRule="auto"/>
              <w:ind w:right="29"/>
              <w:rPr>
                <w:sz w:val="10"/>
              </w:rPr>
            </w:pPr>
            <w:r>
              <w:rPr>
                <w:w w:val="105"/>
                <w:sz w:val="10"/>
              </w:rPr>
              <w:t>Before &amp; after intervention (three to four months).</w:t>
            </w:r>
          </w:p>
        </w:tc>
        <w:tc>
          <w:tcPr>
            <w:tcW w:w="1753" w:type="dxa"/>
            <w:tcBorders>
              <w:top w:val="single" w:sz="4" w:space="0" w:color="000000"/>
              <w:left w:val="single" w:sz="2" w:space="0" w:color="000000"/>
              <w:bottom w:val="single" w:sz="2" w:space="0" w:color="000000"/>
            </w:tcBorders>
          </w:tcPr>
          <w:p w:rsidR="00B852E7" w:rsidRDefault="00B852E7" w:rsidP="00675923">
            <w:pPr>
              <w:pStyle w:val="TableParagraph"/>
              <w:spacing w:before="9"/>
              <w:rPr>
                <w:sz w:val="10"/>
              </w:rPr>
            </w:pPr>
            <w:r>
              <w:rPr>
                <w:w w:val="105"/>
                <w:sz w:val="10"/>
              </w:rPr>
              <w:t>Intervention (n=48): 147.08 →</w:t>
            </w:r>
          </w:p>
          <w:p w:rsidR="00B852E7" w:rsidRDefault="00B852E7" w:rsidP="00675923">
            <w:pPr>
              <w:pStyle w:val="TableParagraph"/>
              <w:spacing w:before="17"/>
              <w:rPr>
                <w:sz w:val="10"/>
              </w:rPr>
            </w:pPr>
            <w:r>
              <w:rPr>
                <w:w w:val="105"/>
                <w:sz w:val="10"/>
              </w:rPr>
              <w:t>183.58 Control group(n=48): 149</w:t>
            </w:r>
          </w:p>
          <w:p w:rsidR="00B852E7" w:rsidRDefault="00B852E7" w:rsidP="00675923">
            <w:pPr>
              <w:pStyle w:val="TableParagraph"/>
              <w:spacing w:before="17" w:line="276" w:lineRule="auto"/>
              <w:ind w:right="10"/>
              <w:rPr>
                <w:sz w:val="10"/>
              </w:rPr>
            </w:pPr>
            <w:r>
              <w:rPr>
                <w:w w:val="105"/>
                <w:sz w:val="10"/>
              </w:rPr>
              <w:t>→142.46 (P=.0001) From before to after intervention. June - September</w:t>
            </w:r>
          </w:p>
        </w:tc>
      </w:tr>
      <w:tr w:rsidR="00B852E7" w:rsidRPr="00C65587" w:rsidTr="00675923">
        <w:trPr>
          <w:trHeight w:val="847"/>
        </w:trPr>
        <w:tc>
          <w:tcPr>
            <w:tcW w:w="1278" w:type="dxa"/>
            <w:tcBorders>
              <w:top w:val="single" w:sz="2" w:space="0" w:color="000000"/>
              <w:bottom w:val="single" w:sz="2" w:space="0" w:color="000000"/>
              <w:right w:val="single" w:sz="2" w:space="0" w:color="000000"/>
            </w:tcBorders>
          </w:tcPr>
          <w:p w:rsidR="00B852E7" w:rsidRDefault="00B852E7" w:rsidP="00675923">
            <w:pPr>
              <w:pStyle w:val="TableParagraph"/>
              <w:spacing w:line="276" w:lineRule="auto"/>
              <w:ind w:left="23" w:right="37"/>
              <w:rPr>
                <w:sz w:val="10"/>
              </w:rPr>
            </w:pPr>
            <w:r>
              <w:rPr>
                <w:w w:val="105"/>
                <w:sz w:val="10"/>
              </w:rPr>
              <w:t>Nammontri, O; Robinson, P G; Baker, S R.</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2013</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Thailand</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Pr>
                <w:sz w:val="10"/>
              </w:rPr>
            </w:pPr>
            <w:r>
              <w:rPr>
                <w:w w:val="105"/>
                <w:sz w:val="10"/>
              </w:rPr>
              <w:t>Enhancing oral health via sense of coherence: a cluster- randomized trial.</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2"/>
              <w:rPr>
                <w:sz w:val="10"/>
              </w:rPr>
            </w:pPr>
            <w:r>
              <w:rPr>
                <w:w w:val="105"/>
                <w:sz w:val="10"/>
              </w:rPr>
              <w:t>RCT</w:t>
            </w:r>
          </w:p>
          <w:p w:rsidR="00B852E7" w:rsidRDefault="00B852E7" w:rsidP="00675923">
            <w:pPr>
              <w:pStyle w:val="TableParagraph"/>
              <w:spacing w:before="17"/>
              <w:ind w:left="32"/>
              <w:rPr>
                <w:sz w:val="10"/>
              </w:rPr>
            </w:pPr>
            <w:r>
              <w:rPr>
                <w:w w:val="105"/>
                <w:sz w:val="10"/>
              </w:rPr>
              <w:t>(Cluster):</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ight="92"/>
              <w:rPr>
                <w:sz w:val="10"/>
              </w:rPr>
            </w:pPr>
            <w:r>
              <w:rPr>
                <w:w w:val="105"/>
                <w:sz w:val="10"/>
              </w:rPr>
              <w:t>Students aged 10-12 years of age. Intervention: Six schools, (n=133). Control: Six schools (n=128).</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123"/>
              <w:rPr>
                <w:sz w:val="10"/>
              </w:rPr>
            </w:pPr>
            <w:r>
              <w:rPr>
                <w:w w:val="105"/>
                <w:sz w:val="10"/>
              </w:rPr>
              <w:t>The intervention aimed to enhance SOC by improving its components (comprehensibility,</w:t>
            </w:r>
            <w:r>
              <w:rPr>
                <w:sz w:val="10"/>
              </w:rPr>
              <w:t xml:space="preserve"> </w:t>
            </w:r>
            <w:r>
              <w:rPr>
                <w:w w:val="105"/>
                <w:sz w:val="10"/>
              </w:rPr>
              <w:t>manageability, and meaningfulness). It consisted of 40-60 minutes sessions (seven sessions) over two months focusing on participation and empowerment.</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57"/>
              <w:rPr>
                <w:sz w:val="10"/>
              </w:rPr>
            </w:pPr>
            <w:r>
              <w:rPr>
                <w:w w:val="105"/>
                <w:sz w:val="10"/>
              </w:rPr>
              <w:t>The first four sessions were classroom activities involving didactic teaching, discussion, activities, and games. The last three sessions involved working on healthy school projects: brainstorming, planning, implementation, and evaluation.</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rPr>
                <w:b/>
                <w:sz w:val="10"/>
              </w:rPr>
            </w:pPr>
            <w:r>
              <w:rPr>
                <w:b/>
                <w:w w:val="105"/>
                <w:sz w:val="10"/>
              </w:rPr>
              <w:t>A, L, GRRs, WPA</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SOC-13</w:t>
            </w:r>
          </w:p>
          <w:p w:rsidR="00B852E7" w:rsidRDefault="00B852E7" w:rsidP="00675923">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105"/>
              <w:rPr>
                <w:sz w:val="10"/>
              </w:rPr>
            </w:pPr>
            <w:r>
              <w:rPr>
                <w:w w:val="105"/>
                <w:sz w:val="10"/>
              </w:rPr>
              <w:t>Before &amp; after intervention (two months) and 3 months after completed intervention.</w:t>
            </w:r>
          </w:p>
        </w:tc>
        <w:tc>
          <w:tcPr>
            <w:tcW w:w="1753"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15"/>
              <w:rPr>
                <w:sz w:val="10"/>
              </w:rPr>
            </w:pPr>
            <w:r>
              <w:rPr>
                <w:w w:val="105"/>
                <w:sz w:val="10"/>
              </w:rPr>
              <w:t>Intervention (n=133): 58.71 → 64.50 (at 2 weeks after completed intervention→62.68. (at 3 months after completed intervention) Control (n=128): 59.07 → 58.21</w:t>
            </w:r>
            <w:r>
              <w:rPr>
                <w:spacing w:val="-14"/>
                <w:w w:val="105"/>
                <w:sz w:val="10"/>
              </w:rPr>
              <w:t xml:space="preserve"> </w:t>
            </w:r>
            <w:r>
              <w:rPr>
                <w:w w:val="105"/>
                <w:sz w:val="10"/>
              </w:rPr>
              <w:t>→58.79</w:t>
            </w:r>
          </w:p>
          <w:p w:rsidR="00B852E7" w:rsidRDefault="00B852E7" w:rsidP="00675923">
            <w:pPr>
              <w:pStyle w:val="TableParagraph"/>
              <w:spacing w:before="0" w:line="122" w:lineRule="exact"/>
              <w:rPr>
                <w:sz w:val="10"/>
              </w:rPr>
            </w:pPr>
            <w:r>
              <w:rPr>
                <w:w w:val="105"/>
                <w:sz w:val="10"/>
              </w:rPr>
              <w:t>(p</w:t>
            </w:r>
            <w:r>
              <w:rPr>
                <w:rFonts w:ascii="Calibri" w:hAnsi="Calibri"/>
                <w:w w:val="105"/>
                <w:sz w:val="10"/>
              </w:rPr>
              <w:t>≤</w:t>
            </w:r>
            <w:r>
              <w:rPr>
                <w:w w:val="105"/>
                <w:sz w:val="10"/>
              </w:rPr>
              <w:t>0.01, between groups)</w:t>
            </w:r>
          </w:p>
        </w:tc>
      </w:tr>
      <w:tr w:rsidR="00B852E7" w:rsidRPr="00C65587" w:rsidTr="00675923">
        <w:trPr>
          <w:trHeight w:val="1687"/>
        </w:trPr>
        <w:tc>
          <w:tcPr>
            <w:tcW w:w="1278" w:type="dxa"/>
            <w:tcBorders>
              <w:top w:val="single" w:sz="2" w:space="0" w:color="000000"/>
              <w:bottom w:val="single" w:sz="2" w:space="0" w:color="000000"/>
              <w:right w:val="single" w:sz="2" w:space="0" w:color="000000"/>
            </w:tcBorders>
          </w:tcPr>
          <w:p w:rsidR="00B852E7" w:rsidRDefault="00B852E7" w:rsidP="00675923">
            <w:pPr>
              <w:pStyle w:val="TableParagraph"/>
              <w:spacing w:line="276" w:lineRule="auto"/>
              <w:ind w:left="23" w:right="72"/>
              <w:rPr>
                <w:sz w:val="10"/>
              </w:rPr>
            </w:pPr>
            <w:r>
              <w:rPr>
                <w:w w:val="105"/>
                <w:sz w:val="10"/>
              </w:rPr>
              <w:t>Norrbrink Budh, C, Kowalski,J,  Lundeberg, T</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2006</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Sweden</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76"/>
              <w:rPr>
                <w:sz w:val="10"/>
              </w:rPr>
            </w:pPr>
            <w:r>
              <w:rPr>
                <w:w w:val="105"/>
                <w:sz w:val="10"/>
              </w:rPr>
              <w:t>A comprehensive pain management programme comprising educational, cognitive and behavioural interventions for neuropathic pain following spinal cord injury</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2"/>
              <w:rPr>
                <w:sz w:val="10"/>
              </w:rPr>
            </w:pPr>
            <w:r>
              <w:rPr>
                <w:w w:val="105"/>
                <w:sz w:val="10"/>
              </w:rPr>
              <w:t>A</w:t>
            </w:r>
          </w:p>
          <w:p w:rsidR="00B852E7" w:rsidRDefault="00B852E7" w:rsidP="00675923">
            <w:pPr>
              <w:pStyle w:val="TableParagraph"/>
              <w:spacing w:before="17" w:line="276" w:lineRule="auto"/>
              <w:ind w:left="32" w:right="-13"/>
              <w:rPr>
                <w:sz w:val="10"/>
              </w:rPr>
            </w:pPr>
            <w:r>
              <w:rPr>
                <w:w w:val="105"/>
                <w:sz w:val="10"/>
              </w:rPr>
              <w:t>prospective intervention study with control group</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ight="57"/>
              <w:rPr>
                <w:sz w:val="10"/>
              </w:rPr>
            </w:pPr>
            <w:r>
              <w:rPr>
                <w:w w:val="105"/>
                <w:sz w:val="10"/>
              </w:rPr>
              <w:t>Patients with spinal cord injury and neuropathic pain. Mean age treatment</w:t>
            </w:r>
            <w:r>
              <w:rPr>
                <w:spacing w:val="-6"/>
                <w:w w:val="105"/>
                <w:sz w:val="10"/>
              </w:rPr>
              <w:t xml:space="preserve"> </w:t>
            </w:r>
            <w:r>
              <w:rPr>
                <w:w w:val="105"/>
                <w:sz w:val="10"/>
              </w:rPr>
              <w:t>group</w:t>
            </w:r>
          </w:p>
          <w:p w:rsidR="00B852E7" w:rsidRDefault="00B852E7" w:rsidP="00675923">
            <w:pPr>
              <w:pStyle w:val="TableParagraph"/>
              <w:spacing w:before="0" w:line="276" w:lineRule="auto"/>
              <w:ind w:left="33" w:right="7"/>
              <w:rPr>
                <w:sz w:val="10"/>
              </w:rPr>
            </w:pPr>
            <w:r>
              <w:rPr>
                <w:w w:val="105"/>
                <w:sz w:val="10"/>
              </w:rPr>
              <w:t>was 53.2 years (SD 12.6). Control group 49.9 years (SD 12.3). Experiment group (n=27) Control group</w:t>
            </w:r>
            <w:r>
              <w:rPr>
                <w:spacing w:val="-1"/>
                <w:w w:val="105"/>
                <w:sz w:val="10"/>
              </w:rPr>
              <w:t xml:space="preserve"> </w:t>
            </w:r>
            <w:r>
              <w:rPr>
                <w:w w:val="105"/>
                <w:sz w:val="10"/>
              </w:rPr>
              <w:t>(n=11).</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54"/>
              <w:rPr>
                <w:sz w:val="10"/>
              </w:rPr>
            </w:pPr>
            <w:r>
              <w:rPr>
                <w:w w:val="105"/>
                <w:sz w:val="10"/>
              </w:rPr>
              <w:t>A comprehensive pain management programme comprising educational, cognitive, and behavioural interventions for patients with spinal cord injury (SCI) and neuropathic pain. It consisted of a 10-week treatment programme. Participants came twice weekly for 10 weeks; in total 20 sessions. In addition TAU. Control group: TAU</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229"/>
              <w:rPr>
                <w:sz w:val="10"/>
              </w:rPr>
            </w:pPr>
            <w:r>
              <w:rPr>
                <w:w w:val="105"/>
                <w:sz w:val="10"/>
              </w:rPr>
              <w:t>Educational sessions, behavioural therapy including coping and management strategies (L). Mindfulness, attention-diverting strategies, cognitive</w:t>
            </w:r>
          </w:p>
          <w:p w:rsidR="00B852E7" w:rsidRDefault="00B852E7" w:rsidP="00675923">
            <w:pPr>
              <w:pStyle w:val="TableParagraph"/>
              <w:spacing w:before="0" w:line="276" w:lineRule="auto"/>
              <w:ind w:left="34" w:right="79"/>
              <w:rPr>
                <w:sz w:val="10"/>
              </w:rPr>
            </w:pPr>
            <w:r>
              <w:rPr>
                <w:w w:val="105"/>
                <w:sz w:val="10"/>
              </w:rPr>
              <w:t>reappraisal, social skills training, pacing of activities, homework assignments, goal setting, and meeting with a role model. Relaxation techniques, stretching and light exercise. Body awareness training</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rPr>
                <w:b/>
                <w:sz w:val="10"/>
              </w:rPr>
            </w:pPr>
            <w:r>
              <w:rPr>
                <w:b/>
                <w:w w:val="105"/>
                <w:sz w:val="10"/>
              </w:rPr>
              <w:t>A, L, SRRs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SOC-29</w:t>
            </w:r>
          </w:p>
          <w:p w:rsidR="00B852E7" w:rsidRDefault="00B852E7" w:rsidP="00675923">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70"/>
              <w:rPr>
                <w:sz w:val="10"/>
              </w:rPr>
            </w:pPr>
            <w:r>
              <w:rPr>
                <w:w w:val="105"/>
                <w:sz w:val="10"/>
              </w:rPr>
              <w:t>12 months after the last session.</w:t>
            </w:r>
          </w:p>
        </w:tc>
        <w:tc>
          <w:tcPr>
            <w:tcW w:w="1753"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31" w:firstLine="28"/>
              <w:jc w:val="both"/>
              <w:rPr>
                <w:sz w:val="10"/>
              </w:rPr>
            </w:pPr>
            <w:r>
              <w:rPr>
                <w:w w:val="105"/>
                <w:sz w:val="10"/>
              </w:rPr>
              <w:t>SOC ratings in the treatment group improved compared with the control group at 12 months follow-up.</w:t>
            </w:r>
          </w:p>
          <w:p w:rsidR="00B852E7" w:rsidRDefault="00B852E7" w:rsidP="00675923">
            <w:pPr>
              <w:pStyle w:val="TableParagraph"/>
              <w:spacing w:before="0" w:line="276" w:lineRule="auto"/>
              <w:rPr>
                <w:sz w:val="10"/>
              </w:rPr>
            </w:pPr>
            <w:r>
              <w:rPr>
                <w:w w:val="105"/>
                <w:sz w:val="10"/>
              </w:rPr>
              <w:t>Although the actual increase (median value) in the treatment group was weak (from 147, range 115 /183, to 149.5, range 93 /192) it was significantly different from that in the control group where the ratings decreased (from 149, range 116 /173, to 124, range 103</w:t>
            </w:r>
            <w:r>
              <w:rPr>
                <w:spacing w:val="1"/>
                <w:w w:val="105"/>
                <w:sz w:val="10"/>
              </w:rPr>
              <w:t xml:space="preserve"> </w:t>
            </w:r>
            <w:r>
              <w:rPr>
                <w:w w:val="105"/>
                <w:sz w:val="10"/>
              </w:rPr>
              <w:t>/165)</w:t>
            </w:r>
          </w:p>
        </w:tc>
      </w:tr>
      <w:tr w:rsidR="00B852E7" w:rsidRPr="00C65587" w:rsidTr="00675923">
        <w:trPr>
          <w:trHeight w:val="1970"/>
        </w:trPr>
        <w:tc>
          <w:tcPr>
            <w:tcW w:w="1278" w:type="dxa"/>
            <w:tcBorders>
              <w:top w:val="single" w:sz="2" w:space="0" w:color="000000"/>
              <w:bottom w:val="single" w:sz="2" w:space="0" w:color="000000"/>
              <w:right w:val="single" w:sz="2" w:space="0" w:color="000000"/>
            </w:tcBorders>
          </w:tcPr>
          <w:p w:rsidR="00B852E7" w:rsidRDefault="00B852E7" w:rsidP="00675923">
            <w:pPr>
              <w:pStyle w:val="TableParagraph"/>
              <w:spacing w:line="276" w:lineRule="auto"/>
              <w:ind w:left="23" w:right="131"/>
              <w:rPr>
                <w:sz w:val="10"/>
              </w:rPr>
            </w:pPr>
            <w:r>
              <w:rPr>
                <w:w w:val="105"/>
                <w:sz w:val="10"/>
              </w:rPr>
              <w:t>Nøst TH, Steinsbekk A, Bratås O, Grønning K</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2018</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Norway</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100"/>
              <w:rPr>
                <w:sz w:val="10"/>
              </w:rPr>
            </w:pPr>
            <w:r>
              <w:rPr>
                <w:w w:val="105"/>
                <w:sz w:val="10"/>
              </w:rPr>
              <w:t>Twelve-month effect of chronic pain self-management intervention delivered in an easily accessible primary healthcare service - a randomised controlled trial</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2"/>
              <w:rPr>
                <w:sz w:val="10"/>
              </w:rPr>
            </w:pPr>
            <w:r>
              <w:rPr>
                <w:w w:val="105"/>
                <w:sz w:val="10"/>
              </w:rPr>
              <w:t>RCT</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ight="168"/>
              <w:rPr>
                <w:sz w:val="10"/>
              </w:rPr>
            </w:pPr>
            <w:r>
              <w:rPr>
                <w:w w:val="105"/>
                <w:sz w:val="10"/>
              </w:rPr>
              <w:t>Adults with chronic pain. Intervention group = (n=60). Control group = (n=61):</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9" w:line="273" w:lineRule="auto"/>
              <w:ind w:left="34" w:right="7"/>
              <w:rPr>
                <w:sz w:val="10"/>
              </w:rPr>
            </w:pPr>
            <w:r>
              <w:rPr>
                <w:w w:val="105"/>
                <w:sz w:val="10"/>
              </w:rPr>
              <w:t>The intervention group was a group</w:t>
            </w:r>
            <w:r>
              <w:rPr>
                <w:rFonts w:ascii="Cambria Math" w:hAnsi="Cambria Math"/>
                <w:w w:val="105"/>
                <w:sz w:val="10"/>
              </w:rPr>
              <w:t>‐</w:t>
            </w:r>
            <w:r>
              <w:rPr>
                <w:w w:val="105"/>
                <w:sz w:val="10"/>
              </w:rPr>
              <w:t>based chronic pain self</w:t>
            </w:r>
            <w:r>
              <w:rPr>
                <w:rFonts w:ascii="Cambria Math" w:hAnsi="Cambria Math"/>
                <w:w w:val="105"/>
                <w:sz w:val="10"/>
              </w:rPr>
              <w:t>‐</w:t>
            </w:r>
            <w:r>
              <w:rPr>
                <w:w w:val="105"/>
                <w:sz w:val="10"/>
              </w:rPr>
              <w:t>management course with 2.5</w:t>
            </w:r>
            <w:r>
              <w:rPr>
                <w:rFonts w:ascii="Cambria Math" w:hAnsi="Cambria Math"/>
                <w:w w:val="105"/>
                <w:sz w:val="10"/>
              </w:rPr>
              <w:t>‐</w:t>
            </w:r>
            <w:r>
              <w:rPr>
                <w:w w:val="105"/>
                <w:sz w:val="10"/>
              </w:rPr>
              <w:t>h weekly sessions for a period of six weeks comprising education that included cognitive and behavioural strategies for pain management, movement exercises, group discussions and sharing of experiences among participants. The control group: a drop</w:t>
            </w:r>
            <w:r>
              <w:rPr>
                <w:rFonts w:ascii="Cambria Math" w:hAnsi="Cambria Math"/>
                <w:w w:val="105"/>
                <w:sz w:val="10"/>
              </w:rPr>
              <w:t>‐</w:t>
            </w:r>
            <w:r>
              <w:rPr>
                <w:w w:val="105"/>
                <w:sz w:val="10"/>
              </w:rPr>
              <w:t>in, low</w:t>
            </w:r>
            <w:r>
              <w:rPr>
                <w:rFonts w:ascii="Cambria Math" w:hAnsi="Cambria Math"/>
                <w:w w:val="105"/>
                <w:sz w:val="10"/>
              </w:rPr>
              <w:t>‐</w:t>
            </w:r>
            <w:r>
              <w:rPr>
                <w:w w:val="105"/>
                <w:sz w:val="10"/>
              </w:rPr>
              <w:t>impact, outdoor physical activity in groups in one</w:t>
            </w:r>
            <w:r>
              <w:rPr>
                <w:rFonts w:ascii="Cambria Math" w:hAnsi="Cambria Math"/>
                <w:w w:val="105"/>
                <w:sz w:val="10"/>
              </w:rPr>
              <w:t>‐</w:t>
            </w:r>
            <w:r>
              <w:rPr>
                <w:w w:val="105"/>
                <w:sz w:val="10"/>
              </w:rPr>
              <w:t>hour weekly sessions that included walking and simple strength exercises for a period of six weeks.</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29"/>
              <w:rPr>
                <w:sz w:val="10"/>
              </w:rPr>
            </w:pPr>
            <w:r>
              <w:rPr>
                <w:w w:val="105"/>
                <w:sz w:val="10"/>
              </w:rPr>
              <w:t>Cognitive and behavioural strategies for pain management, movement exercises, group discussions and sharing of experiences among participants. Increase the participants’ knowledge, skills and confidence in managing everyday life with chronic pain. Central self- management skills such as goal setting, action planning, and problem solving, and focussed on empowering the participants to play an active role in their healthcare. The movement exercises were applied to improve balance, posture and breathing, and to provide participants with techniques to increase body awareness and their ability to relax. The course emphasised group discussions.</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rPr>
                <w:b/>
                <w:sz w:val="10"/>
              </w:rPr>
            </w:pPr>
            <w:r>
              <w:rPr>
                <w:b/>
                <w:w w:val="105"/>
                <w:sz w:val="10"/>
              </w:rPr>
              <w:t>A, L, SRRs</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SOC-13</w:t>
            </w:r>
          </w:p>
          <w:p w:rsidR="00B852E7" w:rsidRDefault="00B852E7" w:rsidP="00675923">
            <w:pPr>
              <w:pStyle w:val="TableParagraph"/>
              <w:spacing w:before="17" w:line="276" w:lineRule="auto"/>
              <w:ind w:right="251"/>
              <w:rPr>
                <w:sz w:val="10"/>
              </w:rPr>
            </w:pPr>
            <w:r>
              <w:rPr>
                <w:spacing w:val="-1"/>
                <w:w w:val="105"/>
                <w:sz w:val="10"/>
              </w:rPr>
              <w:t xml:space="preserve">Secondary </w:t>
            </w:r>
            <w:r>
              <w:rPr>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210"/>
              <w:rPr>
                <w:sz w:val="10"/>
              </w:rPr>
            </w:pPr>
            <w:r>
              <w:rPr>
                <w:w w:val="105"/>
                <w:sz w:val="10"/>
              </w:rPr>
              <w:t>Before &amp; after intervention (6</w:t>
            </w:r>
          </w:p>
          <w:p w:rsidR="00B852E7" w:rsidRDefault="00B852E7" w:rsidP="00675923">
            <w:pPr>
              <w:pStyle w:val="TableParagraph"/>
              <w:spacing w:before="0" w:line="115" w:lineRule="exact"/>
              <w:rPr>
                <w:sz w:val="10"/>
              </w:rPr>
            </w:pPr>
            <w:r>
              <w:rPr>
                <w:w w:val="105"/>
                <w:sz w:val="10"/>
              </w:rPr>
              <w:t>weeks) 12 months.</w:t>
            </w:r>
          </w:p>
        </w:tc>
        <w:tc>
          <w:tcPr>
            <w:tcW w:w="1753"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74"/>
              <w:rPr>
                <w:sz w:val="10"/>
              </w:rPr>
            </w:pPr>
            <w:r>
              <w:rPr>
                <w:w w:val="105"/>
                <w:sz w:val="10"/>
              </w:rPr>
              <w:t>No significant differences between the groups at 12 months follow-up.</w:t>
            </w:r>
          </w:p>
        </w:tc>
      </w:tr>
      <w:tr w:rsidR="00B852E7" w:rsidRPr="00B14365" w:rsidTr="00675923">
        <w:trPr>
          <w:trHeight w:val="1264"/>
        </w:trPr>
        <w:tc>
          <w:tcPr>
            <w:tcW w:w="1278" w:type="dxa"/>
            <w:tcBorders>
              <w:top w:val="single" w:sz="2" w:space="0" w:color="000000"/>
              <w:bottom w:val="single" w:sz="2" w:space="0" w:color="000000"/>
              <w:right w:val="single" w:sz="2" w:space="0" w:color="000000"/>
            </w:tcBorders>
          </w:tcPr>
          <w:p w:rsidR="00B852E7" w:rsidRDefault="00B852E7" w:rsidP="00675923">
            <w:pPr>
              <w:pStyle w:val="TableParagraph"/>
              <w:spacing w:line="276" w:lineRule="auto"/>
              <w:ind w:left="23"/>
              <w:rPr>
                <w:sz w:val="10"/>
              </w:rPr>
            </w:pPr>
            <w:r>
              <w:rPr>
                <w:w w:val="105"/>
                <w:sz w:val="10"/>
              </w:rPr>
              <w:lastRenderedPageBreak/>
              <w:t>Odajima, Y; Kawaharada, M; Wada, N</w:t>
            </w:r>
          </w:p>
        </w:tc>
        <w:tc>
          <w:tcPr>
            <w:tcW w:w="3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2017</w:t>
            </w:r>
          </w:p>
        </w:tc>
        <w:tc>
          <w:tcPr>
            <w:tcW w:w="683"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ind w:left="30"/>
              <w:rPr>
                <w:sz w:val="10"/>
              </w:rPr>
            </w:pPr>
            <w:r>
              <w:rPr>
                <w:w w:val="105"/>
                <w:sz w:val="10"/>
              </w:rPr>
              <w:t>Japan</w:t>
            </w:r>
          </w:p>
        </w:tc>
        <w:tc>
          <w:tcPr>
            <w:tcW w:w="158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1" w:right="53"/>
              <w:rPr>
                <w:sz w:val="10"/>
              </w:rPr>
            </w:pPr>
            <w:r>
              <w:rPr>
                <w:w w:val="105"/>
                <w:sz w:val="10"/>
              </w:rPr>
              <w:t>Development and validation of an educational program to enhance sense of coherence in patients with diabetes mellitus type 2.</w:t>
            </w:r>
          </w:p>
        </w:tc>
        <w:tc>
          <w:tcPr>
            <w:tcW w:w="65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2" w:right="68"/>
              <w:rPr>
                <w:sz w:val="10"/>
              </w:rPr>
            </w:pPr>
            <w:r>
              <w:rPr>
                <w:w w:val="105"/>
                <w:sz w:val="10"/>
              </w:rPr>
              <w:t>Follow-up with control group</w:t>
            </w:r>
          </w:p>
        </w:tc>
        <w:tc>
          <w:tcPr>
            <w:tcW w:w="1528"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3" w:right="104"/>
              <w:rPr>
                <w:sz w:val="10"/>
              </w:rPr>
            </w:pPr>
            <w:r>
              <w:rPr>
                <w:w w:val="105"/>
                <w:sz w:val="10"/>
              </w:rPr>
              <w:t>Adults with Diabetes mellitus, type 2. Intervention (n=21). Control group (n=19)</w:t>
            </w:r>
          </w:p>
        </w:tc>
        <w:tc>
          <w:tcPr>
            <w:tcW w:w="2815"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5"/>
              <w:rPr>
                <w:sz w:val="10"/>
              </w:rPr>
            </w:pPr>
            <w:r>
              <w:rPr>
                <w:w w:val="105"/>
                <w:sz w:val="10"/>
              </w:rPr>
              <w:t>Intervention (two weeks):A group education program over 2 weeks which was provided four times (30 minutes group sessions) and ordinary program. Control group: Ordinary education program</w:t>
            </w:r>
          </w:p>
        </w:tc>
        <w:tc>
          <w:tcPr>
            <w:tcW w:w="2777"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left="34" w:right="6"/>
              <w:rPr>
                <w:sz w:val="10"/>
              </w:rPr>
            </w:pPr>
            <w:r>
              <w:rPr>
                <w:w w:val="105"/>
                <w:sz w:val="10"/>
              </w:rPr>
              <w:t>The educational goal of the first session included: (1) promoting mutual understanding among participants, (2) sharing feelings during care (A), and (3) understanding the meaning of enhancing SOC. The educational content of the first session covered: (1) feeling burdened by the disease and treatment, (2) how patients have managed their diabetes to date, (3) what patients learned after diabetes diagnoses and (4) SOC.</w:t>
            </w:r>
          </w:p>
        </w:tc>
        <w:tc>
          <w:tcPr>
            <w:tcW w:w="842"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before="15"/>
              <w:rPr>
                <w:b/>
                <w:sz w:val="10"/>
              </w:rPr>
            </w:pPr>
            <w:r>
              <w:rPr>
                <w:b/>
                <w:w w:val="105"/>
                <w:sz w:val="10"/>
              </w:rPr>
              <w:t>SRRs, A, L</w:t>
            </w:r>
          </w:p>
        </w:tc>
        <w:tc>
          <w:tcPr>
            <w:tcW w:w="804"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rPr>
                <w:sz w:val="10"/>
              </w:rPr>
            </w:pPr>
            <w:r>
              <w:rPr>
                <w:w w:val="105"/>
                <w:sz w:val="10"/>
              </w:rPr>
              <w:t>SOC-13</w:t>
            </w:r>
          </w:p>
          <w:p w:rsidR="00B852E7" w:rsidRDefault="00B852E7" w:rsidP="00675923">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bottom w:val="single" w:sz="2" w:space="0" w:color="000000"/>
              <w:right w:val="single" w:sz="2" w:space="0" w:color="000000"/>
            </w:tcBorders>
          </w:tcPr>
          <w:p w:rsidR="00B852E7" w:rsidRDefault="00B852E7" w:rsidP="00675923">
            <w:pPr>
              <w:pStyle w:val="TableParagraph"/>
              <w:spacing w:line="276" w:lineRule="auto"/>
              <w:ind w:right="228"/>
              <w:jc w:val="both"/>
              <w:rPr>
                <w:sz w:val="10"/>
              </w:rPr>
            </w:pPr>
            <w:r>
              <w:rPr>
                <w:w w:val="105"/>
                <w:sz w:val="10"/>
              </w:rPr>
              <w:t>Before &amp; after intervention (2 weeks).</w:t>
            </w:r>
          </w:p>
        </w:tc>
        <w:tc>
          <w:tcPr>
            <w:tcW w:w="1753" w:type="dxa"/>
            <w:tcBorders>
              <w:top w:val="single" w:sz="2" w:space="0" w:color="000000"/>
              <w:left w:val="single" w:sz="2" w:space="0" w:color="000000"/>
              <w:bottom w:val="single" w:sz="2" w:space="0" w:color="000000"/>
            </w:tcBorders>
          </w:tcPr>
          <w:p w:rsidR="00B852E7" w:rsidRDefault="00B852E7" w:rsidP="00675923">
            <w:pPr>
              <w:pStyle w:val="TableParagraph"/>
              <w:spacing w:line="276" w:lineRule="auto"/>
              <w:ind w:right="4"/>
              <w:rPr>
                <w:sz w:val="10"/>
              </w:rPr>
            </w:pPr>
            <w:r>
              <w:rPr>
                <w:w w:val="105"/>
                <w:sz w:val="10"/>
              </w:rPr>
              <w:t>Intervention:59.5 → 63.0 (2 weeks) Control: 64.4→64.00 P= 0.047</w:t>
            </w:r>
          </w:p>
          <w:p w:rsidR="00B852E7" w:rsidRDefault="00B852E7" w:rsidP="00675923">
            <w:pPr>
              <w:pStyle w:val="TableParagraph"/>
              <w:spacing w:before="0" w:line="115" w:lineRule="exact"/>
              <w:rPr>
                <w:sz w:val="10"/>
              </w:rPr>
            </w:pPr>
            <w:r>
              <w:rPr>
                <w:w w:val="105"/>
                <w:sz w:val="10"/>
              </w:rPr>
              <w:t>between groups.</w:t>
            </w:r>
          </w:p>
        </w:tc>
      </w:tr>
      <w:tr w:rsidR="00B852E7" w:rsidRPr="00C65587" w:rsidTr="00675923">
        <w:trPr>
          <w:trHeight w:val="1539"/>
        </w:trPr>
        <w:tc>
          <w:tcPr>
            <w:tcW w:w="1278" w:type="dxa"/>
            <w:tcBorders>
              <w:top w:val="single" w:sz="2" w:space="0" w:color="000000"/>
              <w:right w:val="single" w:sz="2" w:space="0" w:color="000000"/>
            </w:tcBorders>
          </w:tcPr>
          <w:p w:rsidR="00B852E7" w:rsidRPr="0091233F" w:rsidRDefault="00B852E7" w:rsidP="00675923">
            <w:pPr>
              <w:pStyle w:val="TableParagraph"/>
              <w:spacing w:line="276" w:lineRule="auto"/>
              <w:ind w:left="23" w:right="49"/>
              <w:rPr>
                <w:sz w:val="10"/>
                <w:lang w:val="nn-NO"/>
              </w:rPr>
            </w:pPr>
            <w:r w:rsidRPr="0091233F">
              <w:rPr>
                <w:w w:val="105"/>
                <w:sz w:val="10"/>
                <w:lang w:val="nn-NO"/>
              </w:rPr>
              <w:t>Pakkala I, Read,S, Sipilä,S, Portrregijis,E, Kallinen,M, Heinonen,A, Alen,M, Kiviranta,I, Rantanen;T.</w:t>
            </w:r>
          </w:p>
        </w:tc>
        <w:tc>
          <w:tcPr>
            <w:tcW w:w="357" w:type="dxa"/>
            <w:tcBorders>
              <w:top w:val="single" w:sz="2" w:space="0" w:color="000000"/>
              <w:left w:val="single" w:sz="2" w:space="0" w:color="000000"/>
              <w:right w:val="single" w:sz="2" w:space="0" w:color="000000"/>
            </w:tcBorders>
          </w:tcPr>
          <w:p w:rsidR="00B852E7" w:rsidRDefault="00B852E7" w:rsidP="00675923">
            <w:pPr>
              <w:pStyle w:val="TableParagraph"/>
              <w:ind w:left="30"/>
              <w:rPr>
                <w:sz w:val="10"/>
              </w:rPr>
            </w:pPr>
            <w:r>
              <w:rPr>
                <w:w w:val="105"/>
                <w:sz w:val="10"/>
              </w:rPr>
              <w:t>2012</w:t>
            </w:r>
          </w:p>
        </w:tc>
        <w:tc>
          <w:tcPr>
            <w:tcW w:w="683" w:type="dxa"/>
            <w:tcBorders>
              <w:top w:val="single" w:sz="2" w:space="0" w:color="000000"/>
              <w:left w:val="single" w:sz="2" w:space="0" w:color="000000"/>
              <w:right w:val="single" w:sz="2" w:space="0" w:color="000000"/>
            </w:tcBorders>
          </w:tcPr>
          <w:p w:rsidR="00B852E7" w:rsidRDefault="00B852E7" w:rsidP="00675923">
            <w:pPr>
              <w:pStyle w:val="TableParagraph"/>
              <w:ind w:left="30"/>
              <w:rPr>
                <w:sz w:val="10"/>
              </w:rPr>
            </w:pPr>
            <w:r>
              <w:rPr>
                <w:w w:val="105"/>
                <w:sz w:val="10"/>
              </w:rPr>
              <w:t>Finland</w:t>
            </w:r>
          </w:p>
        </w:tc>
        <w:tc>
          <w:tcPr>
            <w:tcW w:w="1586"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1" w:right="65"/>
              <w:rPr>
                <w:sz w:val="10"/>
              </w:rPr>
            </w:pPr>
            <w:r>
              <w:rPr>
                <w:w w:val="105"/>
                <w:sz w:val="10"/>
              </w:rPr>
              <w:t>Effects of intensive strength- power training on sense of coherence among 60-85-year- old people with hip fracture: a randomized controlled trial over 12 weeks</w:t>
            </w:r>
          </w:p>
        </w:tc>
        <w:tc>
          <w:tcPr>
            <w:tcW w:w="657" w:type="dxa"/>
            <w:tcBorders>
              <w:top w:val="single" w:sz="2" w:space="0" w:color="000000"/>
              <w:left w:val="single" w:sz="2" w:space="0" w:color="000000"/>
              <w:right w:val="single" w:sz="2" w:space="0" w:color="000000"/>
            </w:tcBorders>
          </w:tcPr>
          <w:p w:rsidR="00B852E7" w:rsidRDefault="00B852E7" w:rsidP="00675923">
            <w:pPr>
              <w:pStyle w:val="TableParagraph"/>
              <w:ind w:left="32"/>
              <w:rPr>
                <w:sz w:val="10"/>
              </w:rPr>
            </w:pPr>
            <w:r>
              <w:rPr>
                <w:w w:val="105"/>
                <w:sz w:val="10"/>
              </w:rPr>
              <w:t>RCT</w:t>
            </w:r>
          </w:p>
        </w:tc>
        <w:tc>
          <w:tcPr>
            <w:tcW w:w="1528"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3" w:right="57"/>
              <w:rPr>
                <w:sz w:val="10"/>
              </w:rPr>
            </w:pPr>
            <w:r>
              <w:rPr>
                <w:w w:val="105"/>
                <w:sz w:val="10"/>
              </w:rPr>
              <w:t>60-85-year-old people with hip fracture. Intervention (n=24). Control group (n= 22)</w:t>
            </w:r>
          </w:p>
        </w:tc>
        <w:tc>
          <w:tcPr>
            <w:tcW w:w="2815"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4" w:right="83"/>
              <w:rPr>
                <w:sz w:val="10"/>
              </w:rPr>
            </w:pPr>
            <w:r>
              <w:rPr>
                <w:w w:val="105"/>
                <w:sz w:val="10"/>
              </w:rPr>
              <w:t>Intervention: Resistance training over a period of 12 weeks, individually tailored, strength-power training program, twice a week in a senior gym and supervised by an experienced physiotherapist: The training group participated in a 12-week, individually tailored, strength training program, organized twice a week (1-1.5 h) in a senior gym and supervised by an experienced physiotherapist.</w:t>
            </w:r>
          </w:p>
          <w:p w:rsidR="00B852E7" w:rsidRDefault="00B852E7" w:rsidP="00675923">
            <w:pPr>
              <w:pStyle w:val="TableParagraph"/>
              <w:spacing w:before="0" w:line="276" w:lineRule="auto"/>
              <w:ind w:left="34" w:right="65"/>
              <w:rPr>
                <w:sz w:val="10"/>
              </w:rPr>
            </w:pPr>
            <w:r>
              <w:rPr>
                <w:w w:val="105"/>
                <w:sz w:val="10"/>
              </w:rPr>
              <w:t>Control group: They were encouraged to continue their lives as usual and maintain their previous level of physical activity</w:t>
            </w:r>
          </w:p>
        </w:tc>
        <w:tc>
          <w:tcPr>
            <w:tcW w:w="2777"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left="34" w:right="135"/>
              <w:rPr>
                <w:sz w:val="10"/>
              </w:rPr>
            </w:pPr>
            <w:r>
              <w:rPr>
                <w:w w:val="105"/>
                <w:sz w:val="10"/>
              </w:rPr>
              <w:t>Training specifically focused on increasing the strength and power of lower-limb muscles. The first two training sessions were used to familiarize participants with the facility, equipment and staff. Training intensity was adjusted individually and, when tolerated, increased progressively throughout the training period.</w:t>
            </w:r>
          </w:p>
        </w:tc>
        <w:tc>
          <w:tcPr>
            <w:tcW w:w="842" w:type="dxa"/>
            <w:tcBorders>
              <w:top w:val="single" w:sz="2" w:space="0" w:color="000000"/>
              <w:left w:val="single" w:sz="2" w:space="0" w:color="000000"/>
              <w:right w:val="single" w:sz="2" w:space="0" w:color="000000"/>
            </w:tcBorders>
          </w:tcPr>
          <w:p w:rsidR="00B852E7" w:rsidRDefault="00B852E7" w:rsidP="00675923">
            <w:pPr>
              <w:pStyle w:val="TableParagraph"/>
              <w:spacing w:before="15"/>
              <w:rPr>
                <w:b/>
                <w:sz w:val="10"/>
              </w:rPr>
            </w:pPr>
            <w:r>
              <w:rPr>
                <w:b/>
                <w:w w:val="105"/>
                <w:sz w:val="10"/>
              </w:rPr>
              <w:t>A, GRRs</w:t>
            </w:r>
          </w:p>
        </w:tc>
        <w:tc>
          <w:tcPr>
            <w:tcW w:w="804" w:type="dxa"/>
            <w:tcBorders>
              <w:top w:val="single" w:sz="2" w:space="0" w:color="000000"/>
              <w:left w:val="single" w:sz="2" w:space="0" w:color="000000"/>
              <w:right w:val="single" w:sz="2" w:space="0" w:color="000000"/>
            </w:tcBorders>
          </w:tcPr>
          <w:p w:rsidR="00B852E7" w:rsidRDefault="00B852E7" w:rsidP="00675923">
            <w:pPr>
              <w:pStyle w:val="TableParagraph"/>
              <w:rPr>
                <w:sz w:val="10"/>
              </w:rPr>
            </w:pPr>
            <w:r>
              <w:rPr>
                <w:w w:val="105"/>
                <w:sz w:val="10"/>
              </w:rPr>
              <w:t>SOC-13</w:t>
            </w:r>
          </w:p>
          <w:p w:rsidR="00B852E7" w:rsidRDefault="00B852E7" w:rsidP="00675923">
            <w:pPr>
              <w:pStyle w:val="TableParagraph"/>
              <w:spacing w:before="17" w:line="276" w:lineRule="auto"/>
              <w:ind w:right="348"/>
              <w:rPr>
                <w:sz w:val="10"/>
              </w:rPr>
            </w:pPr>
            <w:r>
              <w:rPr>
                <w:w w:val="105"/>
                <w:sz w:val="10"/>
              </w:rPr>
              <w:t xml:space="preserve">Primary </w:t>
            </w:r>
            <w:r>
              <w:rPr>
                <w:spacing w:val="-1"/>
                <w:w w:val="105"/>
                <w:sz w:val="10"/>
              </w:rPr>
              <w:t>outcome</w:t>
            </w:r>
          </w:p>
        </w:tc>
        <w:tc>
          <w:tcPr>
            <w:tcW w:w="936" w:type="dxa"/>
            <w:tcBorders>
              <w:top w:val="single" w:sz="2" w:space="0" w:color="000000"/>
              <w:left w:val="single" w:sz="2" w:space="0" w:color="000000"/>
              <w:right w:val="single" w:sz="2" w:space="0" w:color="000000"/>
            </w:tcBorders>
          </w:tcPr>
          <w:p w:rsidR="00B852E7" w:rsidRDefault="00B852E7" w:rsidP="00675923">
            <w:pPr>
              <w:pStyle w:val="TableParagraph"/>
              <w:spacing w:line="276" w:lineRule="auto"/>
              <w:ind w:right="152"/>
              <w:rPr>
                <w:sz w:val="10"/>
              </w:rPr>
            </w:pPr>
            <w:r>
              <w:rPr>
                <w:w w:val="105"/>
                <w:sz w:val="10"/>
              </w:rPr>
              <w:t>Before &amp; after intervention (12 weeks).</w:t>
            </w:r>
          </w:p>
        </w:tc>
        <w:tc>
          <w:tcPr>
            <w:tcW w:w="1753" w:type="dxa"/>
            <w:tcBorders>
              <w:top w:val="single" w:sz="2" w:space="0" w:color="000000"/>
              <w:left w:val="single" w:sz="2" w:space="0" w:color="000000"/>
            </w:tcBorders>
          </w:tcPr>
          <w:p w:rsidR="00B852E7" w:rsidRDefault="00B852E7" w:rsidP="00675923">
            <w:pPr>
              <w:pStyle w:val="TableParagraph"/>
              <w:spacing w:line="276" w:lineRule="auto"/>
              <w:ind w:right="39"/>
              <w:rPr>
                <w:sz w:val="10"/>
              </w:rPr>
            </w:pPr>
            <w:r>
              <w:rPr>
                <w:w w:val="105"/>
                <w:sz w:val="10"/>
              </w:rPr>
              <w:t>Intervention: 73.4 → 71.1 Control: 75.6→74.3 (No significant change), 12 weeks.</w:t>
            </w:r>
          </w:p>
        </w:tc>
      </w:tr>
    </w:tbl>
    <w:p w:rsidR="00B852E7" w:rsidRPr="0091233F" w:rsidRDefault="00B852E7" w:rsidP="00B852E7">
      <w:pPr>
        <w:spacing w:line="276" w:lineRule="auto"/>
        <w:rPr>
          <w:sz w:val="10"/>
          <w:lang w:val="en-US"/>
        </w:rPr>
        <w:sectPr w:rsidR="00B852E7" w:rsidRPr="0091233F" w:rsidSect="00AA6DE4">
          <w:type w:val="continuous"/>
          <w:pgSz w:w="16840" w:h="11910" w:orient="landscape"/>
          <w:pgMar w:top="720" w:right="720" w:bottom="720" w:left="720" w:header="720" w:footer="720" w:gutter="0"/>
          <w:cols w:space="720"/>
        </w:sectPr>
      </w:pPr>
    </w:p>
    <w:tbl>
      <w:tblPr>
        <w:tblW w:w="11120" w:type="dxa"/>
        <w:tblInd w:w="-1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7"/>
        <w:gridCol w:w="247"/>
        <w:gridCol w:w="474"/>
        <w:gridCol w:w="1101"/>
        <w:gridCol w:w="455"/>
        <w:gridCol w:w="1060"/>
        <w:gridCol w:w="1954"/>
        <w:gridCol w:w="1928"/>
        <w:gridCol w:w="584"/>
        <w:gridCol w:w="558"/>
        <w:gridCol w:w="649"/>
        <w:gridCol w:w="1223"/>
      </w:tblGrid>
      <w:tr w:rsidR="00B852E7" w:rsidTr="00B852E7">
        <w:trPr>
          <w:trHeight w:val="443"/>
        </w:trPr>
        <w:tc>
          <w:tcPr>
            <w:tcW w:w="887" w:type="dxa"/>
            <w:tcBorders>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bookmarkStart w:id="0" w:name="_GoBack" w:colFirst="12" w:colLast="12"/>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0"/>
              <w:rPr>
                <w:b/>
                <w:sz w:val="12"/>
              </w:rPr>
            </w:pPr>
            <w:r>
              <w:rPr>
                <w:b/>
                <w:w w:val="105"/>
                <w:sz w:val="12"/>
              </w:rPr>
              <w:t>Authors</w:t>
            </w:r>
          </w:p>
        </w:tc>
        <w:tc>
          <w:tcPr>
            <w:tcW w:w="247"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0"/>
              <w:rPr>
                <w:b/>
                <w:sz w:val="12"/>
              </w:rPr>
            </w:pPr>
            <w:r>
              <w:rPr>
                <w:b/>
                <w:w w:val="105"/>
                <w:sz w:val="12"/>
              </w:rPr>
              <w:t>Year</w:t>
            </w:r>
          </w:p>
        </w:tc>
        <w:tc>
          <w:tcPr>
            <w:tcW w:w="474"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0"/>
              <w:rPr>
                <w:b/>
                <w:sz w:val="12"/>
              </w:rPr>
            </w:pPr>
            <w:r>
              <w:rPr>
                <w:b/>
                <w:w w:val="105"/>
                <w:sz w:val="12"/>
              </w:rPr>
              <w:t>Country</w:t>
            </w:r>
          </w:p>
        </w:tc>
        <w:tc>
          <w:tcPr>
            <w:tcW w:w="1101"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0"/>
              <w:rPr>
                <w:b/>
                <w:sz w:val="12"/>
              </w:rPr>
            </w:pPr>
            <w:r>
              <w:rPr>
                <w:b/>
                <w:w w:val="105"/>
                <w:sz w:val="12"/>
              </w:rPr>
              <w:t>Title</w:t>
            </w:r>
          </w:p>
        </w:tc>
        <w:tc>
          <w:tcPr>
            <w:tcW w:w="455"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0"/>
              <w:rPr>
                <w:b/>
                <w:sz w:val="12"/>
              </w:rPr>
            </w:pPr>
            <w:r>
              <w:rPr>
                <w:b/>
                <w:w w:val="105"/>
                <w:sz w:val="12"/>
              </w:rPr>
              <w:t>Method</w:t>
            </w:r>
          </w:p>
        </w:tc>
        <w:tc>
          <w:tcPr>
            <w:tcW w:w="1060"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0"/>
              <w:rPr>
                <w:b/>
                <w:sz w:val="12"/>
              </w:rPr>
            </w:pPr>
            <w:r>
              <w:rPr>
                <w:b/>
                <w:w w:val="105"/>
                <w:sz w:val="12"/>
              </w:rPr>
              <w:t>Sample</w:t>
            </w:r>
          </w:p>
        </w:tc>
        <w:tc>
          <w:tcPr>
            <w:tcW w:w="1954"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0"/>
              <w:rPr>
                <w:b/>
                <w:sz w:val="12"/>
              </w:rPr>
            </w:pPr>
            <w:r>
              <w:rPr>
                <w:b/>
                <w:w w:val="105"/>
                <w:sz w:val="12"/>
              </w:rPr>
              <w:t>Type of intervention(s)</w:t>
            </w:r>
          </w:p>
        </w:tc>
        <w:tc>
          <w:tcPr>
            <w:tcW w:w="1928"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0"/>
              <w:rPr>
                <w:b/>
                <w:sz w:val="12"/>
              </w:rPr>
            </w:pPr>
            <w:r>
              <w:rPr>
                <w:b/>
                <w:w w:val="105"/>
                <w:sz w:val="12"/>
              </w:rPr>
              <w:t>Salutogenic intervention content.</w:t>
            </w:r>
          </w:p>
        </w:tc>
        <w:tc>
          <w:tcPr>
            <w:tcW w:w="584"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1"/>
              <w:ind w:left="0"/>
              <w:rPr>
                <w:rFonts w:ascii="Times New Roman"/>
                <w:sz w:val="13"/>
              </w:rPr>
            </w:pPr>
          </w:p>
          <w:p w:rsidR="00B852E7" w:rsidRDefault="00B852E7" w:rsidP="00B852E7">
            <w:pPr>
              <w:pStyle w:val="TableParagraph"/>
              <w:spacing w:before="0" w:line="160" w:lineRule="atLeast"/>
              <w:ind w:left="0" w:right="60"/>
              <w:rPr>
                <w:b/>
                <w:sz w:val="12"/>
              </w:rPr>
            </w:pPr>
            <w:r>
              <w:rPr>
                <w:b/>
                <w:w w:val="105"/>
                <w:sz w:val="12"/>
              </w:rPr>
              <w:t>Salutogenic criteria*</w:t>
            </w:r>
          </w:p>
        </w:tc>
        <w:tc>
          <w:tcPr>
            <w:tcW w:w="558"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12"/>
              <w:ind w:left="0"/>
              <w:rPr>
                <w:b/>
                <w:sz w:val="12"/>
              </w:rPr>
            </w:pPr>
            <w:r>
              <w:rPr>
                <w:b/>
                <w:w w:val="105"/>
                <w:sz w:val="12"/>
              </w:rPr>
              <w:t>SOC</w:t>
            </w:r>
          </w:p>
          <w:p w:rsidR="00B852E7" w:rsidRDefault="00B852E7" w:rsidP="00B852E7">
            <w:pPr>
              <w:pStyle w:val="TableParagraph"/>
              <w:spacing w:before="0" w:line="160" w:lineRule="atLeast"/>
              <w:ind w:left="0" w:right="164"/>
              <w:rPr>
                <w:b/>
                <w:sz w:val="12"/>
              </w:rPr>
            </w:pPr>
            <w:r>
              <w:rPr>
                <w:b/>
                <w:spacing w:val="-1"/>
                <w:w w:val="105"/>
                <w:sz w:val="12"/>
              </w:rPr>
              <w:t>Question</w:t>
            </w:r>
            <w:r>
              <w:rPr>
                <w:b/>
                <w:w w:val="105"/>
                <w:sz w:val="12"/>
              </w:rPr>
              <w:t>naire</w:t>
            </w:r>
          </w:p>
        </w:tc>
        <w:tc>
          <w:tcPr>
            <w:tcW w:w="649"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1"/>
              <w:ind w:left="0"/>
              <w:rPr>
                <w:rFonts w:ascii="Times New Roman"/>
                <w:sz w:val="13"/>
              </w:rPr>
            </w:pPr>
          </w:p>
          <w:p w:rsidR="00B852E7" w:rsidRDefault="00B852E7" w:rsidP="00B852E7">
            <w:pPr>
              <w:pStyle w:val="TableParagraph"/>
              <w:spacing w:before="0" w:line="160" w:lineRule="atLeast"/>
              <w:ind w:left="0"/>
              <w:rPr>
                <w:b/>
                <w:sz w:val="12"/>
              </w:rPr>
            </w:pPr>
            <w:r>
              <w:rPr>
                <w:b/>
                <w:w w:val="105"/>
                <w:sz w:val="12"/>
              </w:rPr>
              <w:t>Assessment points</w:t>
            </w:r>
          </w:p>
        </w:tc>
        <w:tc>
          <w:tcPr>
            <w:tcW w:w="1220" w:type="dxa"/>
            <w:tcBorders>
              <w:left w:val="single" w:sz="4" w:space="0" w:color="000000"/>
              <w:bottom w:val="single" w:sz="4" w:space="0" w:color="000000"/>
            </w:tcBorders>
            <w:shd w:val="clear" w:color="auto" w:fill="E7E6E6"/>
          </w:tcPr>
          <w:p w:rsidR="00B852E7" w:rsidRDefault="00B852E7" w:rsidP="00B852E7">
            <w:pPr>
              <w:pStyle w:val="TableParagraph"/>
              <w:spacing w:before="0"/>
              <w:ind w:left="0"/>
              <w:rPr>
                <w:rFonts w:ascii="Times New Roman"/>
                <w:sz w:val="14"/>
              </w:rPr>
            </w:pPr>
          </w:p>
          <w:p w:rsidR="00B852E7" w:rsidRDefault="00B852E7" w:rsidP="00B852E7">
            <w:pPr>
              <w:pStyle w:val="TableParagraph"/>
              <w:spacing w:before="0"/>
              <w:ind w:left="0"/>
              <w:rPr>
                <w:rFonts w:ascii="Times New Roman"/>
                <w:sz w:val="15"/>
              </w:rPr>
            </w:pPr>
          </w:p>
          <w:p w:rsidR="00B852E7" w:rsidRDefault="00B852E7" w:rsidP="00B852E7">
            <w:pPr>
              <w:pStyle w:val="TableParagraph"/>
              <w:spacing w:before="0" w:line="131" w:lineRule="exact"/>
              <w:ind w:left="0"/>
              <w:rPr>
                <w:b/>
                <w:sz w:val="12"/>
              </w:rPr>
            </w:pPr>
            <w:r>
              <w:rPr>
                <w:b/>
                <w:w w:val="105"/>
                <w:sz w:val="12"/>
              </w:rPr>
              <w:t>Result SOC**</w:t>
            </w:r>
          </w:p>
        </w:tc>
      </w:tr>
      <w:tr w:rsidR="00B852E7" w:rsidTr="00B852E7">
        <w:trPr>
          <w:trHeight w:val="443"/>
        </w:trPr>
        <w:tc>
          <w:tcPr>
            <w:tcW w:w="887" w:type="dxa"/>
            <w:tcBorders>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tc>
        <w:tc>
          <w:tcPr>
            <w:tcW w:w="247"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tc>
        <w:tc>
          <w:tcPr>
            <w:tcW w:w="474"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tc>
        <w:tc>
          <w:tcPr>
            <w:tcW w:w="1101"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tc>
        <w:tc>
          <w:tcPr>
            <w:tcW w:w="455"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tc>
        <w:tc>
          <w:tcPr>
            <w:tcW w:w="1060"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tc>
        <w:tc>
          <w:tcPr>
            <w:tcW w:w="1954"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tc>
        <w:tc>
          <w:tcPr>
            <w:tcW w:w="1928"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0"/>
              <w:ind w:left="0"/>
              <w:rPr>
                <w:rFonts w:ascii="Times New Roman"/>
                <w:sz w:val="14"/>
              </w:rPr>
            </w:pPr>
          </w:p>
        </w:tc>
        <w:tc>
          <w:tcPr>
            <w:tcW w:w="584"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1"/>
              <w:ind w:left="0"/>
              <w:rPr>
                <w:rFonts w:ascii="Times New Roman"/>
                <w:sz w:val="13"/>
              </w:rPr>
            </w:pPr>
          </w:p>
        </w:tc>
        <w:tc>
          <w:tcPr>
            <w:tcW w:w="558"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12"/>
              <w:ind w:left="0"/>
              <w:rPr>
                <w:b/>
                <w:w w:val="105"/>
                <w:sz w:val="12"/>
              </w:rPr>
            </w:pPr>
          </w:p>
        </w:tc>
        <w:tc>
          <w:tcPr>
            <w:tcW w:w="649" w:type="dxa"/>
            <w:tcBorders>
              <w:left w:val="single" w:sz="4" w:space="0" w:color="000000"/>
              <w:bottom w:val="single" w:sz="4" w:space="0" w:color="000000"/>
              <w:right w:val="single" w:sz="4" w:space="0" w:color="000000"/>
            </w:tcBorders>
            <w:shd w:val="clear" w:color="auto" w:fill="E7E6E6"/>
          </w:tcPr>
          <w:p w:rsidR="00B852E7" w:rsidRDefault="00B852E7" w:rsidP="00B852E7">
            <w:pPr>
              <w:pStyle w:val="TableParagraph"/>
              <w:spacing w:before="1"/>
              <w:ind w:left="0"/>
              <w:rPr>
                <w:rFonts w:ascii="Times New Roman"/>
                <w:sz w:val="13"/>
              </w:rPr>
            </w:pPr>
          </w:p>
        </w:tc>
        <w:tc>
          <w:tcPr>
            <w:tcW w:w="1220" w:type="dxa"/>
            <w:tcBorders>
              <w:left w:val="single" w:sz="4" w:space="0" w:color="000000"/>
              <w:bottom w:val="single" w:sz="4" w:space="0" w:color="000000"/>
            </w:tcBorders>
            <w:shd w:val="clear" w:color="auto" w:fill="E7E6E6"/>
          </w:tcPr>
          <w:p w:rsidR="00B852E7" w:rsidRDefault="00B852E7" w:rsidP="00B852E7">
            <w:pPr>
              <w:pStyle w:val="TableParagraph"/>
              <w:spacing w:before="0"/>
              <w:ind w:left="0"/>
              <w:rPr>
                <w:rFonts w:ascii="Times New Roman"/>
                <w:sz w:val="14"/>
              </w:rPr>
            </w:pPr>
          </w:p>
        </w:tc>
      </w:tr>
      <w:tr w:rsidR="00B852E7" w:rsidRPr="00B14365" w:rsidTr="00B852E7">
        <w:trPr>
          <w:trHeight w:val="1158"/>
        </w:trPr>
        <w:tc>
          <w:tcPr>
            <w:tcW w:w="887" w:type="dxa"/>
            <w:tcBorders>
              <w:top w:val="single" w:sz="4" w:space="0" w:color="000000"/>
              <w:bottom w:val="single" w:sz="2" w:space="0" w:color="000000"/>
              <w:right w:val="single" w:sz="2" w:space="0" w:color="000000"/>
            </w:tcBorders>
          </w:tcPr>
          <w:p w:rsidR="00B852E7" w:rsidRDefault="00B852E7" w:rsidP="00B852E7">
            <w:pPr>
              <w:pStyle w:val="TableParagraph"/>
              <w:spacing w:before="9" w:line="276" w:lineRule="auto"/>
              <w:ind w:left="0" w:right="49"/>
              <w:rPr>
                <w:sz w:val="10"/>
              </w:rPr>
            </w:pPr>
            <w:r>
              <w:rPr>
                <w:w w:val="105"/>
                <w:sz w:val="10"/>
              </w:rPr>
              <w:t>Recabarren RE, Gaillard C, Guillod M, Martin- Soelch C.</w:t>
            </w:r>
          </w:p>
        </w:tc>
        <w:tc>
          <w:tcPr>
            <w:tcW w:w="247"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ind w:left="0"/>
              <w:rPr>
                <w:sz w:val="10"/>
              </w:rPr>
            </w:pPr>
            <w:r>
              <w:rPr>
                <w:w w:val="105"/>
                <w:sz w:val="10"/>
              </w:rPr>
              <w:t>2019</w:t>
            </w:r>
          </w:p>
        </w:tc>
        <w:tc>
          <w:tcPr>
            <w:tcW w:w="474"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ind w:left="0"/>
              <w:rPr>
                <w:sz w:val="10"/>
              </w:rPr>
            </w:pPr>
            <w:r>
              <w:rPr>
                <w:w w:val="105"/>
                <w:sz w:val="10"/>
              </w:rPr>
              <w:t>Switzerland</w:t>
            </w:r>
          </w:p>
        </w:tc>
        <w:tc>
          <w:tcPr>
            <w:tcW w:w="1101"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line="276" w:lineRule="auto"/>
              <w:ind w:left="0"/>
              <w:rPr>
                <w:sz w:val="10"/>
              </w:rPr>
            </w:pPr>
            <w:r>
              <w:rPr>
                <w:w w:val="105"/>
                <w:sz w:val="10"/>
              </w:rPr>
              <w:t>Short-Term Effects of a multidimensional stress prevention program on quality of life, well-being and psychological resources. A randomized controlled trial</w:t>
            </w:r>
          </w:p>
        </w:tc>
        <w:tc>
          <w:tcPr>
            <w:tcW w:w="455"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ind w:left="0"/>
              <w:rPr>
                <w:sz w:val="10"/>
              </w:rPr>
            </w:pPr>
            <w:r>
              <w:rPr>
                <w:w w:val="105"/>
                <w:sz w:val="10"/>
              </w:rPr>
              <w:t>RCT</w:t>
            </w:r>
          </w:p>
        </w:tc>
        <w:tc>
          <w:tcPr>
            <w:tcW w:w="1060"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line="276" w:lineRule="auto"/>
              <w:ind w:left="0" w:right="-7"/>
              <w:rPr>
                <w:sz w:val="10"/>
              </w:rPr>
            </w:pPr>
            <w:r>
              <w:rPr>
                <w:w w:val="105"/>
                <w:sz w:val="10"/>
              </w:rPr>
              <w:t>University students aged 18-34, mean age=21.34. Intervention (n=32) Control (n=32)</w:t>
            </w:r>
          </w:p>
        </w:tc>
        <w:tc>
          <w:tcPr>
            <w:tcW w:w="1954"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line="276" w:lineRule="auto"/>
              <w:ind w:left="0" w:right="1"/>
              <w:rPr>
                <w:sz w:val="10"/>
              </w:rPr>
            </w:pPr>
            <w:r>
              <w:rPr>
                <w:w w:val="105"/>
                <w:sz w:val="10"/>
              </w:rPr>
              <w:t>Intervention: a multidimensional stress prevention program, integrating mindfulness-based activities, cognitive and behavioural strategies, social skills, and emotional regulation. The intervention consisted of eight 2-h weekly group sessions. The groups were composed of a maximum of eight students and were led by two trained clinical psychologists. Homework between sessions was also proposed. Control: Waiting list</w:t>
            </w:r>
          </w:p>
        </w:tc>
        <w:tc>
          <w:tcPr>
            <w:tcW w:w="1928"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line="276" w:lineRule="auto"/>
              <w:ind w:left="0" w:right="15"/>
              <w:rPr>
                <w:sz w:val="10"/>
              </w:rPr>
            </w:pPr>
            <w:r>
              <w:rPr>
                <w:w w:val="105"/>
                <w:sz w:val="10"/>
              </w:rPr>
              <w:t>The program included mindfulness-based activities, cognitive and behavioural strategies, social skills exercises, and emotional regulation. Homework between sessions was also proposed. Participants performed written exercises, discussions, and role-playing in personal or fictive situations based on different types of material and triggers such as videos, audio, and visual supports.</w:t>
            </w:r>
          </w:p>
        </w:tc>
        <w:tc>
          <w:tcPr>
            <w:tcW w:w="584"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14" w:line="285" w:lineRule="auto"/>
              <w:ind w:left="0" w:right="262"/>
              <w:rPr>
                <w:b/>
                <w:sz w:val="10"/>
              </w:rPr>
            </w:pPr>
            <w:r>
              <w:rPr>
                <w:b/>
                <w:w w:val="105"/>
                <w:sz w:val="10"/>
              </w:rPr>
              <w:t>A, L, GRRs, WPA,</w:t>
            </w:r>
          </w:p>
        </w:tc>
        <w:tc>
          <w:tcPr>
            <w:tcW w:w="558"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ind w:left="0"/>
              <w:rPr>
                <w:sz w:val="10"/>
              </w:rPr>
            </w:pPr>
            <w:r>
              <w:rPr>
                <w:w w:val="105"/>
                <w:sz w:val="10"/>
              </w:rPr>
              <w:t>SOC-13</w:t>
            </w:r>
          </w:p>
          <w:p w:rsidR="00B852E7" w:rsidRDefault="00B852E7" w:rsidP="00B852E7">
            <w:pPr>
              <w:pStyle w:val="TableParagraph"/>
              <w:spacing w:before="17" w:line="276" w:lineRule="auto"/>
              <w:ind w:left="0" w:right="251"/>
              <w:rPr>
                <w:sz w:val="10"/>
              </w:rPr>
            </w:pPr>
            <w:r>
              <w:rPr>
                <w:spacing w:val="-1"/>
                <w:w w:val="105"/>
                <w:sz w:val="10"/>
              </w:rPr>
              <w:t xml:space="preserve">Secondary </w:t>
            </w:r>
            <w:r>
              <w:rPr>
                <w:w w:val="105"/>
                <w:sz w:val="10"/>
              </w:rPr>
              <w:t>outcome</w:t>
            </w:r>
          </w:p>
        </w:tc>
        <w:tc>
          <w:tcPr>
            <w:tcW w:w="649" w:type="dxa"/>
            <w:tcBorders>
              <w:top w:val="single" w:sz="4" w:space="0" w:color="000000"/>
              <w:left w:val="single" w:sz="2" w:space="0" w:color="000000"/>
              <w:bottom w:val="single" w:sz="2" w:space="0" w:color="000000"/>
              <w:right w:val="single" w:sz="2" w:space="0" w:color="000000"/>
            </w:tcBorders>
          </w:tcPr>
          <w:p w:rsidR="00B852E7" w:rsidRDefault="00B852E7" w:rsidP="00B852E7">
            <w:pPr>
              <w:pStyle w:val="TableParagraph"/>
              <w:spacing w:before="9" w:line="276" w:lineRule="auto"/>
              <w:ind w:left="0" w:right="228"/>
              <w:jc w:val="both"/>
              <w:rPr>
                <w:sz w:val="10"/>
              </w:rPr>
            </w:pPr>
            <w:r>
              <w:rPr>
                <w:w w:val="105"/>
                <w:sz w:val="10"/>
              </w:rPr>
              <w:t>Before &amp; after intervention (8 weeks).</w:t>
            </w:r>
          </w:p>
        </w:tc>
        <w:tc>
          <w:tcPr>
            <w:tcW w:w="1220" w:type="dxa"/>
            <w:tcBorders>
              <w:top w:val="single" w:sz="4" w:space="0" w:color="000000"/>
              <w:left w:val="single" w:sz="2" w:space="0" w:color="000000"/>
              <w:bottom w:val="single" w:sz="2" w:space="0" w:color="000000"/>
            </w:tcBorders>
          </w:tcPr>
          <w:p w:rsidR="00B852E7" w:rsidRDefault="00B852E7" w:rsidP="00B852E7">
            <w:pPr>
              <w:pStyle w:val="TableParagraph"/>
              <w:spacing w:before="9" w:line="276" w:lineRule="auto"/>
              <w:ind w:left="0" w:right="-8"/>
              <w:rPr>
                <w:sz w:val="10"/>
              </w:rPr>
            </w:pPr>
            <w:r>
              <w:rPr>
                <w:w w:val="105"/>
                <w:sz w:val="10"/>
              </w:rPr>
              <w:t>Intervention: 65.89 → 71.04 Control: 66.28 →67.09 (p=0.002), from</w:t>
            </w:r>
          </w:p>
          <w:p w:rsidR="00B852E7" w:rsidRDefault="00B852E7" w:rsidP="00B852E7">
            <w:pPr>
              <w:pStyle w:val="TableParagraph"/>
              <w:spacing w:before="0" w:line="115" w:lineRule="exact"/>
              <w:ind w:left="0"/>
              <w:rPr>
                <w:sz w:val="10"/>
              </w:rPr>
            </w:pPr>
            <w:r>
              <w:rPr>
                <w:w w:val="105"/>
                <w:sz w:val="10"/>
              </w:rPr>
              <w:t>before to after intervention.</w:t>
            </w:r>
          </w:p>
        </w:tc>
      </w:tr>
      <w:tr w:rsidR="00B852E7" w:rsidRPr="00C65587" w:rsidTr="00B852E7">
        <w:trPr>
          <w:trHeight w:val="769"/>
        </w:trPr>
        <w:tc>
          <w:tcPr>
            <w:tcW w:w="887" w:type="dxa"/>
            <w:tcBorders>
              <w:top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9"/>
              <w:rPr>
                <w:sz w:val="10"/>
              </w:rPr>
            </w:pPr>
            <w:r>
              <w:rPr>
                <w:w w:val="105"/>
                <w:sz w:val="10"/>
              </w:rPr>
              <w:t>Sancassiani, F., Cocco, A, Cossu, G, Lorrai, S Trincas, G, Floris, F, Mellino, G, Machado, S; Nardi, AE, Fabrici, EP, Preti, A, Carta, MG</w:t>
            </w:r>
          </w:p>
        </w:tc>
        <w:tc>
          <w:tcPr>
            <w:tcW w:w="24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2017</w:t>
            </w:r>
          </w:p>
        </w:tc>
        <w:tc>
          <w:tcPr>
            <w:tcW w:w="47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Italy</w:t>
            </w:r>
          </w:p>
        </w:tc>
        <w:tc>
          <w:tcPr>
            <w:tcW w:w="1101"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Pr>
                <w:sz w:val="10"/>
              </w:rPr>
            </w:pPr>
            <w:r>
              <w:rPr>
                <w:w w:val="105"/>
                <w:sz w:val="10"/>
              </w:rPr>
              <w:t>"VelaMente?!"-Sailing in a crew to improve self-efficacy in people with psychosocial disabilities: A randomized controlled trial.</w:t>
            </w:r>
          </w:p>
        </w:tc>
        <w:tc>
          <w:tcPr>
            <w:tcW w:w="45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RCT</w:t>
            </w:r>
          </w:p>
        </w:tc>
        <w:tc>
          <w:tcPr>
            <w:tcW w:w="1060"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75"/>
              <w:rPr>
                <w:sz w:val="10"/>
              </w:rPr>
            </w:pPr>
            <w:r>
              <w:rPr>
                <w:w w:val="105"/>
                <w:sz w:val="10"/>
              </w:rPr>
              <w:t>People with severe psychosocial disabilities. Intervention(n=23) Control (n=28)</w:t>
            </w:r>
          </w:p>
        </w:tc>
        <w:tc>
          <w:tcPr>
            <w:tcW w:w="195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36"/>
              <w:rPr>
                <w:sz w:val="10"/>
              </w:rPr>
            </w:pPr>
            <w:r>
              <w:rPr>
                <w:w w:val="105"/>
                <w:sz w:val="10"/>
              </w:rPr>
              <w:t>Intervention: a psychosocial rehabilitative intervention focused on sailing: structured course to learn sailing in a crew lasting three months: Two lessons/week à almost four hours. Control : Waiting list</w:t>
            </w:r>
          </w:p>
        </w:tc>
        <w:tc>
          <w:tcPr>
            <w:tcW w:w="19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Structured course in a crew: Sailing</w:t>
            </w:r>
          </w:p>
        </w:tc>
        <w:tc>
          <w:tcPr>
            <w:tcW w:w="58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ind w:left="0"/>
              <w:rPr>
                <w:b/>
                <w:sz w:val="10"/>
              </w:rPr>
            </w:pPr>
            <w:r>
              <w:rPr>
                <w:b/>
                <w:w w:val="105"/>
                <w:sz w:val="10"/>
              </w:rPr>
              <w:t xml:space="preserve"> A, L, GRRs</w:t>
            </w:r>
          </w:p>
        </w:tc>
        <w:tc>
          <w:tcPr>
            <w:tcW w:w="55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SOC-13</w:t>
            </w:r>
          </w:p>
          <w:p w:rsidR="00B852E7" w:rsidRDefault="00B852E7" w:rsidP="00B852E7">
            <w:pPr>
              <w:pStyle w:val="TableParagraph"/>
              <w:spacing w:before="17" w:line="276" w:lineRule="auto"/>
              <w:ind w:left="0" w:right="251"/>
              <w:rPr>
                <w:sz w:val="10"/>
              </w:rPr>
            </w:pPr>
            <w:r>
              <w:rPr>
                <w:spacing w:val="-1"/>
                <w:w w:val="105"/>
                <w:sz w:val="10"/>
              </w:rPr>
              <w:t xml:space="preserve">Secondary </w:t>
            </w:r>
            <w:r>
              <w:rPr>
                <w:w w:val="105"/>
                <w:sz w:val="10"/>
              </w:rPr>
              <w:t>outcome</w:t>
            </w:r>
          </w:p>
        </w:tc>
        <w:tc>
          <w:tcPr>
            <w:tcW w:w="649"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228"/>
              <w:jc w:val="both"/>
              <w:rPr>
                <w:sz w:val="10"/>
              </w:rPr>
            </w:pPr>
            <w:r>
              <w:rPr>
                <w:w w:val="105"/>
                <w:sz w:val="10"/>
              </w:rPr>
              <w:t>Before &amp; after intervention (3 months).</w:t>
            </w:r>
          </w:p>
        </w:tc>
        <w:tc>
          <w:tcPr>
            <w:tcW w:w="1220"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left="0" w:right="4"/>
              <w:rPr>
                <w:sz w:val="10"/>
              </w:rPr>
            </w:pPr>
            <w:r>
              <w:rPr>
                <w:w w:val="105"/>
                <w:sz w:val="10"/>
              </w:rPr>
              <w:t>Intervention: 52.15 →54.36 Control:53.50 →53.22 (between group differences p=0.557)</w:t>
            </w:r>
          </w:p>
        </w:tc>
      </w:tr>
      <w:tr w:rsidR="00B852E7" w:rsidTr="00B852E7">
        <w:trPr>
          <w:trHeight w:val="1160"/>
        </w:trPr>
        <w:tc>
          <w:tcPr>
            <w:tcW w:w="887" w:type="dxa"/>
            <w:tcBorders>
              <w:top w:val="single" w:sz="2" w:space="0" w:color="000000"/>
              <w:bottom w:val="single" w:sz="2" w:space="0" w:color="000000"/>
              <w:right w:val="single" w:sz="2" w:space="0" w:color="000000"/>
            </w:tcBorders>
          </w:tcPr>
          <w:p w:rsidR="00B852E7" w:rsidRPr="00751135" w:rsidRDefault="00B852E7" w:rsidP="00B852E7">
            <w:pPr>
              <w:pStyle w:val="TableParagraph"/>
              <w:spacing w:line="276" w:lineRule="auto"/>
              <w:ind w:left="0" w:right="96"/>
              <w:rPr>
                <w:w w:val="105"/>
                <w:sz w:val="10"/>
              </w:rPr>
            </w:pPr>
            <w:r w:rsidRPr="00751135">
              <w:rPr>
                <w:bCs/>
                <w:w w:val="105"/>
                <w:sz w:val="10"/>
                <w:lang w:val="en-US"/>
              </w:rPr>
              <w:t>Sarid,</w:t>
            </w:r>
            <w:r>
              <w:rPr>
                <w:bCs/>
                <w:w w:val="105"/>
                <w:sz w:val="10"/>
                <w:lang w:val="en-US"/>
              </w:rPr>
              <w:t xml:space="preserve"> </w:t>
            </w:r>
            <w:r w:rsidRPr="00751135">
              <w:rPr>
                <w:bCs/>
                <w:w w:val="105"/>
                <w:sz w:val="10"/>
                <w:lang w:val="en-US"/>
              </w:rPr>
              <w:t>O., Berger, R., Eckshtein, R., Segal-Engelchin, D.</w:t>
            </w:r>
          </w:p>
        </w:tc>
        <w:tc>
          <w:tcPr>
            <w:tcW w:w="24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w w:val="105"/>
                <w:sz w:val="10"/>
              </w:rPr>
            </w:pPr>
            <w:r>
              <w:rPr>
                <w:w w:val="105"/>
                <w:sz w:val="10"/>
              </w:rPr>
              <w:t>2012</w:t>
            </w:r>
          </w:p>
        </w:tc>
        <w:tc>
          <w:tcPr>
            <w:tcW w:w="47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w w:val="105"/>
                <w:sz w:val="10"/>
              </w:rPr>
            </w:pPr>
            <w:r>
              <w:rPr>
                <w:w w:val="105"/>
                <w:sz w:val="10"/>
              </w:rPr>
              <w:t>Israel</w:t>
            </w:r>
          </w:p>
        </w:tc>
        <w:tc>
          <w:tcPr>
            <w:tcW w:w="1101"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228"/>
              <w:rPr>
                <w:w w:val="105"/>
                <w:sz w:val="10"/>
              </w:rPr>
            </w:pPr>
            <w:r>
              <w:rPr>
                <w:w w:val="105"/>
                <w:sz w:val="10"/>
              </w:rPr>
              <w:t>Are cognitive-behavioural interventions effective in reducing occupational stress among nurses?</w:t>
            </w:r>
          </w:p>
        </w:tc>
        <w:tc>
          <w:tcPr>
            <w:tcW w:w="45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w w:val="105"/>
                <w:sz w:val="10"/>
              </w:rPr>
            </w:pPr>
            <w:r>
              <w:rPr>
                <w:w w:val="105"/>
                <w:sz w:val="10"/>
              </w:rPr>
              <w:t>Pre-/post-test design with a control</w:t>
            </w:r>
          </w:p>
        </w:tc>
        <w:tc>
          <w:tcPr>
            <w:tcW w:w="1060"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28"/>
              <w:rPr>
                <w:w w:val="105"/>
                <w:sz w:val="10"/>
              </w:rPr>
            </w:pPr>
            <w:r>
              <w:rPr>
                <w:w w:val="105"/>
                <w:sz w:val="10"/>
              </w:rPr>
              <w:t>Nurses with occupational stress. Intervention (n=20). Control (n=16)</w:t>
            </w:r>
          </w:p>
        </w:tc>
        <w:tc>
          <w:tcPr>
            <w:tcW w:w="195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30"/>
              <w:rPr>
                <w:w w:val="105"/>
                <w:sz w:val="10"/>
              </w:rPr>
            </w:pPr>
            <w:r>
              <w:rPr>
                <w:w w:val="105"/>
                <w:sz w:val="10"/>
              </w:rPr>
              <w:t>Cognitive-behavioural Intervention (CBI) comprising of 16 meetings and 5 (4 hours each) seminars. The CBI course provided theoretical and practical cognitive–behavioural concepts Control group: Five seminars</w:t>
            </w:r>
          </w:p>
        </w:tc>
        <w:tc>
          <w:tcPr>
            <w:tcW w:w="19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Pr>
                <w:w w:val="105"/>
                <w:sz w:val="10"/>
              </w:rPr>
            </w:pPr>
            <w:r>
              <w:rPr>
                <w:w w:val="105"/>
                <w:sz w:val="10"/>
              </w:rPr>
              <w:t>CBI program: A variety of cognitive-behavioural principles and techniques and not on a particular theory, thereby allowing them to choose the strategies that were most effective for them. Behavioural interventions included teaching and practicing breathing techniques and progressive muscle training. Participants were taught to question their self-defeating thoughts by examining evidence, practicing the strategies to reduce psychophysiological aspects of stress, and rehearsing skills they acquired .Each meeting started with a theoretical presentation followed by the practice of and reflections on the relevant skills.</w:t>
            </w:r>
          </w:p>
        </w:tc>
        <w:tc>
          <w:tcPr>
            <w:tcW w:w="58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line="285" w:lineRule="auto"/>
              <w:ind w:left="0" w:right="246" w:firstLine="28"/>
              <w:rPr>
                <w:b/>
                <w:w w:val="105"/>
                <w:sz w:val="10"/>
              </w:rPr>
            </w:pPr>
            <w:r>
              <w:rPr>
                <w:b/>
                <w:w w:val="105"/>
                <w:sz w:val="10"/>
              </w:rPr>
              <w:t xml:space="preserve"> A, L, GRRs</w:t>
            </w:r>
          </w:p>
        </w:tc>
        <w:tc>
          <w:tcPr>
            <w:tcW w:w="55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1"/>
              <w:ind w:left="0"/>
              <w:rPr>
                <w:sz w:val="10"/>
              </w:rPr>
            </w:pPr>
            <w:r>
              <w:rPr>
                <w:w w:val="105"/>
                <w:sz w:val="10"/>
              </w:rPr>
              <w:t>SOC-13</w:t>
            </w:r>
          </w:p>
          <w:p w:rsidR="00B852E7" w:rsidRDefault="00B852E7" w:rsidP="00B852E7">
            <w:pPr>
              <w:pStyle w:val="TableParagraph"/>
              <w:ind w:left="0"/>
              <w:rPr>
                <w:w w:val="105"/>
                <w:sz w:val="10"/>
              </w:rPr>
            </w:pPr>
            <w:r>
              <w:rPr>
                <w:w w:val="105"/>
                <w:sz w:val="10"/>
              </w:rPr>
              <w:t xml:space="preserve">Primary </w:t>
            </w:r>
            <w:r>
              <w:rPr>
                <w:spacing w:val="-1"/>
                <w:w w:val="105"/>
                <w:sz w:val="10"/>
              </w:rPr>
              <w:t>outcome</w:t>
            </w:r>
          </w:p>
        </w:tc>
        <w:tc>
          <w:tcPr>
            <w:tcW w:w="649"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52"/>
              <w:rPr>
                <w:w w:val="105"/>
                <w:sz w:val="10"/>
              </w:rPr>
            </w:pPr>
            <w:r>
              <w:rPr>
                <w:w w:val="105"/>
                <w:sz w:val="10"/>
              </w:rPr>
              <w:t>Before &amp; after intervention (4 months).</w:t>
            </w:r>
          </w:p>
        </w:tc>
        <w:tc>
          <w:tcPr>
            <w:tcW w:w="1220"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left="0" w:right="4"/>
              <w:rPr>
                <w:w w:val="105"/>
                <w:sz w:val="10"/>
              </w:rPr>
            </w:pPr>
            <w:r>
              <w:rPr>
                <w:w w:val="105"/>
                <w:sz w:val="10"/>
              </w:rPr>
              <w:t>Intervention: 70.83 → 75.05 (4 months) Control: 72.07 →69.61 (p</w:t>
            </w:r>
            <w:r>
              <w:rPr>
                <w:rFonts w:ascii="Calibri" w:hAnsi="Calibri"/>
                <w:w w:val="105"/>
                <w:sz w:val="10"/>
              </w:rPr>
              <w:t>&lt;0</w:t>
            </w:r>
            <w:r>
              <w:rPr>
                <w:w w:val="105"/>
                <w:sz w:val="10"/>
              </w:rPr>
              <w:t>.05)</w:t>
            </w:r>
          </w:p>
        </w:tc>
      </w:tr>
      <w:tr w:rsidR="00B852E7" w:rsidTr="00B852E7">
        <w:trPr>
          <w:trHeight w:val="1160"/>
        </w:trPr>
        <w:tc>
          <w:tcPr>
            <w:tcW w:w="887" w:type="dxa"/>
            <w:tcBorders>
              <w:top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96"/>
              <w:rPr>
                <w:sz w:val="10"/>
              </w:rPr>
            </w:pPr>
            <w:r>
              <w:rPr>
                <w:w w:val="105"/>
                <w:sz w:val="10"/>
              </w:rPr>
              <w:t>Schrank, B, Brownell, T, Jakaite, Z, Larkin,C, Pesola, F, Riches, S, Tylee, A, Slade, M.</w:t>
            </w:r>
          </w:p>
        </w:tc>
        <w:tc>
          <w:tcPr>
            <w:tcW w:w="24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2016</w:t>
            </w:r>
          </w:p>
        </w:tc>
        <w:tc>
          <w:tcPr>
            <w:tcW w:w="47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Austria</w:t>
            </w:r>
          </w:p>
        </w:tc>
        <w:tc>
          <w:tcPr>
            <w:tcW w:w="1101"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228"/>
              <w:rPr>
                <w:sz w:val="10"/>
              </w:rPr>
            </w:pPr>
            <w:r>
              <w:rPr>
                <w:w w:val="105"/>
                <w:sz w:val="10"/>
              </w:rPr>
              <w:t>Evaluation of a positive psychotherapy group intervention for people with psychosis: Pilot randomised controlled trial.</w:t>
            </w:r>
          </w:p>
        </w:tc>
        <w:tc>
          <w:tcPr>
            <w:tcW w:w="45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RCT (pilot)</w:t>
            </w:r>
          </w:p>
        </w:tc>
        <w:tc>
          <w:tcPr>
            <w:tcW w:w="1060"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28"/>
              <w:rPr>
                <w:sz w:val="10"/>
              </w:rPr>
            </w:pPr>
            <w:r>
              <w:rPr>
                <w:w w:val="105"/>
                <w:sz w:val="10"/>
              </w:rPr>
              <w:t>Convenience sample of people with psychosis. Intervention (n=47). Control group (n=47).</w:t>
            </w:r>
          </w:p>
        </w:tc>
        <w:tc>
          <w:tcPr>
            <w:tcW w:w="195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30"/>
              <w:rPr>
                <w:sz w:val="10"/>
              </w:rPr>
            </w:pPr>
            <w:r>
              <w:rPr>
                <w:w w:val="105"/>
                <w:sz w:val="10"/>
              </w:rPr>
              <w:t>Intervention group participants received TAU and 11 weekly 90-min sessions of WELLFOCUS PPT in a closed group format, delivered by a therapist and co-therapist. Six therapy groups. WELLFOCUS PPT is described in detail elsewhere (Riches et al. 2014). Control group: TAU only.</w:t>
            </w:r>
          </w:p>
        </w:tc>
        <w:tc>
          <w:tcPr>
            <w:tcW w:w="19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Pr>
                <w:sz w:val="10"/>
              </w:rPr>
            </w:pPr>
            <w:r>
              <w:rPr>
                <w:w w:val="105"/>
                <w:sz w:val="10"/>
              </w:rPr>
              <w:t>WELLFOCUS PPT: Four areas of development:  increasing positive experiences; amplifying strengths; fostering positive relationships; and creating a more meaningful self-narrative. These areas are addressed using ten exercises: positive introductions, savouring, good things, identifying personal strengths, personal strength activity, strength activity with significant other, forgiveness,</w:t>
            </w:r>
            <w:r>
              <w:rPr>
                <w:spacing w:val="-6"/>
                <w:w w:val="105"/>
                <w:sz w:val="10"/>
              </w:rPr>
              <w:t xml:space="preserve"> </w:t>
            </w:r>
            <w:r>
              <w:rPr>
                <w:w w:val="105"/>
                <w:sz w:val="10"/>
              </w:rPr>
              <w:t>one</w:t>
            </w:r>
            <w:r>
              <w:rPr>
                <w:spacing w:val="-6"/>
                <w:w w:val="105"/>
                <w:sz w:val="10"/>
              </w:rPr>
              <w:t xml:space="preserve"> </w:t>
            </w:r>
            <w:r>
              <w:rPr>
                <w:w w:val="105"/>
                <w:sz w:val="10"/>
              </w:rPr>
              <w:t>door</w:t>
            </w:r>
            <w:r>
              <w:rPr>
                <w:spacing w:val="-5"/>
                <w:w w:val="105"/>
                <w:sz w:val="10"/>
              </w:rPr>
              <w:t xml:space="preserve"> </w:t>
            </w:r>
            <w:r>
              <w:rPr>
                <w:w w:val="105"/>
                <w:sz w:val="10"/>
              </w:rPr>
              <w:t>closes</w:t>
            </w:r>
            <w:r>
              <w:rPr>
                <w:spacing w:val="-4"/>
                <w:w w:val="105"/>
                <w:sz w:val="10"/>
              </w:rPr>
              <w:t xml:space="preserve"> </w:t>
            </w:r>
            <w:r>
              <w:rPr>
                <w:w w:val="105"/>
                <w:sz w:val="10"/>
              </w:rPr>
              <w:t>another</w:t>
            </w:r>
            <w:r>
              <w:rPr>
                <w:spacing w:val="-4"/>
                <w:w w:val="105"/>
                <w:sz w:val="10"/>
              </w:rPr>
              <w:t xml:space="preserve"> </w:t>
            </w:r>
            <w:r>
              <w:rPr>
                <w:w w:val="105"/>
                <w:sz w:val="10"/>
              </w:rPr>
              <w:t>door</w:t>
            </w:r>
            <w:r>
              <w:rPr>
                <w:spacing w:val="-5"/>
                <w:w w:val="105"/>
                <w:sz w:val="10"/>
              </w:rPr>
              <w:t xml:space="preserve"> </w:t>
            </w:r>
            <w:r>
              <w:rPr>
                <w:w w:val="105"/>
                <w:sz w:val="10"/>
              </w:rPr>
              <w:t>opens,</w:t>
            </w:r>
            <w:r>
              <w:rPr>
                <w:spacing w:val="-5"/>
                <w:w w:val="105"/>
                <w:sz w:val="10"/>
              </w:rPr>
              <w:t xml:space="preserve"> </w:t>
            </w:r>
            <w:r>
              <w:rPr>
                <w:w w:val="105"/>
                <w:sz w:val="10"/>
              </w:rPr>
              <w:t>gratitude and positive</w:t>
            </w:r>
            <w:r>
              <w:rPr>
                <w:spacing w:val="-5"/>
                <w:w w:val="105"/>
                <w:sz w:val="10"/>
              </w:rPr>
              <w:t xml:space="preserve"> </w:t>
            </w:r>
            <w:r>
              <w:rPr>
                <w:w w:val="105"/>
                <w:sz w:val="10"/>
              </w:rPr>
              <w:t>responding.</w:t>
            </w:r>
          </w:p>
        </w:tc>
        <w:tc>
          <w:tcPr>
            <w:tcW w:w="58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line="285" w:lineRule="auto"/>
              <w:ind w:left="0" w:right="246" w:firstLine="28"/>
              <w:rPr>
                <w:b/>
                <w:sz w:val="10"/>
              </w:rPr>
            </w:pPr>
            <w:r>
              <w:rPr>
                <w:b/>
                <w:w w:val="105"/>
                <w:sz w:val="10"/>
              </w:rPr>
              <w:t>A, L, SRRs, WPA,</w:t>
            </w:r>
          </w:p>
        </w:tc>
        <w:tc>
          <w:tcPr>
            <w:tcW w:w="55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SOC-29</w:t>
            </w:r>
          </w:p>
          <w:p w:rsidR="00B852E7" w:rsidRDefault="00B852E7" w:rsidP="00B852E7">
            <w:pPr>
              <w:pStyle w:val="TableParagraph"/>
              <w:spacing w:before="17" w:line="276" w:lineRule="auto"/>
              <w:ind w:left="0" w:right="308"/>
              <w:rPr>
                <w:sz w:val="10"/>
              </w:rPr>
            </w:pPr>
            <w:r>
              <w:rPr>
                <w:spacing w:val="-1"/>
                <w:w w:val="105"/>
                <w:sz w:val="10"/>
              </w:rPr>
              <w:t xml:space="preserve">Secondary </w:t>
            </w:r>
            <w:r>
              <w:rPr>
                <w:w w:val="105"/>
                <w:sz w:val="10"/>
              </w:rPr>
              <w:t>outcome</w:t>
            </w:r>
          </w:p>
        </w:tc>
        <w:tc>
          <w:tcPr>
            <w:tcW w:w="649"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52"/>
              <w:rPr>
                <w:sz w:val="10"/>
              </w:rPr>
            </w:pPr>
            <w:r>
              <w:rPr>
                <w:w w:val="105"/>
                <w:sz w:val="10"/>
              </w:rPr>
              <w:t>Before &amp; after intervention (11 weeks).</w:t>
            </w:r>
          </w:p>
        </w:tc>
        <w:tc>
          <w:tcPr>
            <w:tcW w:w="1220"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left="0" w:right="4"/>
              <w:rPr>
                <w:sz w:val="10"/>
              </w:rPr>
            </w:pPr>
            <w:r>
              <w:rPr>
                <w:w w:val="105"/>
                <w:sz w:val="10"/>
              </w:rPr>
              <w:t>Intervention: Mean difference (CI): 0.24 (0.01- 0.46, p=0.040) Control:</w:t>
            </w:r>
          </w:p>
          <w:p w:rsidR="00B852E7" w:rsidRDefault="00B852E7" w:rsidP="00B852E7">
            <w:pPr>
              <w:pStyle w:val="TableParagraph"/>
              <w:spacing w:before="0" w:line="115" w:lineRule="exact"/>
              <w:ind w:left="0"/>
              <w:rPr>
                <w:sz w:val="10"/>
              </w:rPr>
            </w:pPr>
            <w:r>
              <w:rPr>
                <w:w w:val="105"/>
                <w:sz w:val="10"/>
              </w:rPr>
              <w:t>0.17 (-0.03-0.36, p=0.088).</w:t>
            </w:r>
          </w:p>
        </w:tc>
      </w:tr>
      <w:tr w:rsidR="00B852E7" w:rsidTr="00B852E7">
        <w:trPr>
          <w:trHeight w:val="899"/>
        </w:trPr>
        <w:tc>
          <w:tcPr>
            <w:tcW w:w="887" w:type="dxa"/>
            <w:tcBorders>
              <w:top w:val="single" w:sz="2" w:space="0" w:color="000000"/>
              <w:bottom w:val="single" w:sz="2" w:space="0" w:color="000000"/>
              <w:right w:val="single" w:sz="2" w:space="0" w:color="000000"/>
            </w:tcBorders>
          </w:tcPr>
          <w:p w:rsidR="00B852E7" w:rsidRPr="0091233F" w:rsidRDefault="00B852E7" w:rsidP="00B852E7">
            <w:pPr>
              <w:pStyle w:val="TableParagraph"/>
              <w:spacing w:line="276" w:lineRule="auto"/>
              <w:ind w:left="0" w:right="49"/>
              <w:rPr>
                <w:sz w:val="10"/>
                <w:lang w:val="nn-NO"/>
              </w:rPr>
            </w:pPr>
            <w:r w:rsidRPr="0091233F">
              <w:rPr>
                <w:w w:val="105"/>
                <w:sz w:val="10"/>
                <w:lang w:val="nn-NO"/>
              </w:rPr>
              <w:t>Sundsli K, Söderhamn U Espnes GA Söderhamn O.</w:t>
            </w:r>
          </w:p>
        </w:tc>
        <w:tc>
          <w:tcPr>
            <w:tcW w:w="24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2014</w:t>
            </w:r>
          </w:p>
        </w:tc>
        <w:tc>
          <w:tcPr>
            <w:tcW w:w="47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Norway</w:t>
            </w:r>
          </w:p>
        </w:tc>
        <w:tc>
          <w:tcPr>
            <w:tcW w:w="1101"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76"/>
              <w:rPr>
                <w:sz w:val="10"/>
              </w:rPr>
            </w:pPr>
            <w:r>
              <w:rPr>
                <w:w w:val="105"/>
                <w:sz w:val="10"/>
              </w:rPr>
              <w:t>Self-care telephone talks as a health-promotion intervention in urban home-living persons</w:t>
            </w:r>
          </w:p>
          <w:p w:rsidR="00B852E7" w:rsidRDefault="00B852E7" w:rsidP="00B852E7">
            <w:pPr>
              <w:pStyle w:val="TableParagraph"/>
              <w:spacing w:before="0" w:line="276" w:lineRule="auto"/>
              <w:ind w:left="0"/>
              <w:rPr>
                <w:sz w:val="10"/>
              </w:rPr>
            </w:pPr>
            <w:r>
              <w:rPr>
                <w:w w:val="105"/>
                <w:sz w:val="10"/>
              </w:rPr>
              <w:t>75+ years of age: a randomized controlled study</w:t>
            </w:r>
          </w:p>
        </w:tc>
        <w:tc>
          <w:tcPr>
            <w:tcW w:w="45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RCT</w:t>
            </w:r>
          </w:p>
        </w:tc>
        <w:tc>
          <w:tcPr>
            <w:tcW w:w="1060"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3"/>
              <w:rPr>
                <w:sz w:val="10"/>
              </w:rPr>
            </w:pPr>
            <w:r>
              <w:rPr>
                <w:w w:val="105"/>
                <w:sz w:val="10"/>
              </w:rPr>
              <w:t>Elderly urban home-living people. Age between 75 and 93 years (mean 80.7 years).</w:t>
            </w:r>
          </w:p>
          <w:p w:rsidR="00B852E7" w:rsidRDefault="00B852E7" w:rsidP="00B852E7">
            <w:pPr>
              <w:pStyle w:val="TableParagraph"/>
              <w:spacing w:before="0" w:line="276" w:lineRule="auto"/>
              <w:ind w:left="0" w:right="2"/>
              <w:rPr>
                <w:sz w:val="10"/>
              </w:rPr>
            </w:pPr>
            <w:r>
              <w:rPr>
                <w:w w:val="105"/>
                <w:sz w:val="10"/>
              </w:rPr>
              <w:t>Intervention (n=15). The control group (n=15)</w:t>
            </w:r>
          </w:p>
        </w:tc>
        <w:tc>
          <w:tcPr>
            <w:tcW w:w="195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2"/>
              <w:rPr>
                <w:sz w:val="10"/>
              </w:rPr>
            </w:pPr>
            <w:r>
              <w:rPr>
                <w:w w:val="105"/>
                <w:sz w:val="10"/>
              </w:rPr>
              <w:t>Intervention</w:t>
            </w:r>
            <w:r>
              <w:rPr>
                <w:spacing w:val="-5"/>
                <w:w w:val="105"/>
                <w:sz w:val="10"/>
              </w:rPr>
              <w:t xml:space="preserve"> </w:t>
            </w:r>
            <w:r>
              <w:rPr>
                <w:w w:val="105"/>
                <w:sz w:val="10"/>
              </w:rPr>
              <w:t>(19</w:t>
            </w:r>
            <w:r>
              <w:rPr>
                <w:spacing w:val="-5"/>
                <w:w w:val="105"/>
                <w:sz w:val="10"/>
              </w:rPr>
              <w:t xml:space="preserve"> </w:t>
            </w:r>
            <w:r>
              <w:rPr>
                <w:w w:val="105"/>
                <w:sz w:val="10"/>
              </w:rPr>
              <w:t>weeks):</w:t>
            </w:r>
            <w:r>
              <w:rPr>
                <w:spacing w:val="-4"/>
                <w:w w:val="105"/>
                <w:sz w:val="10"/>
              </w:rPr>
              <w:t xml:space="preserve"> </w:t>
            </w:r>
            <w:r>
              <w:rPr>
                <w:w w:val="105"/>
                <w:sz w:val="10"/>
              </w:rPr>
              <w:t>The</w:t>
            </w:r>
            <w:r>
              <w:rPr>
                <w:spacing w:val="-5"/>
                <w:w w:val="105"/>
                <w:sz w:val="10"/>
              </w:rPr>
              <w:t xml:space="preserve"> </w:t>
            </w:r>
            <w:r>
              <w:rPr>
                <w:w w:val="105"/>
                <w:sz w:val="10"/>
              </w:rPr>
              <w:t>intervention</w:t>
            </w:r>
            <w:r>
              <w:rPr>
                <w:spacing w:val="-5"/>
                <w:w w:val="105"/>
                <w:sz w:val="10"/>
              </w:rPr>
              <w:t xml:space="preserve"> </w:t>
            </w:r>
            <w:r>
              <w:rPr>
                <w:w w:val="105"/>
                <w:sz w:val="10"/>
              </w:rPr>
              <w:t>consisted</w:t>
            </w:r>
            <w:r>
              <w:rPr>
                <w:spacing w:val="-5"/>
                <w:w w:val="105"/>
                <w:sz w:val="10"/>
              </w:rPr>
              <w:t xml:space="preserve"> </w:t>
            </w:r>
            <w:r>
              <w:rPr>
                <w:w w:val="105"/>
                <w:sz w:val="10"/>
              </w:rPr>
              <w:t>of</w:t>
            </w:r>
            <w:r>
              <w:rPr>
                <w:spacing w:val="-2"/>
                <w:w w:val="105"/>
                <w:sz w:val="10"/>
              </w:rPr>
              <w:t xml:space="preserve"> </w:t>
            </w:r>
            <w:r>
              <w:rPr>
                <w:w w:val="105"/>
                <w:sz w:val="10"/>
              </w:rPr>
              <w:t>a</w:t>
            </w:r>
            <w:r>
              <w:rPr>
                <w:spacing w:val="-5"/>
                <w:w w:val="105"/>
                <w:sz w:val="10"/>
              </w:rPr>
              <w:t xml:space="preserve"> </w:t>
            </w:r>
            <w:r>
              <w:rPr>
                <w:w w:val="105"/>
                <w:sz w:val="10"/>
              </w:rPr>
              <w:t>first meeting with health professionals and additional five self- care telephone calls. This self-care intervention study was based on a model of self-care for health promotion in ageing. The control group did not receive any intervention or attention except for the</w:t>
            </w:r>
            <w:r>
              <w:rPr>
                <w:spacing w:val="-9"/>
                <w:w w:val="105"/>
                <w:sz w:val="10"/>
              </w:rPr>
              <w:t xml:space="preserve"> </w:t>
            </w:r>
            <w:r>
              <w:rPr>
                <w:w w:val="105"/>
                <w:sz w:val="10"/>
              </w:rPr>
              <w:t>questionnaires.</w:t>
            </w:r>
          </w:p>
        </w:tc>
        <w:tc>
          <w:tcPr>
            <w:tcW w:w="19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6" w:firstLine="28"/>
              <w:rPr>
                <w:sz w:val="10"/>
              </w:rPr>
            </w:pPr>
            <w:r>
              <w:rPr>
                <w:w w:val="105"/>
                <w:sz w:val="10"/>
              </w:rPr>
              <w:t>A model of self-care for health promotion: Healthy habits, building self-esteem, focusing on the positive, communicating, and building meaning.</w:t>
            </w:r>
          </w:p>
        </w:tc>
        <w:tc>
          <w:tcPr>
            <w:tcW w:w="58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ind w:left="0"/>
              <w:rPr>
                <w:b/>
                <w:sz w:val="10"/>
              </w:rPr>
            </w:pPr>
            <w:r>
              <w:rPr>
                <w:b/>
                <w:w w:val="105"/>
                <w:sz w:val="10"/>
              </w:rPr>
              <w:t xml:space="preserve"> A, L, GRRs</w:t>
            </w:r>
          </w:p>
        </w:tc>
        <w:tc>
          <w:tcPr>
            <w:tcW w:w="55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SOC-29</w:t>
            </w:r>
          </w:p>
          <w:p w:rsidR="00B852E7" w:rsidRDefault="00B852E7" w:rsidP="00B852E7">
            <w:pPr>
              <w:pStyle w:val="TableParagraph"/>
              <w:spacing w:before="17" w:line="276" w:lineRule="auto"/>
              <w:ind w:left="0" w:right="251"/>
              <w:rPr>
                <w:sz w:val="10"/>
              </w:rPr>
            </w:pPr>
            <w:r>
              <w:rPr>
                <w:spacing w:val="-1"/>
                <w:w w:val="105"/>
                <w:sz w:val="10"/>
              </w:rPr>
              <w:t xml:space="preserve">Secondary </w:t>
            </w:r>
            <w:r>
              <w:rPr>
                <w:w w:val="105"/>
                <w:sz w:val="10"/>
              </w:rPr>
              <w:t>outcome</w:t>
            </w:r>
          </w:p>
        </w:tc>
        <w:tc>
          <w:tcPr>
            <w:tcW w:w="649"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52"/>
              <w:rPr>
                <w:sz w:val="10"/>
              </w:rPr>
            </w:pPr>
            <w:r>
              <w:rPr>
                <w:w w:val="105"/>
                <w:sz w:val="10"/>
              </w:rPr>
              <w:t>Before &amp; after intervention (19 weeks)</w:t>
            </w:r>
          </w:p>
        </w:tc>
        <w:tc>
          <w:tcPr>
            <w:tcW w:w="1220"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left="0" w:right="4"/>
              <w:rPr>
                <w:sz w:val="10"/>
              </w:rPr>
            </w:pPr>
            <w:r>
              <w:rPr>
                <w:w w:val="105"/>
                <w:sz w:val="10"/>
              </w:rPr>
              <w:t>Intervention: SOC=143.50→138. Control: SOC=144.00 → 136</w:t>
            </w:r>
          </w:p>
        </w:tc>
      </w:tr>
      <w:tr w:rsidR="00B852E7" w:rsidTr="00B852E7">
        <w:trPr>
          <w:trHeight w:val="1289"/>
        </w:trPr>
        <w:tc>
          <w:tcPr>
            <w:tcW w:w="887" w:type="dxa"/>
            <w:tcBorders>
              <w:top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49"/>
              <w:rPr>
                <w:sz w:val="10"/>
              </w:rPr>
            </w:pPr>
            <w:r>
              <w:rPr>
                <w:w w:val="105"/>
                <w:sz w:val="10"/>
              </w:rPr>
              <w:t>Tan, Khoon Kiat; Chan, Sally Wai-Chi; Wang, Wenru; Vehvilainen- Julkunen, Katri.</w:t>
            </w:r>
          </w:p>
        </w:tc>
        <w:tc>
          <w:tcPr>
            <w:tcW w:w="24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2016</w:t>
            </w:r>
          </w:p>
        </w:tc>
        <w:tc>
          <w:tcPr>
            <w:tcW w:w="47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Singapore</w:t>
            </w:r>
          </w:p>
        </w:tc>
        <w:tc>
          <w:tcPr>
            <w:tcW w:w="1101"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3"/>
              <w:rPr>
                <w:sz w:val="10"/>
              </w:rPr>
            </w:pPr>
            <w:r>
              <w:rPr>
                <w:w w:val="105"/>
                <w:sz w:val="10"/>
              </w:rPr>
              <w:t>A salutogenic program to enhance</w:t>
            </w:r>
            <w:r>
              <w:rPr>
                <w:spacing w:val="-7"/>
                <w:w w:val="105"/>
                <w:sz w:val="10"/>
              </w:rPr>
              <w:t xml:space="preserve"> </w:t>
            </w:r>
            <w:r>
              <w:rPr>
                <w:w w:val="105"/>
                <w:sz w:val="10"/>
              </w:rPr>
              <w:t>sense</w:t>
            </w:r>
            <w:r>
              <w:rPr>
                <w:spacing w:val="-7"/>
                <w:w w:val="105"/>
                <w:sz w:val="10"/>
              </w:rPr>
              <w:t xml:space="preserve"> </w:t>
            </w:r>
            <w:r>
              <w:rPr>
                <w:w w:val="105"/>
                <w:sz w:val="10"/>
              </w:rPr>
              <w:t>of</w:t>
            </w:r>
            <w:r>
              <w:rPr>
                <w:spacing w:val="-5"/>
                <w:w w:val="105"/>
                <w:sz w:val="10"/>
              </w:rPr>
              <w:t xml:space="preserve"> </w:t>
            </w:r>
            <w:r>
              <w:rPr>
                <w:w w:val="105"/>
                <w:sz w:val="10"/>
              </w:rPr>
              <w:t>coherence</w:t>
            </w:r>
            <w:r>
              <w:rPr>
                <w:spacing w:val="-7"/>
                <w:w w:val="105"/>
                <w:sz w:val="10"/>
              </w:rPr>
              <w:t xml:space="preserve"> </w:t>
            </w:r>
            <w:r>
              <w:rPr>
                <w:w w:val="105"/>
                <w:sz w:val="10"/>
              </w:rPr>
              <w:t>and quality of life for older people in the community: A feasibility randomized controlled trial and process</w:t>
            </w:r>
            <w:r>
              <w:rPr>
                <w:spacing w:val="-1"/>
                <w:w w:val="105"/>
                <w:sz w:val="10"/>
              </w:rPr>
              <w:t xml:space="preserve"> </w:t>
            </w:r>
            <w:r>
              <w:rPr>
                <w:w w:val="105"/>
                <w:sz w:val="10"/>
              </w:rPr>
              <w:t>evaluation.</w:t>
            </w:r>
          </w:p>
        </w:tc>
        <w:tc>
          <w:tcPr>
            <w:tcW w:w="45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RCT</w:t>
            </w:r>
          </w:p>
        </w:tc>
        <w:tc>
          <w:tcPr>
            <w:tcW w:w="1060"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16"/>
              <w:rPr>
                <w:sz w:val="10"/>
              </w:rPr>
            </w:pPr>
            <w:r>
              <w:rPr>
                <w:w w:val="105"/>
                <w:sz w:val="10"/>
              </w:rPr>
              <w:t>Community dwellers aged 65 years or over. Intervention (n=32). Control (n=32).</w:t>
            </w:r>
          </w:p>
        </w:tc>
        <w:tc>
          <w:tcPr>
            <w:tcW w:w="195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8"/>
              <w:rPr>
                <w:sz w:val="10"/>
              </w:rPr>
            </w:pPr>
            <w:r>
              <w:rPr>
                <w:w w:val="105"/>
                <w:sz w:val="10"/>
              </w:rPr>
              <w:t>Intervention A salutogenesis-based self-care program: A 12-week (twice weekly participation) Resource Enhancement and Activation Program (REAP): Aimed to develop the well-being and QoL of older people by strengthening their SOC, activation, and resilience. Control: Took part in activities offered by other community clubs and activity centres.</w:t>
            </w:r>
          </w:p>
        </w:tc>
        <w:tc>
          <w:tcPr>
            <w:tcW w:w="19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27" w:firstLine="28"/>
              <w:rPr>
                <w:sz w:val="10"/>
              </w:rPr>
            </w:pPr>
            <w:r>
              <w:rPr>
                <w:w w:val="105"/>
                <w:sz w:val="10"/>
              </w:rPr>
              <w:t>REAP: A focus on motivation, personal responsibilities, physical activity, and social and environmental impacts on health behaviour. Promote understanding of external life challenges confronting older people (e.g., health, dependence care and death, confidence tricksters, environmental safety, haze and dengue) and understanding of their personal beliefs, thoughts and emotions. Through REAP, older people could review available external resources and internal resources</w:t>
            </w:r>
          </w:p>
        </w:tc>
        <w:tc>
          <w:tcPr>
            <w:tcW w:w="58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line="285" w:lineRule="auto"/>
              <w:ind w:left="0" w:right="-18"/>
              <w:rPr>
                <w:b/>
                <w:sz w:val="10"/>
              </w:rPr>
            </w:pPr>
            <w:r>
              <w:rPr>
                <w:b/>
                <w:w w:val="105"/>
                <w:sz w:val="10"/>
              </w:rPr>
              <w:t>A, L, GRRs, SRRs, WPA.</w:t>
            </w:r>
          </w:p>
        </w:tc>
        <w:tc>
          <w:tcPr>
            <w:tcW w:w="55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SOC-13</w:t>
            </w:r>
          </w:p>
          <w:p w:rsidR="00B852E7" w:rsidRDefault="00B852E7" w:rsidP="00B852E7">
            <w:pPr>
              <w:pStyle w:val="TableParagraph"/>
              <w:spacing w:before="17" w:line="276" w:lineRule="auto"/>
              <w:ind w:left="0" w:right="348"/>
              <w:rPr>
                <w:sz w:val="10"/>
              </w:rPr>
            </w:pPr>
            <w:r>
              <w:rPr>
                <w:w w:val="105"/>
                <w:sz w:val="10"/>
              </w:rPr>
              <w:t xml:space="preserve">Primary </w:t>
            </w:r>
            <w:r>
              <w:rPr>
                <w:spacing w:val="-1"/>
                <w:w w:val="105"/>
                <w:sz w:val="10"/>
              </w:rPr>
              <w:t>outcome</w:t>
            </w:r>
          </w:p>
        </w:tc>
        <w:tc>
          <w:tcPr>
            <w:tcW w:w="649"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52"/>
              <w:rPr>
                <w:sz w:val="10"/>
              </w:rPr>
            </w:pPr>
            <w:r>
              <w:rPr>
                <w:w w:val="105"/>
                <w:sz w:val="10"/>
              </w:rPr>
              <w:t>Before &amp; after intervention (12 weeks).</w:t>
            </w:r>
          </w:p>
        </w:tc>
        <w:tc>
          <w:tcPr>
            <w:tcW w:w="1220" w:type="dxa"/>
            <w:tcBorders>
              <w:top w:val="single" w:sz="2" w:space="0" w:color="000000"/>
              <w:left w:val="single" w:sz="2" w:space="0" w:color="000000"/>
              <w:bottom w:val="single" w:sz="2" w:space="0" w:color="000000"/>
            </w:tcBorders>
          </w:tcPr>
          <w:p w:rsidR="00B852E7" w:rsidRDefault="00B852E7" w:rsidP="00B852E7">
            <w:pPr>
              <w:pStyle w:val="TableParagraph"/>
              <w:ind w:left="0"/>
              <w:rPr>
                <w:sz w:val="10"/>
              </w:rPr>
            </w:pPr>
            <w:r>
              <w:rPr>
                <w:w w:val="105"/>
                <w:sz w:val="10"/>
              </w:rPr>
              <w:t>Intervention: 68 → 74.7.</w:t>
            </w:r>
          </w:p>
          <w:p w:rsidR="00B852E7" w:rsidRDefault="00B852E7" w:rsidP="00B852E7">
            <w:pPr>
              <w:pStyle w:val="TableParagraph"/>
              <w:spacing w:before="17"/>
              <w:ind w:left="0"/>
              <w:rPr>
                <w:sz w:val="10"/>
              </w:rPr>
            </w:pPr>
            <w:r>
              <w:rPr>
                <w:w w:val="105"/>
                <w:sz w:val="10"/>
              </w:rPr>
              <w:t>Control: 68.2 → 68.0. P= 0.006</w:t>
            </w:r>
          </w:p>
        </w:tc>
      </w:tr>
      <w:tr w:rsidR="00B852E7" w:rsidRPr="00C65587" w:rsidTr="00B852E7">
        <w:trPr>
          <w:trHeight w:val="1028"/>
        </w:trPr>
        <w:tc>
          <w:tcPr>
            <w:tcW w:w="887" w:type="dxa"/>
            <w:tcBorders>
              <w:top w:val="single" w:sz="2" w:space="0" w:color="000000"/>
              <w:bottom w:val="single" w:sz="2" w:space="0" w:color="000000"/>
              <w:right w:val="single" w:sz="2" w:space="0" w:color="000000"/>
            </w:tcBorders>
          </w:tcPr>
          <w:p w:rsidR="00B852E7" w:rsidRPr="0091233F" w:rsidRDefault="00B852E7" w:rsidP="00B852E7">
            <w:pPr>
              <w:pStyle w:val="TableParagraph"/>
              <w:spacing w:line="276" w:lineRule="auto"/>
              <w:ind w:left="0" w:right="28"/>
              <w:rPr>
                <w:sz w:val="10"/>
                <w:lang w:val="nb-NO"/>
              </w:rPr>
            </w:pPr>
            <w:r w:rsidRPr="0091233F">
              <w:rPr>
                <w:w w:val="105"/>
                <w:sz w:val="10"/>
                <w:lang w:val="nb-NO"/>
              </w:rPr>
              <w:t>Valtonen, M, Raiskila, T, Veijola, J, Laksy, K, Kauhanen, M-L, Kiuttu, J, Joukamaa, M, Hintsa, T, Tuulio-Henriksson, A.</w:t>
            </w:r>
          </w:p>
        </w:tc>
        <w:tc>
          <w:tcPr>
            <w:tcW w:w="24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2015</w:t>
            </w:r>
          </w:p>
        </w:tc>
        <w:tc>
          <w:tcPr>
            <w:tcW w:w="47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Finland</w:t>
            </w:r>
          </w:p>
        </w:tc>
        <w:tc>
          <w:tcPr>
            <w:tcW w:w="1101"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Pr>
                <w:sz w:val="10"/>
              </w:rPr>
            </w:pPr>
            <w:r>
              <w:rPr>
                <w:w w:val="105"/>
                <w:sz w:val="10"/>
              </w:rPr>
              <w:t>Enhancing sense of coherence via early intervention among depressed occupational health care clients.</w:t>
            </w:r>
          </w:p>
        </w:tc>
        <w:tc>
          <w:tcPr>
            <w:tcW w:w="45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RCT</w:t>
            </w:r>
          </w:p>
        </w:tc>
        <w:tc>
          <w:tcPr>
            <w:tcW w:w="1060"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Pr>
                <w:sz w:val="10"/>
              </w:rPr>
            </w:pPr>
            <w:r>
              <w:rPr>
                <w:w w:val="105"/>
                <w:sz w:val="10"/>
              </w:rPr>
              <w:t>Employees with depressive disorders (18-64 years of age). Intervention: (n=134) Control (n=100) .</w:t>
            </w:r>
          </w:p>
        </w:tc>
        <w:tc>
          <w:tcPr>
            <w:tcW w:w="195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
              <w:rPr>
                <w:sz w:val="10"/>
              </w:rPr>
            </w:pPr>
            <w:r>
              <w:rPr>
                <w:w w:val="105"/>
                <w:sz w:val="10"/>
              </w:rPr>
              <w:t>The intervention consisted of four courses, the first two to understand the depression symptoms, and the third and fourth were focused on rehabilitation. It lasted for 6 months and included 31 active days. It aimed at increasing the self- knowledge of depressive symptoms teach more effective coping with stressors and provide peer and social support. Control: Treatment as usual</w:t>
            </w:r>
          </w:p>
        </w:tc>
        <w:tc>
          <w:tcPr>
            <w:tcW w:w="19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50"/>
              <w:rPr>
                <w:sz w:val="10"/>
              </w:rPr>
            </w:pPr>
            <w:r>
              <w:rPr>
                <w:w w:val="105"/>
                <w:sz w:val="10"/>
              </w:rPr>
              <w:t>The psychosocial group working methods were based on an eclectic practice including both cognitive behavioural and psychodynamic principles. A psychophysical physiotherapeutic approach to rehabilitation emphasizing the interaction between body and mind was adopted. The program consisted of: peer and social support, working on individual tasks, coping and physical activities.</w:t>
            </w:r>
          </w:p>
        </w:tc>
        <w:tc>
          <w:tcPr>
            <w:tcW w:w="58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ind w:left="0"/>
              <w:rPr>
                <w:b/>
                <w:sz w:val="10"/>
              </w:rPr>
            </w:pPr>
            <w:r>
              <w:rPr>
                <w:b/>
                <w:w w:val="105"/>
                <w:sz w:val="10"/>
              </w:rPr>
              <w:t>A, L, SRRs</w:t>
            </w:r>
          </w:p>
        </w:tc>
        <w:tc>
          <w:tcPr>
            <w:tcW w:w="55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SOC-13</w:t>
            </w:r>
          </w:p>
          <w:p w:rsidR="00B852E7" w:rsidRDefault="00B852E7" w:rsidP="00B852E7">
            <w:pPr>
              <w:pStyle w:val="TableParagraph"/>
              <w:spacing w:before="17" w:line="276" w:lineRule="auto"/>
              <w:ind w:left="0" w:right="348"/>
              <w:rPr>
                <w:sz w:val="10"/>
              </w:rPr>
            </w:pPr>
            <w:r>
              <w:rPr>
                <w:w w:val="105"/>
                <w:sz w:val="10"/>
              </w:rPr>
              <w:t xml:space="preserve">Primary </w:t>
            </w:r>
            <w:r>
              <w:rPr>
                <w:spacing w:val="-1"/>
                <w:w w:val="105"/>
                <w:sz w:val="10"/>
              </w:rPr>
              <w:t>outcome</w:t>
            </w:r>
          </w:p>
        </w:tc>
        <w:tc>
          <w:tcPr>
            <w:tcW w:w="649"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91"/>
              <w:rPr>
                <w:sz w:val="10"/>
              </w:rPr>
            </w:pPr>
            <w:r>
              <w:rPr>
                <w:w w:val="105"/>
                <w:sz w:val="10"/>
              </w:rPr>
              <w:t>Before &amp; after intervention</w:t>
            </w:r>
            <w:r>
              <w:rPr>
                <w:spacing w:val="19"/>
                <w:w w:val="105"/>
                <w:sz w:val="10"/>
              </w:rPr>
              <w:t xml:space="preserve"> </w:t>
            </w:r>
            <w:r>
              <w:rPr>
                <w:w w:val="105"/>
                <w:sz w:val="10"/>
              </w:rPr>
              <w:t>(6</w:t>
            </w:r>
          </w:p>
          <w:p w:rsidR="00B852E7" w:rsidRDefault="00B852E7" w:rsidP="00B852E7">
            <w:pPr>
              <w:pStyle w:val="TableParagraph"/>
              <w:spacing w:before="0" w:line="276" w:lineRule="auto"/>
              <w:ind w:left="0" w:right="199"/>
              <w:rPr>
                <w:sz w:val="10"/>
              </w:rPr>
            </w:pPr>
            <w:r>
              <w:rPr>
                <w:w w:val="105"/>
                <w:sz w:val="10"/>
              </w:rPr>
              <w:t>months) and 1 year</w:t>
            </w:r>
            <w:r>
              <w:rPr>
                <w:spacing w:val="-6"/>
                <w:w w:val="105"/>
                <w:sz w:val="10"/>
              </w:rPr>
              <w:t xml:space="preserve"> </w:t>
            </w:r>
            <w:r>
              <w:rPr>
                <w:w w:val="105"/>
                <w:sz w:val="10"/>
              </w:rPr>
              <w:t>follow-up.</w:t>
            </w:r>
          </w:p>
        </w:tc>
        <w:tc>
          <w:tcPr>
            <w:tcW w:w="1220" w:type="dxa"/>
            <w:tcBorders>
              <w:top w:val="single" w:sz="2" w:space="0" w:color="000000"/>
              <w:left w:val="single" w:sz="2" w:space="0" w:color="000000"/>
              <w:bottom w:val="single" w:sz="2" w:space="0" w:color="000000"/>
            </w:tcBorders>
          </w:tcPr>
          <w:p w:rsidR="00B852E7" w:rsidRDefault="00B852E7" w:rsidP="00B852E7">
            <w:pPr>
              <w:pStyle w:val="TableParagraph"/>
              <w:spacing w:line="276" w:lineRule="auto"/>
              <w:ind w:left="0" w:right="22"/>
              <w:rPr>
                <w:sz w:val="10"/>
              </w:rPr>
            </w:pPr>
            <w:r>
              <w:rPr>
                <w:w w:val="105"/>
                <w:sz w:val="10"/>
              </w:rPr>
              <w:t>Increase in the mean SOC score was statistically significant both in the rehabilitation group (54.91 → 62.85, P &lt; 0.001) and in the control group (55.29 → 61.64, P &lt; 0.001).</w:t>
            </w:r>
          </w:p>
          <w:p w:rsidR="00B852E7" w:rsidRDefault="00B852E7" w:rsidP="00B852E7">
            <w:pPr>
              <w:pStyle w:val="TableParagraph"/>
              <w:spacing w:before="0" w:line="276" w:lineRule="auto"/>
              <w:ind w:left="0" w:right="42"/>
              <w:rPr>
                <w:sz w:val="10"/>
              </w:rPr>
            </w:pPr>
            <w:r>
              <w:rPr>
                <w:w w:val="105"/>
                <w:sz w:val="10"/>
              </w:rPr>
              <w:t>There was no significant difference between the groups at one year follow-up.</w:t>
            </w:r>
          </w:p>
        </w:tc>
      </w:tr>
      <w:tr w:rsidR="00B852E7" w:rsidRPr="00E34525" w:rsidTr="00B852E7">
        <w:trPr>
          <w:trHeight w:val="1029"/>
        </w:trPr>
        <w:tc>
          <w:tcPr>
            <w:tcW w:w="887" w:type="dxa"/>
            <w:tcBorders>
              <w:top w:val="single" w:sz="2" w:space="0" w:color="000000"/>
              <w:bottom w:val="single" w:sz="2" w:space="0" w:color="000000"/>
              <w:right w:val="single" w:sz="2" w:space="0" w:color="000000"/>
            </w:tcBorders>
          </w:tcPr>
          <w:p w:rsidR="00B852E7" w:rsidRPr="0091233F" w:rsidRDefault="00B852E7" w:rsidP="00B852E7">
            <w:pPr>
              <w:pStyle w:val="TableParagraph"/>
              <w:spacing w:line="276" w:lineRule="auto"/>
              <w:ind w:left="0" w:right="49"/>
              <w:rPr>
                <w:sz w:val="10"/>
                <w:lang w:val="nn-NO"/>
              </w:rPr>
            </w:pPr>
            <w:r w:rsidRPr="0091233F">
              <w:rPr>
                <w:w w:val="105"/>
                <w:sz w:val="10"/>
                <w:lang w:val="nn-NO"/>
              </w:rPr>
              <w:t>Vastamäki, J, Moser, K, Paul, KI.</w:t>
            </w:r>
          </w:p>
        </w:tc>
        <w:tc>
          <w:tcPr>
            <w:tcW w:w="247"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2009</w:t>
            </w:r>
          </w:p>
        </w:tc>
        <w:tc>
          <w:tcPr>
            <w:tcW w:w="47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Finland</w:t>
            </w:r>
          </w:p>
        </w:tc>
        <w:tc>
          <w:tcPr>
            <w:tcW w:w="1101"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29"/>
              <w:rPr>
                <w:sz w:val="10"/>
              </w:rPr>
            </w:pPr>
            <w:r>
              <w:rPr>
                <w:w w:val="105"/>
                <w:sz w:val="10"/>
              </w:rPr>
              <w:t>How stable is sense of coherence? Changes following an intervention for unemployed individuals.</w:t>
            </w:r>
          </w:p>
        </w:tc>
        <w:tc>
          <w:tcPr>
            <w:tcW w:w="455"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Follow-up</w:t>
            </w:r>
          </w:p>
        </w:tc>
        <w:tc>
          <w:tcPr>
            <w:tcW w:w="1060"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24"/>
              <w:rPr>
                <w:sz w:val="10"/>
              </w:rPr>
            </w:pPr>
            <w:r>
              <w:rPr>
                <w:w w:val="105"/>
                <w:sz w:val="10"/>
              </w:rPr>
              <w:t>Unemployed individuals, no vocational education, blue collar workers, (18-57 years of age), mean=35.46, (SD=11.86) (N=74)</w:t>
            </w:r>
          </w:p>
        </w:tc>
        <w:tc>
          <w:tcPr>
            <w:tcW w:w="195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23"/>
              <w:rPr>
                <w:sz w:val="10"/>
              </w:rPr>
            </w:pPr>
            <w:r>
              <w:rPr>
                <w:w w:val="105"/>
                <w:sz w:val="10"/>
              </w:rPr>
              <w:t>It consisted of a 6-months intervention program that provided support in the job-search process and personal life situations. The program combined three kinds of activities: labour market activities (i.e., vocational training and subsidized employment), personal guidance, and networking with other organizations providing support for the unemployed.</w:t>
            </w:r>
          </w:p>
        </w:tc>
        <w:tc>
          <w:tcPr>
            <w:tcW w:w="192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13"/>
              <w:rPr>
                <w:sz w:val="10"/>
              </w:rPr>
            </w:pPr>
            <w:r>
              <w:rPr>
                <w:w w:val="105"/>
                <w:sz w:val="10"/>
              </w:rPr>
              <w:t>Through networking, health care services and financial support could also be provided. All participants took part in group counselling, which lasted two months. Participants’ job-searching skills, activity and coping skills were emphasized and they were stimulated to boost the job- search process and to make the process less stressful.</w:t>
            </w:r>
          </w:p>
        </w:tc>
        <w:tc>
          <w:tcPr>
            <w:tcW w:w="584"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before="15"/>
              <w:ind w:left="0"/>
              <w:rPr>
                <w:b/>
                <w:sz w:val="10"/>
              </w:rPr>
            </w:pPr>
            <w:r>
              <w:rPr>
                <w:b/>
                <w:w w:val="105"/>
                <w:sz w:val="10"/>
              </w:rPr>
              <w:t xml:space="preserve">A, L. SRRs, WPA, </w:t>
            </w:r>
          </w:p>
        </w:tc>
        <w:tc>
          <w:tcPr>
            <w:tcW w:w="558"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ind w:left="0"/>
              <w:rPr>
                <w:sz w:val="10"/>
              </w:rPr>
            </w:pPr>
            <w:r>
              <w:rPr>
                <w:w w:val="105"/>
                <w:sz w:val="10"/>
              </w:rPr>
              <w:t>SOC-13</w:t>
            </w:r>
          </w:p>
          <w:p w:rsidR="00B852E7" w:rsidRDefault="00B852E7" w:rsidP="00B852E7">
            <w:pPr>
              <w:pStyle w:val="TableParagraph"/>
              <w:spacing w:before="17" w:line="276" w:lineRule="auto"/>
              <w:ind w:left="0" w:right="348"/>
              <w:rPr>
                <w:sz w:val="10"/>
              </w:rPr>
            </w:pPr>
            <w:r>
              <w:rPr>
                <w:w w:val="105"/>
                <w:sz w:val="10"/>
              </w:rPr>
              <w:t xml:space="preserve">Primary </w:t>
            </w:r>
            <w:r>
              <w:rPr>
                <w:spacing w:val="-1"/>
                <w:w w:val="105"/>
                <w:sz w:val="10"/>
              </w:rPr>
              <w:t>outcome</w:t>
            </w:r>
          </w:p>
        </w:tc>
        <w:tc>
          <w:tcPr>
            <w:tcW w:w="649" w:type="dxa"/>
            <w:tcBorders>
              <w:top w:val="single" w:sz="2" w:space="0" w:color="000000"/>
              <w:left w:val="single" w:sz="2" w:space="0" w:color="000000"/>
              <w:bottom w:val="single" w:sz="2" w:space="0" w:color="000000"/>
              <w:right w:val="single" w:sz="2" w:space="0" w:color="000000"/>
            </w:tcBorders>
          </w:tcPr>
          <w:p w:rsidR="00B852E7" w:rsidRDefault="00B852E7" w:rsidP="00B852E7">
            <w:pPr>
              <w:pStyle w:val="TableParagraph"/>
              <w:spacing w:line="276" w:lineRule="auto"/>
              <w:ind w:left="0" w:right="228"/>
              <w:jc w:val="both"/>
              <w:rPr>
                <w:sz w:val="10"/>
              </w:rPr>
            </w:pPr>
            <w:r>
              <w:rPr>
                <w:w w:val="105"/>
                <w:sz w:val="10"/>
              </w:rPr>
              <w:t>Before &amp; after intervention (6 months).</w:t>
            </w:r>
          </w:p>
        </w:tc>
        <w:tc>
          <w:tcPr>
            <w:tcW w:w="1220" w:type="dxa"/>
            <w:tcBorders>
              <w:top w:val="single" w:sz="2" w:space="0" w:color="000000"/>
              <w:left w:val="single" w:sz="2" w:space="0" w:color="000000"/>
              <w:bottom w:val="single" w:sz="2" w:space="0" w:color="000000"/>
            </w:tcBorders>
          </w:tcPr>
          <w:p w:rsidR="00B852E7" w:rsidRDefault="00B852E7" w:rsidP="00B852E7">
            <w:pPr>
              <w:pStyle w:val="TableParagraph"/>
              <w:ind w:left="0"/>
              <w:rPr>
                <w:sz w:val="10"/>
              </w:rPr>
            </w:pPr>
            <w:r>
              <w:rPr>
                <w:w w:val="105"/>
                <w:sz w:val="10"/>
              </w:rPr>
              <w:t>62.36 → 66.19, (p&lt; 0.01).</w:t>
            </w:r>
          </w:p>
        </w:tc>
      </w:tr>
      <w:tr w:rsidR="00B852E7" w:rsidRPr="00C65587" w:rsidTr="00B852E7">
        <w:trPr>
          <w:trHeight w:val="768"/>
        </w:trPr>
        <w:tc>
          <w:tcPr>
            <w:tcW w:w="887" w:type="dxa"/>
            <w:tcBorders>
              <w:top w:val="single" w:sz="2" w:space="0" w:color="000000"/>
              <w:right w:val="single" w:sz="2" w:space="0" w:color="000000"/>
            </w:tcBorders>
          </w:tcPr>
          <w:p w:rsidR="00B852E7" w:rsidRPr="0091233F" w:rsidRDefault="00B852E7" w:rsidP="00B852E7">
            <w:pPr>
              <w:pStyle w:val="TableParagraph"/>
              <w:spacing w:line="276" w:lineRule="auto"/>
              <w:ind w:left="0" w:right="166"/>
              <w:rPr>
                <w:sz w:val="10"/>
                <w:lang w:val="nb-NO"/>
              </w:rPr>
            </w:pPr>
            <w:r w:rsidRPr="00C80189">
              <w:rPr>
                <w:w w:val="105"/>
                <w:sz w:val="10"/>
                <w:lang w:val="nb-NO"/>
              </w:rPr>
              <w:lastRenderedPageBreak/>
              <w:t xml:space="preserve">Viding CG, Osika W, Theorell T, </w:t>
            </w:r>
            <w:r w:rsidRPr="0091233F">
              <w:rPr>
                <w:w w:val="105"/>
                <w:sz w:val="10"/>
                <w:lang w:val="nb-NO"/>
              </w:rPr>
              <w:t>Kowalski J, Hallqvist J, Horwitz EB</w:t>
            </w:r>
          </w:p>
        </w:tc>
        <w:tc>
          <w:tcPr>
            <w:tcW w:w="247" w:type="dxa"/>
            <w:tcBorders>
              <w:top w:val="single" w:sz="2" w:space="0" w:color="000000"/>
              <w:left w:val="single" w:sz="2" w:space="0" w:color="000000"/>
              <w:right w:val="single" w:sz="2" w:space="0" w:color="000000"/>
            </w:tcBorders>
          </w:tcPr>
          <w:p w:rsidR="00B852E7" w:rsidRDefault="00B852E7" w:rsidP="00B852E7">
            <w:pPr>
              <w:pStyle w:val="TableParagraph"/>
              <w:ind w:left="0"/>
              <w:rPr>
                <w:sz w:val="10"/>
              </w:rPr>
            </w:pPr>
            <w:r>
              <w:rPr>
                <w:w w:val="105"/>
                <w:sz w:val="10"/>
              </w:rPr>
              <w:t>2015</w:t>
            </w:r>
          </w:p>
        </w:tc>
        <w:tc>
          <w:tcPr>
            <w:tcW w:w="474" w:type="dxa"/>
            <w:tcBorders>
              <w:top w:val="single" w:sz="2" w:space="0" w:color="000000"/>
              <w:left w:val="single" w:sz="2" w:space="0" w:color="000000"/>
              <w:right w:val="single" w:sz="2" w:space="0" w:color="000000"/>
            </w:tcBorders>
          </w:tcPr>
          <w:p w:rsidR="00B852E7" w:rsidRDefault="00B852E7" w:rsidP="00B852E7">
            <w:pPr>
              <w:pStyle w:val="TableParagraph"/>
              <w:ind w:left="0"/>
              <w:rPr>
                <w:sz w:val="10"/>
              </w:rPr>
            </w:pPr>
            <w:r>
              <w:rPr>
                <w:w w:val="105"/>
                <w:sz w:val="10"/>
              </w:rPr>
              <w:t>Sweden</w:t>
            </w:r>
          </w:p>
        </w:tc>
        <w:tc>
          <w:tcPr>
            <w:tcW w:w="1101" w:type="dxa"/>
            <w:tcBorders>
              <w:top w:val="single" w:sz="2" w:space="0" w:color="000000"/>
              <w:left w:val="single" w:sz="2" w:space="0" w:color="000000"/>
              <w:right w:val="single" w:sz="2" w:space="0" w:color="000000"/>
            </w:tcBorders>
          </w:tcPr>
          <w:p w:rsidR="00B852E7" w:rsidRDefault="00B852E7" w:rsidP="00B852E7">
            <w:pPr>
              <w:pStyle w:val="TableParagraph"/>
              <w:spacing w:line="276" w:lineRule="auto"/>
              <w:ind w:left="0" w:right="129"/>
              <w:rPr>
                <w:sz w:val="10"/>
              </w:rPr>
            </w:pPr>
            <w:r>
              <w:rPr>
                <w:w w:val="105"/>
                <w:sz w:val="10"/>
              </w:rPr>
              <w:t>“The culture palette”- A randomized intervention study for women with burnout symptoms in Sweden</w:t>
            </w:r>
          </w:p>
        </w:tc>
        <w:tc>
          <w:tcPr>
            <w:tcW w:w="455" w:type="dxa"/>
            <w:tcBorders>
              <w:top w:val="single" w:sz="2" w:space="0" w:color="000000"/>
              <w:left w:val="single" w:sz="2" w:space="0" w:color="000000"/>
              <w:right w:val="single" w:sz="2" w:space="0" w:color="000000"/>
            </w:tcBorders>
          </w:tcPr>
          <w:p w:rsidR="00B852E7" w:rsidRDefault="00B852E7" w:rsidP="00B852E7">
            <w:pPr>
              <w:pStyle w:val="TableParagraph"/>
              <w:ind w:left="0"/>
              <w:rPr>
                <w:sz w:val="10"/>
              </w:rPr>
            </w:pPr>
            <w:r>
              <w:rPr>
                <w:w w:val="105"/>
                <w:sz w:val="10"/>
              </w:rPr>
              <w:t>RCT</w:t>
            </w:r>
          </w:p>
        </w:tc>
        <w:tc>
          <w:tcPr>
            <w:tcW w:w="1060" w:type="dxa"/>
            <w:tcBorders>
              <w:top w:val="single" w:sz="2" w:space="0" w:color="000000"/>
              <w:left w:val="single" w:sz="2" w:space="0" w:color="000000"/>
              <w:right w:val="single" w:sz="2" w:space="0" w:color="000000"/>
            </w:tcBorders>
          </w:tcPr>
          <w:p w:rsidR="00B852E7" w:rsidRDefault="00B852E7" w:rsidP="00B852E7">
            <w:pPr>
              <w:pStyle w:val="TableParagraph"/>
              <w:spacing w:line="276" w:lineRule="auto"/>
              <w:ind w:left="0" w:right="36"/>
              <w:rPr>
                <w:sz w:val="10"/>
              </w:rPr>
            </w:pPr>
            <w:r>
              <w:rPr>
                <w:w w:val="105"/>
                <w:sz w:val="10"/>
              </w:rPr>
              <w:t>Women with burnout symptoms, (48-70 years of age) (mean age 53.8, SD=8.15). Intervention (n= 36). Control (n=12).</w:t>
            </w:r>
          </w:p>
        </w:tc>
        <w:tc>
          <w:tcPr>
            <w:tcW w:w="1954" w:type="dxa"/>
            <w:tcBorders>
              <w:top w:val="single" w:sz="2" w:space="0" w:color="000000"/>
              <w:left w:val="single" w:sz="2" w:space="0" w:color="000000"/>
              <w:right w:val="single" w:sz="2" w:space="0" w:color="000000"/>
            </w:tcBorders>
          </w:tcPr>
          <w:p w:rsidR="00B852E7" w:rsidRDefault="00B852E7" w:rsidP="00B852E7">
            <w:pPr>
              <w:pStyle w:val="TableParagraph"/>
              <w:spacing w:line="276" w:lineRule="auto"/>
              <w:ind w:left="0" w:right="-11"/>
              <w:rPr>
                <w:sz w:val="10"/>
              </w:rPr>
            </w:pPr>
            <w:r>
              <w:rPr>
                <w:w w:val="105"/>
                <w:sz w:val="10"/>
              </w:rPr>
              <w:t>Intervention: Culture Palette” comprised of six different cultural activity packages. The activity packages were offered once a week over a period of three months and standard care. Control group: Standard care: physiotherapy such as relaxation and light physical activity</w:t>
            </w:r>
          </w:p>
        </w:tc>
        <w:tc>
          <w:tcPr>
            <w:tcW w:w="1928" w:type="dxa"/>
            <w:tcBorders>
              <w:top w:val="single" w:sz="2" w:space="0" w:color="000000"/>
              <w:left w:val="single" w:sz="2" w:space="0" w:color="000000"/>
              <w:right w:val="single" w:sz="2" w:space="0" w:color="000000"/>
            </w:tcBorders>
          </w:tcPr>
          <w:p w:rsidR="00B852E7" w:rsidRDefault="00B852E7" w:rsidP="00B852E7">
            <w:pPr>
              <w:pStyle w:val="TableParagraph"/>
              <w:spacing w:line="276" w:lineRule="auto"/>
              <w:ind w:left="0" w:right="161"/>
              <w:rPr>
                <w:sz w:val="10"/>
              </w:rPr>
            </w:pPr>
            <w:r>
              <w:rPr>
                <w:w w:val="105"/>
                <w:sz w:val="10"/>
              </w:rPr>
              <w:t>Culture Palette: Interactive theatre, movie, vocal improvisation and drawing, dance, mindfulness training and musical show</w:t>
            </w:r>
          </w:p>
        </w:tc>
        <w:tc>
          <w:tcPr>
            <w:tcW w:w="584" w:type="dxa"/>
            <w:tcBorders>
              <w:top w:val="single" w:sz="2" w:space="0" w:color="000000"/>
              <w:left w:val="single" w:sz="2" w:space="0" w:color="000000"/>
              <w:right w:val="single" w:sz="2" w:space="0" w:color="000000"/>
            </w:tcBorders>
          </w:tcPr>
          <w:p w:rsidR="00B852E7" w:rsidRDefault="00B852E7" w:rsidP="00B852E7">
            <w:pPr>
              <w:pStyle w:val="TableParagraph"/>
              <w:spacing w:before="15"/>
              <w:ind w:left="0"/>
              <w:rPr>
                <w:b/>
                <w:sz w:val="10"/>
              </w:rPr>
            </w:pPr>
            <w:r>
              <w:rPr>
                <w:b/>
                <w:w w:val="105"/>
                <w:sz w:val="10"/>
              </w:rPr>
              <w:t>A, L, GRRs, SRRs</w:t>
            </w:r>
          </w:p>
        </w:tc>
        <w:tc>
          <w:tcPr>
            <w:tcW w:w="558" w:type="dxa"/>
            <w:tcBorders>
              <w:top w:val="single" w:sz="2" w:space="0" w:color="000000"/>
              <w:left w:val="single" w:sz="2" w:space="0" w:color="000000"/>
              <w:right w:val="single" w:sz="2" w:space="0" w:color="000000"/>
            </w:tcBorders>
          </w:tcPr>
          <w:p w:rsidR="00B852E7" w:rsidRDefault="00B852E7" w:rsidP="00B852E7">
            <w:pPr>
              <w:pStyle w:val="TableParagraph"/>
              <w:ind w:left="0"/>
              <w:rPr>
                <w:sz w:val="10"/>
              </w:rPr>
            </w:pPr>
            <w:r>
              <w:rPr>
                <w:w w:val="105"/>
                <w:sz w:val="10"/>
              </w:rPr>
              <w:t>SOC-29</w:t>
            </w:r>
          </w:p>
          <w:p w:rsidR="00B852E7" w:rsidRDefault="00B852E7" w:rsidP="00B852E7">
            <w:pPr>
              <w:pStyle w:val="TableParagraph"/>
              <w:spacing w:before="17" w:line="276" w:lineRule="auto"/>
              <w:ind w:left="0" w:right="242"/>
              <w:rPr>
                <w:sz w:val="10"/>
              </w:rPr>
            </w:pPr>
            <w:r>
              <w:rPr>
                <w:w w:val="105"/>
                <w:sz w:val="10"/>
              </w:rPr>
              <w:t>Secondary outcome.</w:t>
            </w:r>
          </w:p>
        </w:tc>
        <w:tc>
          <w:tcPr>
            <w:tcW w:w="649" w:type="dxa"/>
            <w:tcBorders>
              <w:top w:val="single" w:sz="2" w:space="0" w:color="000000"/>
              <w:left w:val="single" w:sz="2" w:space="0" w:color="000000"/>
              <w:right w:val="single" w:sz="2" w:space="0" w:color="000000"/>
            </w:tcBorders>
          </w:tcPr>
          <w:p w:rsidR="00B852E7" w:rsidRDefault="00B852E7" w:rsidP="00B852E7">
            <w:pPr>
              <w:pStyle w:val="TableParagraph"/>
              <w:spacing w:line="276" w:lineRule="auto"/>
              <w:ind w:left="0" w:right="228"/>
              <w:jc w:val="both"/>
              <w:rPr>
                <w:sz w:val="10"/>
              </w:rPr>
            </w:pPr>
            <w:r>
              <w:rPr>
                <w:w w:val="105"/>
                <w:sz w:val="10"/>
              </w:rPr>
              <w:t>Before &amp; after intervention (3 months).</w:t>
            </w:r>
          </w:p>
        </w:tc>
        <w:tc>
          <w:tcPr>
            <w:tcW w:w="1220" w:type="dxa"/>
            <w:tcBorders>
              <w:top w:val="single" w:sz="2" w:space="0" w:color="000000"/>
              <w:left w:val="single" w:sz="2" w:space="0" w:color="000000"/>
            </w:tcBorders>
          </w:tcPr>
          <w:p w:rsidR="00B852E7" w:rsidRDefault="00B852E7" w:rsidP="00B852E7">
            <w:pPr>
              <w:pStyle w:val="TableParagraph"/>
              <w:spacing w:line="276" w:lineRule="auto"/>
              <w:ind w:left="0" w:right="4"/>
              <w:rPr>
                <w:sz w:val="10"/>
              </w:rPr>
            </w:pPr>
            <w:r>
              <w:rPr>
                <w:w w:val="105"/>
                <w:sz w:val="10"/>
              </w:rPr>
              <w:t>Intervention: (baseline, 3 and 6 months): 118.0→121.1→123.9. Control: 117.2→112.8→115.1 (No significant differences between groups)</w:t>
            </w:r>
          </w:p>
        </w:tc>
      </w:tr>
      <w:tr w:rsidR="00B852E7" w:rsidRPr="00C65587" w:rsidTr="00B852E7">
        <w:trPr>
          <w:trHeight w:val="140"/>
        </w:trPr>
        <w:tc>
          <w:tcPr>
            <w:tcW w:w="11120" w:type="dxa"/>
            <w:gridSpan w:val="12"/>
            <w:tcBorders>
              <w:bottom w:val="single" w:sz="2" w:space="0" w:color="000000"/>
            </w:tcBorders>
          </w:tcPr>
          <w:p w:rsidR="00B852E7" w:rsidRDefault="00B852E7" w:rsidP="00B852E7">
            <w:pPr>
              <w:pStyle w:val="TableParagraph"/>
              <w:spacing w:before="7" w:line="127" w:lineRule="exact"/>
              <w:ind w:left="0"/>
              <w:rPr>
                <w:rFonts w:ascii="Times New Roman"/>
                <w:sz w:val="12"/>
              </w:rPr>
            </w:pPr>
            <w:r>
              <w:rPr>
                <w:rFonts w:ascii="Times New Roman"/>
                <w:w w:val="105"/>
                <w:sz w:val="12"/>
              </w:rPr>
              <w:t>* : Active adaptation (A), Learning (L),  General Resistance Resources (GRRs) and (Specific Resistance Resources (SRRs), Tension and stressors as potentially health promoting (ST), Whole Person Approach (WPA),</w:t>
            </w:r>
          </w:p>
        </w:tc>
      </w:tr>
      <w:tr w:rsidR="00B852E7" w:rsidRPr="00C65587" w:rsidTr="00B852E7">
        <w:trPr>
          <w:trHeight w:val="191"/>
        </w:trPr>
        <w:tc>
          <w:tcPr>
            <w:tcW w:w="11120" w:type="dxa"/>
            <w:gridSpan w:val="12"/>
            <w:tcBorders>
              <w:top w:val="single" w:sz="2" w:space="0" w:color="000000"/>
            </w:tcBorders>
          </w:tcPr>
          <w:p w:rsidR="00B852E7" w:rsidRDefault="00B852E7" w:rsidP="00B852E7">
            <w:pPr>
              <w:pStyle w:val="TableParagraph"/>
              <w:spacing w:before="71" w:line="118" w:lineRule="exact"/>
              <w:ind w:left="0"/>
              <w:rPr>
                <w:sz w:val="12"/>
              </w:rPr>
            </w:pPr>
            <w:r>
              <w:rPr>
                <w:w w:val="105"/>
                <w:sz w:val="12"/>
              </w:rPr>
              <w:t>**(ES=effect size, CI=Confidence Interval, p=p-value)</w:t>
            </w:r>
          </w:p>
        </w:tc>
      </w:tr>
      <w:bookmarkEnd w:id="0"/>
    </w:tbl>
    <w:p w:rsidR="00B852E7" w:rsidRPr="0091233F" w:rsidRDefault="00B852E7" w:rsidP="00B852E7">
      <w:pPr>
        <w:rPr>
          <w:lang w:val="en-US"/>
        </w:rPr>
      </w:pPr>
    </w:p>
    <w:p w:rsidR="008B4253" w:rsidRDefault="008B4253"/>
    <w:sectPr w:rsidR="008B42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krift2010">
    <w:altName w:val="Times New Roman"/>
    <w:panose1 w:val="00000000000000000000"/>
    <w:charset w:val="4D"/>
    <w:family w:val="auto"/>
    <w:notTrueType/>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F6"/>
    <w:multiLevelType w:val="multilevel"/>
    <w:tmpl w:val="0FCC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239E8"/>
    <w:multiLevelType w:val="hybridMultilevel"/>
    <w:tmpl w:val="086EE4F0"/>
    <w:lvl w:ilvl="0" w:tplc="72F0C6A0">
      <w:start w:val="1"/>
      <w:numFmt w:val="decimal"/>
      <w:lvlText w:val="%1."/>
      <w:lvlJc w:val="left"/>
      <w:pPr>
        <w:tabs>
          <w:tab w:val="num" w:pos="720"/>
        </w:tabs>
        <w:ind w:left="720" w:hanging="360"/>
      </w:pPr>
      <w:rPr>
        <w:rFonts w:cs="Times New Roman"/>
        <w:b w:val="0"/>
        <w:lang w:val="nb-NO"/>
      </w:rPr>
    </w:lvl>
    <w:lvl w:ilvl="1" w:tplc="04140019">
      <w:start w:val="1"/>
      <w:numFmt w:val="lowerLetter"/>
      <w:lvlText w:val="%2."/>
      <w:lvlJc w:val="left"/>
      <w:pPr>
        <w:tabs>
          <w:tab w:val="num" w:pos="1440"/>
        </w:tabs>
        <w:ind w:left="1440" w:hanging="360"/>
      </w:pPr>
      <w:rPr>
        <w:rFonts w:cs="Times New Roman"/>
      </w:rPr>
    </w:lvl>
    <w:lvl w:ilvl="2" w:tplc="0414001B" w:tentative="1">
      <w:start w:val="1"/>
      <w:numFmt w:val="lowerRoman"/>
      <w:lvlText w:val="%3."/>
      <w:lvlJc w:val="right"/>
      <w:pPr>
        <w:tabs>
          <w:tab w:val="num" w:pos="2160"/>
        </w:tabs>
        <w:ind w:left="2160" w:hanging="180"/>
      </w:pPr>
      <w:rPr>
        <w:rFonts w:cs="Times New Roman"/>
      </w:rPr>
    </w:lvl>
    <w:lvl w:ilvl="3" w:tplc="0414000F" w:tentative="1">
      <w:start w:val="1"/>
      <w:numFmt w:val="decimal"/>
      <w:lvlText w:val="%4."/>
      <w:lvlJc w:val="left"/>
      <w:pPr>
        <w:tabs>
          <w:tab w:val="num" w:pos="2880"/>
        </w:tabs>
        <w:ind w:left="2880" w:hanging="360"/>
      </w:pPr>
      <w:rPr>
        <w:rFonts w:cs="Times New Roman"/>
      </w:rPr>
    </w:lvl>
    <w:lvl w:ilvl="4" w:tplc="04140019" w:tentative="1">
      <w:start w:val="1"/>
      <w:numFmt w:val="lowerLetter"/>
      <w:lvlText w:val="%5."/>
      <w:lvlJc w:val="left"/>
      <w:pPr>
        <w:tabs>
          <w:tab w:val="num" w:pos="3600"/>
        </w:tabs>
        <w:ind w:left="3600" w:hanging="360"/>
      </w:pPr>
      <w:rPr>
        <w:rFonts w:cs="Times New Roman"/>
      </w:rPr>
    </w:lvl>
    <w:lvl w:ilvl="5" w:tplc="0414001B" w:tentative="1">
      <w:start w:val="1"/>
      <w:numFmt w:val="lowerRoman"/>
      <w:lvlText w:val="%6."/>
      <w:lvlJc w:val="right"/>
      <w:pPr>
        <w:tabs>
          <w:tab w:val="num" w:pos="4320"/>
        </w:tabs>
        <w:ind w:left="4320" w:hanging="180"/>
      </w:pPr>
      <w:rPr>
        <w:rFonts w:cs="Times New Roman"/>
      </w:rPr>
    </w:lvl>
    <w:lvl w:ilvl="6" w:tplc="0414000F" w:tentative="1">
      <w:start w:val="1"/>
      <w:numFmt w:val="decimal"/>
      <w:lvlText w:val="%7."/>
      <w:lvlJc w:val="left"/>
      <w:pPr>
        <w:tabs>
          <w:tab w:val="num" w:pos="5040"/>
        </w:tabs>
        <w:ind w:left="5040" w:hanging="360"/>
      </w:pPr>
      <w:rPr>
        <w:rFonts w:cs="Times New Roman"/>
      </w:rPr>
    </w:lvl>
    <w:lvl w:ilvl="7" w:tplc="04140019" w:tentative="1">
      <w:start w:val="1"/>
      <w:numFmt w:val="lowerLetter"/>
      <w:lvlText w:val="%8."/>
      <w:lvlJc w:val="left"/>
      <w:pPr>
        <w:tabs>
          <w:tab w:val="num" w:pos="5760"/>
        </w:tabs>
        <w:ind w:left="5760" w:hanging="360"/>
      </w:pPr>
      <w:rPr>
        <w:rFonts w:cs="Times New Roman"/>
      </w:rPr>
    </w:lvl>
    <w:lvl w:ilvl="8" w:tplc="0414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72038BC"/>
    <w:multiLevelType w:val="hybridMultilevel"/>
    <w:tmpl w:val="3118F58A"/>
    <w:lvl w:ilvl="0" w:tplc="D9BCC4B0">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62E338F"/>
    <w:multiLevelType w:val="hybridMultilevel"/>
    <w:tmpl w:val="4418D8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66D2452"/>
    <w:multiLevelType w:val="hybridMultilevel"/>
    <w:tmpl w:val="B7E20022"/>
    <w:lvl w:ilvl="0" w:tplc="08070011">
      <w:start w:val="1"/>
      <w:numFmt w:val="decimal"/>
      <w:lvlText w:val="%1)"/>
      <w:lvlJc w:val="left"/>
      <w:pPr>
        <w:ind w:left="720" w:hanging="360"/>
      </w:pPr>
      <w:rPr>
        <w:rFonts w:hint="default"/>
        <w:b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7A41A02"/>
    <w:multiLevelType w:val="hybridMultilevel"/>
    <w:tmpl w:val="838AC8CC"/>
    <w:lvl w:ilvl="0" w:tplc="36B08166">
      <w:start w:val="1"/>
      <w:numFmt w:val="decimal"/>
      <w:lvlText w:val="%1)"/>
      <w:lvlJc w:val="left"/>
      <w:pPr>
        <w:ind w:left="720" w:hanging="360"/>
      </w:pPr>
      <w:rPr>
        <w:rFonts w:ascii="Times New Roman" w:hAnsi="Times New Roman" w:cs="Times New Roman" w:hint="default"/>
        <w:sz w:val="24"/>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4DBA230D"/>
    <w:multiLevelType w:val="hybridMultilevel"/>
    <w:tmpl w:val="65C6D586"/>
    <w:lvl w:ilvl="0" w:tplc="A718F526">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535B2403"/>
    <w:multiLevelType w:val="hybridMultilevel"/>
    <w:tmpl w:val="0C66F7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174D39"/>
    <w:multiLevelType w:val="multilevel"/>
    <w:tmpl w:val="80CC9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9D6E89"/>
    <w:multiLevelType w:val="hybridMultilevel"/>
    <w:tmpl w:val="D48A5EC0"/>
    <w:lvl w:ilvl="0" w:tplc="36A49C62">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0E4665E"/>
    <w:multiLevelType w:val="hybridMultilevel"/>
    <w:tmpl w:val="A95E04EA"/>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8694B0D"/>
    <w:multiLevelType w:val="hybridMultilevel"/>
    <w:tmpl w:val="0A107DC4"/>
    <w:lvl w:ilvl="0" w:tplc="25F6A3FE">
      <w:start w:val="1"/>
      <w:numFmt w:val="bullet"/>
      <w:lvlText w:val="•"/>
      <w:lvlJc w:val="left"/>
      <w:pPr>
        <w:tabs>
          <w:tab w:val="num" w:pos="720"/>
        </w:tabs>
        <w:ind w:left="720" w:hanging="360"/>
      </w:pPr>
      <w:rPr>
        <w:rFonts w:ascii="Arial" w:hAnsi="Arial" w:hint="default"/>
      </w:rPr>
    </w:lvl>
    <w:lvl w:ilvl="1" w:tplc="FA24D9BA" w:tentative="1">
      <w:start w:val="1"/>
      <w:numFmt w:val="bullet"/>
      <w:lvlText w:val="•"/>
      <w:lvlJc w:val="left"/>
      <w:pPr>
        <w:tabs>
          <w:tab w:val="num" w:pos="1440"/>
        </w:tabs>
        <w:ind w:left="1440" w:hanging="360"/>
      </w:pPr>
      <w:rPr>
        <w:rFonts w:ascii="Arial" w:hAnsi="Arial" w:hint="default"/>
      </w:rPr>
    </w:lvl>
    <w:lvl w:ilvl="2" w:tplc="6950813C" w:tentative="1">
      <w:start w:val="1"/>
      <w:numFmt w:val="bullet"/>
      <w:lvlText w:val="•"/>
      <w:lvlJc w:val="left"/>
      <w:pPr>
        <w:tabs>
          <w:tab w:val="num" w:pos="2160"/>
        </w:tabs>
        <w:ind w:left="2160" w:hanging="360"/>
      </w:pPr>
      <w:rPr>
        <w:rFonts w:ascii="Arial" w:hAnsi="Arial" w:hint="default"/>
      </w:rPr>
    </w:lvl>
    <w:lvl w:ilvl="3" w:tplc="3B7C7B28" w:tentative="1">
      <w:start w:val="1"/>
      <w:numFmt w:val="bullet"/>
      <w:lvlText w:val="•"/>
      <w:lvlJc w:val="left"/>
      <w:pPr>
        <w:tabs>
          <w:tab w:val="num" w:pos="2880"/>
        </w:tabs>
        <w:ind w:left="2880" w:hanging="360"/>
      </w:pPr>
      <w:rPr>
        <w:rFonts w:ascii="Arial" w:hAnsi="Arial" w:hint="default"/>
      </w:rPr>
    </w:lvl>
    <w:lvl w:ilvl="4" w:tplc="39EEEEE4" w:tentative="1">
      <w:start w:val="1"/>
      <w:numFmt w:val="bullet"/>
      <w:lvlText w:val="•"/>
      <w:lvlJc w:val="left"/>
      <w:pPr>
        <w:tabs>
          <w:tab w:val="num" w:pos="3600"/>
        </w:tabs>
        <w:ind w:left="3600" w:hanging="360"/>
      </w:pPr>
      <w:rPr>
        <w:rFonts w:ascii="Arial" w:hAnsi="Arial" w:hint="default"/>
      </w:rPr>
    </w:lvl>
    <w:lvl w:ilvl="5" w:tplc="411C2752" w:tentative="1">
      <w:start w:val="1"/>
      <w:numFmt w:val="bullet"/>
      <w:lvlText w:val="•"/>
      <w:lvlJc w:val="left"/>
      <w:pPr>
        <w:tabs>
          <w:tab w:val="num" w:pos="4320"/>
        </w:tabs>
        <w:ind w:left="4320" w:hanging="360"/>
      </w:pPr>
      <w:rPr>
        <w:rFonts w:ascii="Arial" w:hAnsi="Arial" w:hint="default"/>
      </w:rPr>
    </w:lvl>
    <w:lvl w:ilvl="6" w:tplc="E2160DE8" w:tentative="1">
      <w:start w:val="1"/>
      <w:numFmt w:val="bullet"/>
      <w:lvlText w:val="•"/>
      <w:lvlJc w:val="left"/>
      <w:pPr>
        <w:tabs>
          <w:tab w:val="num" w:pos="5040"/>
        </w:tabs>
        <w:ind w:left="5040" w:hanging="360"/>
      </w:pPr>
      <w:rPr>
        <w:rFonts w:ascii="Arial" w:hAnsi="Arial" w:hint="default"/>
      </w:rPr>
    </w:lvl>
    <w:lvl w:ilvl="7" w:tplc="DB526842" w:tentative="1">
      <w:start w:val="1"/>
      <w:numFmt w:val="bullet"/>
      <w:lvlText w:val="•"/>
      <w:lvlJc w:val="left"/>
      <w:pPr>
        <w:tabs>
          <w:tab w:val="num" w:pos="5760"/>
        </w:tabs>
        <w:ind w:left="5760" w:hanging="360"/>
      </w:pPr>
      <w:rPr>
        <w:rFonts w:ascii="Arial" w:hAnsi="Arial" w:hint="default"/>
      </w:rPr>
    </w:lvl>
    <w:lvl w:ilvl="8" w:tplc="0D60937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9C21170"/>
    <w:multiLevelType w:val="hybridMultilevel"/>
    <w:tmpl w:val="211ED090"/>
    <w:lvl w:ilvl="0" w:tplc="36B08166">
      <w:start w:val="1"/>
      <w:numFmt w:val="decimal"/>
      <w:lvlText w:val="%1)"/>
      <w:lvlJc w:val="left"/>
      <w:pPr>
        <w:ind w:left="720" w:hanging="360"/>
      </w:pPr>
      <w:rPr>
        <w:rFonts w:ascii="Times New Roman" w:hAnsi="Times New Roman" w:cs="Times New Roman" w:hint="default"/>
        <w:sz w:val="24"/>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7C981FE3"/>
    <w:multiLevelType w:val="hybridMultilevel"/>
    <w:tmpl w:val="11509D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0"/>
  </w:num>
  <w:num w:numId="3">
    <w:abstractNumId w:val="6"/>
  </w:num>
  <w:num w:numId="4">
    <w:abstractNumId w:val="3"/>
  </w:num>
  <w:num w:numId="5">
    <w:abstractNumId w:val="10"/>
  </w:num>
  <w:num w:numId="6">
    <w:abstractNumId w:val="7"/>
  </w:num>
  <w:num w:numId="7">
    <w:abstractNumId w:val="9"/>
  </w:num>
  <w:num w:numId="8">
    <w:abstractNumId w:val="2"/>
  </w:num>
  <w:num w:numId="9">
    <w:abstractNumId w:val="4"/>
  </w:num>
  <w:num w:numId="10">
    <w:abstractNumId w:val="12"/>
  </w:num>
  <w:num w:numId="11">
    <w:abstractNumId w:val="5"/>
  </w:num>
  <w:num w:numId="12">
    <w:abstractNumId w:val="11"/>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2E7"/>
    <w:rsid w:val="008B4253"/>
    <w:rsid w:val="00B852E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36195-B4D4-466D-8D7C-B6369CA1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2E7"/>
    <w:rPr>
      <w:lang w:val="nb-NO"/>
    </w:rPr>
  </w:style>
  <w:style w:type="paragraph" w:styleId="Heading1">
    <w:name w:val="heading 1"/>
    <w:basedOn w:val="Normal"/>
    <w:next w:val="Normal"/>
    <w:link w:val="Heading1Char"/>
    <w:uiPriority w:val="9"/>
    <w:qFormat/>
    <w:rsid w:val="00B852E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852E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2E7"/>
    <w:rPr>
      <w:rFonts w:asciiTheme="majorHAnsi" w:eastAsiaTheme="majorEastAsia" w:hAnsiTheme="majorHAnsi" w:cstheme="majorBidi"/>
      <w:color w:val="2E74B5" w:themeColor="accent1" w:themeShade="BF"/>
      <w:sz w:val="32"/>
      <w:szCs w:val="32"/>
      <w:lang w:val="nb-NO"/>
    </w:rPr>
  </w:style>
  <w:style w:type="character" w:customStyle="1" w:styleId="Heading2Char">
    <w:name w:val="Heading 2 Char"/>
    <w:basedOn w:val="DefaultParagraphFont"/>
    <w:link w:val="Heading2"/>
    <w:uiPriority w:val="9"/>
    <w:rsid w:val="00B852E7"/>
    <w:rPr>
      <w:rFonts w:asciiTheme="majorHAnsi" w:eastAsiaTheme="majorEastAsia" w:hAnsiTheme="majorHAnsi" w:cstheme="majorBidi"/>
      <w:color w:val="2E74B5" w:themeColor="accent1" w:themeShade="BF"/>
      <w:sz w:val="26"/>
      <w:szCs w:val="26"/>
      <w:lang w:val="nb-NO"/>
    </w:rPr>
  </w:style>
  <w:style w:type="paragraph" w:styleId="Header">
    <w:name w:val="header"/>
    <w:basedOn w:val="Normal"/>
    <w:link w:val="HeaderChar"/>
    <w:uiPriority w:val="99"/>
    <w:unhideWhenUsed/>
    <w:rsid w:val="00B852E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852E7"/>
    <w:rPr>
      <w:lang w:val="nb-NO"/>
    </w:rPr>
  </w:style>
  <w:style w:type="paragraph" w:styleId="Footer">
    <w:name w:val="footer"/>
    <w:basedOn w:val="Normal"/>
    <w:link w:val="FooterChar"/>
    <w:uiPriority w:val="99"/>
    <w:unhideWhenUsed/>
    <w:rsid w:val="00B852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852E7"/>
    <w:rPr>
      <w:lang w:val="nb-NO"/>
    </w:rPr>
  </w:style>
  <w:style w:type="paragraph" w:customStyle="1" w:styleId="EndNoteBibliography">
    <w:name w:val="EndNote Bibliography"/>
    <w:basedOn w:val="Normal"/>
    <w:link w:val="EndNoteBibliographyTegn"/>
    <w:rsid w:val="00B852E7"/>
    <w:pPr>
      <w:spacing w:after="0" w:line="240" w:lineRule="auto"/>
      <w:jc w:val="both"/>
    </w:pPr>
    <w:rPr>
      <w:rFonts w:ascii="Calibri" w:hAnsi="Calibri" w:cs="Calibri"/>
      <w:noProof/>
      <w:lang w:val="en-US"/>
    </w:rPr>
  </w:style>
  <w:style w:type="character" w:customStyle="1" w:styleId="EndNoteBibliographyTegn">
    <w:name w:val="EndNote Bibliography Tegn"/>
    <w:basedOn w:val="DefaultParagraphFont"/>
    <w:link w:val="EndNoteBibliography"/>
    <w:rsid w:val="00B852E7"/>
    <w:rPr>
      <w:rFonts w:ascii="Calibri" w:hAnsi="Calibri" w:cs="Calibri"/>
      <w:noProof/>
      <w:lang w:val="en-US"/>
    </w:rPr>
  </w:style>
  <w:style w:type="character" w:styleId="CommentReference">
    <w:name w:val="annotation reference"/>
    <w:basedOn w:val="DefaultParagraphFont"/>
    <w:uiPriority w:val="99"/>
    <w:semiHidden/>
    <w:unhideWhenUsed/>
    <w:rsid w:val="00B852E7"/>
    <w:rPr>
      <w:sz w:val="16"/>
      <w:szCs w:val="16"/>
    </w:rPr>
  </w:style>
  <w:style w:type="paragraph" w:styleId="CommentText">
    <w:name w:val="annotation text"/>
    <w:basedOn w:val="Normal"/>
    <w:link w:val="CommentTextChar"/>
    <w:uiPriority w:val="99"/>
    <w:semiHidden/>
    <w:unhideWhenUsed/>
    <w:rsid w:val="00B852E7"/>
    <w:pPr>
      <w:spacing w:line="240" w:lineRule="auto"/>
    </w:pPr>
    <w:rPr>
      <w:sz w:val="20"/>
      <w:szCs w:val="20"/>
    </w:rPr>
  </w:style>
  <w:style w:type="character" w:customStyle="1" w:styleId="CommentTextChar">
    <w:name w:val="Comment Text Char"/>
    <w:basedOn w:val="DefaultParagraphFont"/>
    <w:link w:val="CommentText"/>
    <w:uiPriority w:val="99"/>
    <w:semiHidden/>
    <w:rsid w:val="00B852E7"/>
    <w:rPr>
      <w:sz w:val="20"/>
      <w:szCs w:val="20"/>
      <w:lang w:val="nb-NO"/>
    </w:rPr>
  </w:style>
  <w:style w:type="paragraph" w:styleId="CommentSubject">
    <w:name w:val="annotation subject"/>
    <w:basedOn w:val="CommentText"/>
    <w:next w:val="CommentText"/>
    <w:link w:val="CommentSubjectChar"/>
    <w:uiPriority w:val="99"/>
    <w:semiHidden/>
    <w:unhideWhenUsed/>
    <w:rsid w:val="00B852E7"/>
    <w:rPr>
      <w:b/>
      <w:bCs/>
    </w:rPr>
  </w:style>
  <w:style w:type="character" w:customStyle="1" w:styleId="CommentSubjectChar">
    <w:name w:val="Comment Subject Char"/>
    <w:basedOn w:val="CommentTextChar"/>
    <w:link w:val="CommentSubject"/>
    <w:uiPriority w:val="99"/>
    <w:semiHidden/>
    <w:rsid w:val="00B852E7"/>
    <w:rPr>
      <w:b/>
      <w:bCs/>
      <w:sz w:val="20"/>
      <w:szCs w:val="20"/>
      <w:lang w:val="nb-NO"/>
    </w:rPr>
  </w:style>
  <w:style w:type="paragraph" w:styleId="BalloonText">
    <w:name w:val="Balloon Text"/>
    <w:basedOn w:val="Normal"/>
    <w:link w:val="BalloonTextChar"/>
    <w:uiPriority w:val="99"/>
    <w:semiHidden/>
    <w:unhideWhenUsed/>
    <w:rsid w:val="00B852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2E7"/>
    <w:rPr>
      <w:rFonts w:ascii="Segoe UI" w:hAnsi="Segoe UI" w:cs="Segoe UI"/>
      <w:sz w:val="18"/>
      <w:szCs w:val="18"/>
      <w:lang w:val="nb-NO"/>
    </w:rPr>
  </w:style>
  <w:style w:type="character" w:styleId="Hyperlink">
    <w:name w:val="Hyperlink"/>
    <w:basedOn w:val="DefaultParagraphFont"/>
    <w:uiPriority w:val="99"/>
    <w:unhideWhenUsed/>
    <w:rsid w:val="00B852E7"/>
    <w:rPr>
      <w:color w:val="005274"/>
      <w:u w:val="single"/>
      <w:shd w:val="clear" w:color="auto" w:fill="auto"/>
    </w:rPr>
  </w:style>
  <w:style w:type="paragraph" w:styleId="NormalWeb">
    <w:name w:val="Normal (Web)"/>
    <w:basedOn w:val="Normal"/>
    <w:uiPriority w:val="99"/>
    <w:semiHidden/>
    <w:unhideWhenUsed/>
    <w:rsid w:val="00B852E7"/>
    <w:pPr>
      <w:spacing w:before="75" w:after="75" w:line="240" w:lineRule="auto"/>
    </w:pPr>
    <w:rPr>
      <w:rFonts w:ascii="Times New Roman" w:eastAsia="Times New Roman" w:hAnsi="Times New Roman" w:cs="Times New Roman"/>
      <w:sz w:val="24"/>
      <w:szCs w:val="24"/>
      <w:lang w:val="de-CH" w:eastAsia="de-CH"/>
    </w:rPr>
  </w:style>
  <w:style w:type="paragraph" w:customStyle="1" w:styleId="author-jobtitle">
    <w:name w:val="author-jobtitle"/>
    <w:basedOn w:val="Normal"/>
    <w:rsid w:val="00B852E7"/>
    <w:pPr>
      <w:spacing w:before="75" w:after="75" w:line="240" w:lineRule="auto"/>
    </w:pPr>
    <w:rPr>
      <w:rFonts w:ascii="Times New Roman" w:eastAsia="Times New Roman" w:hAnsi="Times New Roman" w:cs="Times New Roman"/>
      <w:sz w:val="24"/>
      <w:szCs w:val="24"/>
      <w:lang w:val="de-CH" w:eastAsia="de-CH"/>
    </w:rPr>
  </w:style>
  <w:style w:type="character" w:customStyle="1" w:styleId="epub-state1">
    <w:name w:val="epub-state1"/>
    <w:basedOn w:val="DefaultParagraphFont"/>
    <w:rsid w:val="00B852E7"/>
    <w:rPr>
      <w:color w:val="8B8B8B"/>
    </w:rPr>
  </w:style>
  <w:style w:type="character" w:customStyle="1" w:styleId="epub-date1">
    <w:name w:val="epub-date1"/>
    <w:basedOn w:val="DefaultParagraphFont"/>
    <w:rsid w:val="00B852E7"/>
    <w:rPr>
      <w:b w:val="0"/>
      <w:bCs w:val="0"/>
      <w:color w:val="1C1D1E"/>
    </w:rPr>
  </w:style>
  <w:style w:type="character" w:customStyle="1" w:styleId="title3">
    <w:name w:val="title3"/>
    <w:basedOn w:val="DefaultParagraphFont"/>
    <w:rsid w:val="00B852E7"/>
  </w:style>
  <w:style w:type="character" w:customStyle="1" w:styleId="infovalue2">
    <w:name w:val="info_value2"/>
    <w:basedOn w:val="DefaultParagraphFont"/>
    <w:rsid w:val="00B852E7"/>
  </w:style>
  <w:style w:type="character" w:customStyle="1" w:styleId="NormalText">
    <w:name w:val="NormalText"/>
    <w:rsid w:val="00B852E7"/>
    <w:rPr>
      <w:rFonts w:ascii="Times New Roman" w:eastAsia="Times New Roman" w:hAnsi="Times New Roman" w:cs="Times New Roman"/>
      <w:sz w:val="18"/>
      <w:szCs w:val="18"/>
    </w:rPr>
  </w:style>
  <w:style w:type="character" w:customStyle="1" w:styleId="doilink">
    <w:name w:val="doi_link"/>
    <w:basedOn w:val="DefaultParagraphFont"/>
    <w:rsid w:val="00B852E7"/>
  </w:style>
  <w:style w:type="paragraph" w:customStyle="1" w:styleId="Default">
    <w:name w:val="Default"/>
    <w:rsid w:val="00B852E7"/>
    <w:pPr>
      <w:autoSpaceDE w:val="0"/>
      <w:autoSpaceDN w:val="0"/>
      <w:adjustRightInd w:val="0"/>
      <w:spacing w:after="0" w:line="240" w:lineRule="auto"/>
    </w:pPr>
    <w:rPr>
      <w:rFonts w:ascii="Calibri" w:hAnsi="Calibri" w:cs="Calibri"/>
      <w:color w:val="000000"/>
      <w:sz w:val="24"/>
      <w:szCs w:val="24"/>
      <w:lang w:val="de-CH"/>
    </w:rPr>
  </w:style>
  <w:style w:type="character" w:customStyle="1" w:styleId="author">
    <w:name w:val="author"/>
    <w:basedOn w:val="DefaultParagraphFont"/>
    <w:rsid w:val="00B852E7"/>
  </w:style>
  <w:style w:type="character" w:customStyle="1" w:styleId="year">
    <w:name w:val="year"/>
    <w:basedOn w:val="DefaultParagraphFont"/>
    <w:rsid w:val="00B852E7"/>
  </w:style>
  <w:style w:type="character" w:customStyle="1" w:styleId="work-title">
    <w:name w:val="work-title"/>
    <w:basedOn w:val="DefaultParagraphFont"/>
    <w:rsid w:val="00B852E7"/>
  </w:style>
  <w:style w:type="character" w:customStyle="1" w:styleId="source-title">
    <w:name w:val="source-title"/>
    <w:basedOn w:val="DefaultParagraphFont"/>
    <w:rsid w:val="00B852E7"/>
  </w:style>
  <w:style w:type="character" w:customStyle="1" w:styleId="description">
    <w:name w:val="description"/>
    <w:basedOn w:val="DefaultParagraphFont"/>
    <w:rsid w:val="00B852E7"/>
  </w:style>
  <w:style w:type="paragraph" w:styleId="ListParagraph">
    <w:name w:val="List Paragraph"/>
    <w:basedOn w:val="Normal"/>
    <w:uiPriority w:val="1"/>
    <w:qFormat/>
    <w:rsid w:val="00B852E7"/>
    <w:pPr>
      <w:ind w:left="720"/>
      <w:contextualSpacing/>
    </w:pPr>
  </w:style>
  <w:style w:type="paragraph" w:customStyle="1" w:styleId="BodyText23">
    <w:name w:val="Body Text 23"/>
    <w:basedOn w:val="Normal"/>
    <w:rsid w:val="00B852E7"/>
    <w:pPr>
      <w:spacing w:after="0" w:line="480" w:lineRule="atLeast"/>
      <w:ind w:firstLine="706"/>
    </w:pPr>
    <w:rPr>
      <w:rFonts w:ascii="Skrift2010" w:eastAsia="Times New Roman" w:hAnsi="Skrift2010" w:cs="Times New Roman"/>
      <w:sz w:val="24"/>
      <w:szCs w:val="20"/>
      <w:lang w:eastAsia="nb-NO"/>
    </w:rPr>
  </w:style>
  <w:style w:type="paragraph" w:styleId="Revision">
    <w:name w:val="Revision"/>
    <w:hidden/>
    <w:uiPriority w:val="99"/>
    <w:semiHidden/>
    <w:rsid w:val="00B852E7"/>
    <w:pPr>
      <w:spacing w:after="0" w:line="240" w:lineRule="auto"/>
    </w:pPr>
    <w:rPr>
      <w:lang w:val="nb-NO"/>
    </w:rPr>
  </w:style>
  <w:style w:type="paragraph" w:customStyle="1" w:styleId="EndNoteBibliographyTitle">
    <w:name w:val="EndNote Bibliography Title"/>
    <w:basedOn w:val="Normal"/>
    <w:link w:val="EndNoteBibliographyTitleTegn"/>
    <w:rsid w:val="00B852E7"/>
    <w:pPr>
      <w:spacing w:after="0"/>
      <w:jc w:val="center"/>
    </w:pPr>
    <w:rPr>
      <w:rFonts w:ascii="Calibri" w:hAnsi="Calibri" w:cs="Calibri"/>
      <w:noProof/>
      <w:lang w:val="en-US"/>
    </w:rPr>
  </w:style>
  <w:style w:type="character" w:customStyle="1" w:styleId="EndNoteBibliographyTitleTegn">
    <w:name w:val="EndNote Bibliography Title Tegn"/>
    <w:basedOn w:val="DefaultParagraphFont"/>
    <w:link w:val="EndNoteBibliographyTitle"/>
    <w:rsid w:val="00B852E7"/>
    <w:rPr>
      <w:rFonts w:ascii="Calibri" w:hAnsi="Calibri" w:cs="Calibri"/>
      <w:noProof/>
      <w:lang w:val="en-US"/>
    </w:rPr>
  </w:style>
  <w:style w:type="character" w:customStyle="1" w:styleId="UnresolvedMention1">
    <w:name w:val="Unresolved Mention1"/>
    <w:basedOn w:val="DefaultParagraphFont"/>
    <w:uiPriority w:val="99"/>
    <w:semiHidden/>
    <w:unhideWhenUsed/>
    <w:rsid w:val="00B852E7"/>
    <w:rPr>
      <w:color w:val="605E5C"/>
      <w:shd w:val="clear" w:color="auto" w:fill="E1DFDD"/>
    </w:rPr>
  </w:style>
  <w:style w:type="character" w:styleId="Emphasis">
    <w:name w:val="Emphasis"/>
    <w:basedOn w:val="DefaultParagraphFont"/>
    <w:uiPriority w:val="20"/>
    <w:qFormat/>
    <w:rsid w:val="00B852E7"/>
    <w:rPr>
      <w:i/>
      <w:iCs/>
    </w:rPr>
  </w:style>
  <w:style w:type="table" w:styleId="TableGrid">
    <w:name w:val="Table Grid"/>
    <w:basedOn w:val="TableNormal"/>
    <w:uiPriority w:val="59"/>
    <w:rsid w:val="00B852E7"/>
    <w:pPr>
      <w:spacing w:after="0" w:line="240" w:lineRule="auto"/>
    </w:pPr>
    <w:rPr>
      <w:rFonts w:ascii="Times New Roman" w:hAnsi="Times New Roman"/>
      <w:sz w:val="21"/>
      <w:szCs w:val="21"/>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B852E7"/>
  </w:style>
  <w:style w:type="paragraph" w:customStyle="1" w:styleId="TableParagraph">
    <w:name w:val="Table Paragraph"/>
    <w:basedOn w:val="Normal"/>
    <w:uiPriority w:val="1"/>
    <w:qFormat/>
    <w:rsid w:val="00B852E7"/>
    <w:pPr>
      <w:widowControl w:val="0"/>
      <w:autoSpaceDE w:val="0"/>
      <w:autoSpaceDN w:val="0"/>
      <w:spacing w:before="10" w:after="0" w:line="240" w:lineRule="auto"/>
      <w:ind w:left="35"/>
    </w:pPr>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7462</Words>
  <Characters>42539</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Vijayan</dc:creator>
  <cp:keywords/>
  <dc:description/>
  <cp:lastModifiedBy>Anila, Vijayan</cp:lastModifiedBy>
  <cp:revision>1</cp:revision>
  <dcterms:created xsi:type="dcterms:W3CDTF">2021-08-27T09:09:00Z</dcterms:created>
  <dcterms:modified xsi:type="dcterms:W3CDTF">2021-08-27T09:15:00Z</dcterms:modified>
</cp:coreProperties>
</file>