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10782" w14:textId="3640F7BF" w:rsidR="00A27221" w:rsidRDefault="00A27221">
      <w:r>
        <w:t>Unter C. I. 4</w:t>
      </w:r>
    </w:p>
    <w:p w14:paraId="04E941B5" w14:textId="2212A06C" w:rsidR="00A27221" w:rsidRDefault="00A27221">
      <w:r w:rsidRPr="00A27221">
        <w:t xml:space="preserve">Bekannte Beispiele sind die dänischen Unternehmen Novo Nordisk, Carlsberg und </w:t>
      </w:r>
      <w:proofErr w:type="spellStart"/>
      <w:r w:rsidRPr="00A27221">
        <w:t>Mærsk</w:t>
      </w:r>
      <w:proofErr w:type="spellEnd"/>
      <w:r w:rsidRPr="00A27221">
        <w:t>, die von Stiftungen kontrolliert werden, die gemeinwohlorientierte Zwecke verfolgen, aber auch die langfristige Eigentümerstellung ihres Unternehmens.</w:t>
      </w:r>
      <w:r>
        <w:rPr>
          <w:rStyle w:val="Funotenzeichen"/>
        </w:rPr>
        <w:footnoteReference w:id="1"/>
      </w:r>
      <w:r w:rsidRPr="00A27221">
        <w:t xml:space="preserve"> Die Anteile an den unternehmenstragenden Gesellschaften, die nicht von den Stiftungen gehalten werden, werden an der Börse gehandelt. Das dänische Stiftungsrecht verfügt soweit ersichtlich über die einzige spezialgesetzliche Regelung und </w:t>
      </w:r>
      <w:proofErr w:type="spellStart"/>
      <w:r w:rsidRPr="00A27221">
        <w:t>Governanceempfehlungen</w:t>
      </w:r>
      <w:proofErr w:type="spellEnd"/>
      <w:r w:rsidRPr="00A27221">
        <w:t xml:space="preserve"> für solche unternehmensverbundenen Stiftungen.</w:t>
      </w:r>
      <w:r>
        <w:rPr>
          <w:rStyle w:val="Funotenzeichen"/>
        </w:rPr>
        <w:footnoteReference w:id="2"/>
      </w:r>
      <w:r w:rsidRPr="00A27221">
        <w:t xml:space="preserve"> In verschiedenen europäischen Ländern lässt sich jedoch eine beeindruckende Vielfalt von Stiftungslösungen finden. Dabei verfolgen solche </w:t>
      </w:r>
      <w:proofErr w:type="gramStart"/>
      <w:r w:rsidRPr="00A27221">
        <w:t>Stiftungen freilich</w:t>
      </w:r>
      <w:proofErr w:type="gramEnd"/>
      <w:r w:rsidRPr="00A27221">
        <w:t xml:space="preserve"> nicht alle gemeinnützige Zwecke; gerade in den Niederlanden, Deutschland, Österreich und der Schweiz sind Familienstiftungen verbreitet.</w:t>
      </w:r>
      <w:r>
        <w:rPr>
          <w:rStyle w:val="Funotenzeichen"/>
        </w:rPr>
        <w:footnoteReference w:id="3"/>
      </w:r>
    </w:p>
    <w:p w14:paraId="1087AE25" w14:textId="77777777" w:rsidR="002A7DB0" w:rsidRDefault="002A7DB0"/>
    <w:p w14:paraId="237F91BE" w14:textId="77777777" w:rsidR="002A7DB0" w:rsidRDefault="002A7DB0"/>
    <w:p w14:paraId="73B7BCD5" w14:textId="1870D2A3" w:rsidR="002A7DB0" w:rsidRDefault="002A7DB0">
      <w:r>
        <w:t xml:space="preserve">Unter D I Bitte den Satz den folgenden Satz direkt an den ersten Absatz anschließen. Das war leider im Programm nicht möglich. </w:t>
      </w:r>
    </w:p>
    <w:p w14:paraId="5323260A" w14:textId="40B826DD" w:rsidR="002A7DB0" w:rsidRDefault="002A7DB0">
      <w:r w:rsidRPr="002A7DB0">
        <w:t>Auch der Koalitionsvertrag der seit 2025 im Amt befindlichen Koalition von CDU, CSU und SPD für die 21. Legislaturperiode enthält die Gesellschaft mit gebundenem Vermögen als eigene Rechtsform mit "unumkehrbarer Vermögensbindung" und "mitgliedschaftlicher Logik" als Regierungsprojekt.</w:t>
      </w:r>
      <w:r>
        <w:rPr>
          <w:rStyle w:val="Funotenzeichen"/>
        </w:rPr>
        <w:footnoteReference w:id="4"/>
      </w:r>
    </w:p>
    <w:p w14:paraId="587A96C8" w14:textId="77777777" w:rsidR="002A7DB0" w:rsidRDefault="002A7DB0"/>
    <w:p w14:paraId="37596F80" w14:textId="2A1E929E" w:rsidR="002A7DB0" w:rsidRDefault="002A7DB0">
      <w:r>
        <w:t xml:space="preserve">Ebenfalls unter D I am Ende: </w:t>
      </w:r>
      <w:r w:rsidRPr="002A7DB0">
        <w:t xml:space="preserve">Die Stimmrechte an der unternehmenstragenden Gesellschaft hält hier ein sogenannter </w:t>
      </w:r>
      <w:proofErr w:type="spellStart"/>
      <w:r w:rsidRPr="002A7DB0">
        <w:t>Perp</w:t>
      </w:r>
      <w:r w:rsidR="008D754B">
        <w:t>e</w:t>
      </w:r>
      <w:r w:rsidRPr="002A7DB0">
        <w:t>tual</w:t>
      </w:r>
      <w:proofErr w:type="spellEnd"/>
      <w:r w:rsidRPr="002A7DB0">
        <w:t xml:space="preserve"> Purpose Trust, ein Trust mit einem dauerhaften, nicht gemeinnützigen Zweck.</w:t>
      </w:r>
      <w:r w:rsidR="008D754B">
        <w:rPr>
          <w:rStyle w:val="Funotenzeichen"/>
        </w:rPr>
        <w:footnoteReference w:id="5"/>
      </w:r>
      <w:r w:rsidRPr="002A7DB0">
        <w:t> </w:t>
      </w:r>
    </w:p>
    <w:sectPr w:rsidR="002A7DB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6AD9D" w14:textId="77777777" w:rsidR="00190823" w:rsidRDefault="00190823" w:rsidP="00A27221">
      <w:pPr>
        <w:spacing w:after="0" w:line="240" w:lineRule="auto"/>
      </w:pPr>
      <w:r>
        <w:separator/>
      </w:r>
    </w:p>
  </w:endnote>
  <w:endnote w:type="continuationSeparator" w:id="0">
    <w:p w14:paraId="2A6BD292" w14:textId="77777777" w:rsidR="00190823" w:rsidRDefault="00190823" w:rsidP="00A27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3C831" w14:textId="77777777" w:rsidR="00190823" w:rsidRDefault="00190823" w:rsidP="00A27221">
      <w:pPr>
        <w:spacing w:after="0" w:line="240" w:lineRule="auto"/>
      </w:pPr>
      <w:r>
        <w:separator/>
      </w:r>
    </w:p>
  </w:footnote>
  <w:footnote w:type="continuationSeparator" w:id="0">
    <w:p w14:paraId="0168034F" w14:textId="77777777" w:rsidR="00190823" w:rsidRDefault="00190823" w:rsidP="00A27221">
      <w:pPr>
        <w:spacing w:after="0" w:line="240" w:lineRule="auto"/>
      </w:pPr>
      <w:r>
        <w:continuationSeparator/>
      </w:r>
    </w:p>
  </w:footnote>
  <w:footnote w:id="1">
    <w:p w14:paraId="18B4C35D" w14:textId="3C9D9430" w:rsidR="00A27221" w:rsidRPr="00A27221" w:rsidRDefault="00A27221" w:rsidP="00A27221">
      <w:pPr>
        <w:jc w:val="both"/>
        <w:rPr>
          <w:sz w:val="20"/>
          <w:szCs w:val="20"/>
        </w:rPr>
      </w:pPr>
      <w:r w:rsidRPr="00A27221">
        <w:rPr>
          <w:rStyle w:val="Funotenzeichen"/>
          <w:sz w:val="20"/>
          <w:szCs w:val="20"/>
        </w:rPr>
        <w:footnoteRef/>
      </w:r>
      <w:r w:rsidRPr="00A27221">
        <w:rPr>
          <w:sz w:val="20"/>
          <w:szCs w:val="20"/>
        </w:rPr>
        <w:t xml:space="preserve"> </w:t>
      </w:r>
      <w:proofErr w:type="spellStart"/>
      <w:r w:rsidRPr="00A27221">
        <w:rPr>
          <w:i/>
          <w:iCs/>
          <w:sz w:val="20"/>
          <w:szCs w:val="20"/>
        </w:rPr>
        <w:t>Feldthusen</w:t>
      </w:r>
      <w:proofErr w:type="spellEnd"/>
      <w:r w:rsidRPr="00A27221">
        <w:rPr>
          <w:sz w:val="20"/>
          <w:szCs w:val="20"/>
        </w:rPr>
        <w:t xml:space="preserve"> in Sanders/Thomsen, Enterprise </w:t>
      </w:r>
      <w:proofErr w:type="spellStart"/>
      <w:r w:rsidRPr="00A27221">
        <w:rPr>
          <w:sz w:val="20"/>
          <w:szCs w:val="20"/>
        </w:rPr>
        <w:t>Foundation</w:t>
      </w:r>
      <w:proofErr w:type="spellEnd"/>
      <w:r w:rsidRPr="00A27221">
        <w:rPr>
          <w:sz w:val="20"/>
          <w:szCs w:val="20"/>
        </w:rPr>
        <w:t xml:space="preserve"> Law in </w:t>
      </w:r>
      <w:proofErr w:type="spellStart"/>
      <w:r w:rsidRPr="00A27221">
        <w:rPr>
          <w:sz w:val="20"/>
          <w:szCs w:val="20"/>
        </w:rPr>
        <w:t>Comparative</w:t>
      </w:r>
      <w:proofErr w:type="spellEnd"/>
      <w:r w:rsidRPr="00A27221">
        <w:rPr>
          <w:sz w:val="20"/>
          <w:szCs w:val="20"/>
        </w:rPr>
        <w:t xml:space="preserve"> </w:t>
      </w:r>
      <w:proofErr w:type="spellStart"/>
      <w:r w:rsidRPr="00A27221">
        <w:rPr>
          <w:sz w:val="20"/>
          <w:szCs w:val="20"/>
        </w:rPr>
        <w:t>Perspective</w:t>
      </w:r>
      <w:proofErr w:type="spellEnd"/>
      <w:r w:rsidRPr="00A27221">
        <w:rPr>
          <w:sz w:val="20"/>
          <w:szCs w:val="20"/>
        </w:rPr>
        <w:t xml:space="preserve">, 129 ff.; </w:t>
      </w:r>
      <w:proofErr w:type="spellStart"/>
      <w:r w:rsidRPr="00A27221">
        <w:rPr>
          <w:i/>
          <w:iCs/>
          <w:sz w:val="20"/>
          <w:szCs w:val="20"/>
        </w:rPr>
        <w:t>Feldthusen</w:t>
      </w:r>
      <w:proofErr w:type="spellEnd"/>
      <w:r w:rsidRPr="00A27221">
        <w:rPr>
          <w:i/>
          <w:iCs/>
          <w:sz w:val="20"/>
          <w:szCs w:val="20"/>
        </w:rPr>
        <w:t>/</w:t>
      </w:r>
      <w:proofErr w:type="spellStart"/>
      <w:r w:rsidRPr="00A27221">
        <w:rPr>
          <w:i/>
          <w:iCs/>
          <w:sz w:val="20"/>
          <w:szCs w:val="20"/>
        </w:rPr>
        <w:t>Kalss</w:t>
      </w:r>
      <w:proofErr w:type="spellEnd"/>
      <w:r w:rsidRPr="00A27221">
        <w:rPr>
          <w:i/>
          <w:iCs/>
          <w:sz w:val="20"/>
          <w:szCs w:val="20"/>
        </w:rPr>
        <w:t>/Teichmann,</w:t>
      </w:r>
      <w:r w:rsidRPr="00A27221">
        <w:rPr>
          <w:sz w:val="20"/>
          <w:szCs w:val="20"/>
        </w:rPr>
        <w:t xml:space="preserve"> ZGR 2024, 862. ´</w:t>
      </w:r>
    </w:p>
  </w:footnote>
  <w:footnote w:id="2">
    <w:p w14:paraId="0FA27A78" w14:textId="70312D4A" w:rsidR="00A27221" w:rsidRPr="00A27221" w:rsidRDefault="00A27221">
      <w:pPr>
        <w:pStyle w:val="Funotentext"/>
      </w:pPr>
      <w:r w:rsidRPr="00A27221">
        <w:rPr>
          <w:rStyle w:val="Funotenzeichen"/>
        </w:rPr>
        <w:footnoteRef/>
      </w:r>
      <w:r w:rsidRPr="00A27221">
        <w:t xml:space="preserve"> Vgl. </w:t>
      </w:r>
      <w:r>
        <w:t>Zum Projekt eines</w:t>
      </w:r>
      <w:r w:rsidRPr="00A27221">
        <w:t xml:space="preserve"> europäischen Modellgesetzes European Law Institut (ELI) </w:t>
      </w:r>
      <w:r>
        <w:t xml:space="preserve">von Thomsen/Sanders: </w:t>
      </w:r>
      <w:r w:rsidRPr="00A27221">
        <w:t>https://www.europeanlawinstitute.eu/projects-publications/current-projects/current-projects/eli-enterprise-foundations-in-europe/.</w:t>
      </w:r>
    </w:p>
  </w:footnote>
  <w:footnote w:id="3">
    <w:p w14:paraId="2475E601" w14:textId="77777777" w:rsidR="00A27221" w:rsidRPr="00A27221" w:rsidRDefault="00A27221" w:rsidP="00A27221">
      <w:pPr>
        <w:pStyle w:val="Funotentext"/>
      </w:pPr>
      <w:r w:rsidRPr="00A27221">
        <w:rPr>
          <w:rStyle w:val="Funotenzeichen"/>
        </w:rPr>
        <w:footnoteRef/>
      </w:r>
      <w:r w:rsidRPr="00A27221">
        <w:t xml:space="preserve"> Vgl. die Übersicht bei Sanders/Thomsen, Enterprise </w:t>
      </w:r>
      <w:proofErr w:type="spellStart"/>
      <w:r w:rsidRPr="00A27221">
        <w:t>Foundation</w:t>
      </w:r>
      <w:proofErr w:type="spellEnd"/>
      <w:r w:rsidRPr="00A27221">
        <w:t xml:space="preserve"> Law in </w:t>
      </w:r>
      <w:proofErr w:type="spellStart"/>
      <w:r w:rsidRPr="00A27221">
        <w:t>Comparative</w:t>
      </w:r>
      <w:proofErr w:type="spellEnd"/>
      <w:r w:rsidRPr="00A27221">
        <w:t xml:space="preserve"> </w:t>
      </w:r>
      <w:proofErr w:type="spellStart"/>
      <w:r w:rsidRPr="00A27221">
        <w:t>Perspective</w:t>
      </w:r>
      <w:proofErr w:type="spellEnd"/>
      <w:r w:rsidRPr="00A27221">
        <w:t xml:space="preserve"> in der demnächst erscheinenden zweiten Auflage. </w:t>
      </w:r>
    </w:p>
  </w:footnote>
  <w:footnote w:id="4">
    <w:p w14:paraId="1996E811" w14:textId="033FC6BE" w:rsidR="002A7DB0" w:rsidRDefault="002A7DB0">
      <w:pPr>
        <w:pStyle w:val="Funotentext"/>
      </w:pPr>
      <w:r>
        <w:rPr>
          <w:rStyle w:val="Funotenzeichen"/>
        </w:rPr>
        <w:footnoteRef/>
      </w:r>
      <w:r>
        <w:t xml:space="preserve"> Verantwortung für Deutschland, Koalitionsvertrag zwischen CDU, CSU und SPD für die 21. Legislaturperiode, 2025. </w:t>
      </w:r>
    </w:p>
  </w:footnote>
  <w:footnote w:id="5">
    <w:p w14:paraId="71EB749D" w14:textId="3041D82B" w:rsidR="008D754B" w:rsidRDefault="008D754B">
      <w:pPr>
        <w:pStyle w:val="Funotentext"/>
      </w:pPr>
      <w:r>
        <w:rPr>
          <w:rStyle w:val="Funotenzeichen"/>
        </w:rPr>
        <w:footnoteRef/>
      </w:r>
      <w:r>
        <w:t xml:space="preserve"> </w:t>
      </w:r>
      <w:hyperlink r:id="rId1" w:history="1">
        <w:r w:rsidRPr="009B288B">
          <w:rPr>
            <w:rStyle w:val="Hyperlink"/>
          </w:rPr>
          <w:t>https://www.patagonia.com/ownership/</w:t>
        </w:r>
      </w:hyperlink>
      <w:r>
        <w:t xml:space="preserve"> (zuletzt abgerufen am </w:t>
      </w:r>
      <w:r>
        <w:t>17.5.2025).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221"/>
    <w:rsid w:val="00190823"/>
    <w:rsid w:val="00215347"/>
    <w:rsid w:val="002A7DB0"/>
    <w:rsid w:val="008D754B"/>
    <w:rsid w:val="00A27221"/>
    <w:rsid w:val="00A90260"/>
    <w:rsid w:val="00C568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17A54F7"/>
  <w15:chartTrackingRefBased/>
  <w15:docId w15:val="{707DFA81-AAFD-BA41-B216-515562F7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272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272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2722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2722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2722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2722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2722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2722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2722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2722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2722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2722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2722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2722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2722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2722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2722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27221"/>
    <w:rPr>
      <w:rFonts w:eastAsiaTheme="majorEastAsia" w:cstheme="majorBidi"/>
      <w:color w:val="272727" w:themeColor="text1" w:themeTint="D8"/>
    </w:rPr>
  </w:style>
  <w:style w:type="paragraph" w:styleId="Titel">
    <w:name w:val="Title"/>
    <w:basedOn w:val="Standard"/>
    <w:next w:val="Standard"/>
    <w:link w:val="TitelZchn"/>
    <w:uiPriority w:val="10"/>
    <w:qFormat/>
    <w:rsid w:val="00A272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2722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2722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2722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2722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27221"/>
    <w:rPr>
      <w:i/>
      <w:iCs/>
      <w:color w:val="404040" w:themeColor="text1" w:themeTint="BF"/>
    </w:rPr>
  </w:style>
  <w:style w:type="paragraph" w:styleId="Listenabsatz">
    <w:name w:val="List Paragraph"/>
    <w:basedOn w:val="Standard"/>
    <w:uiPriority w:val="34"/>
    <w:qFormat/>
    <w:rsid w:val="00A27221"/>
    <w:pPr>
      <w:ind w:left="720"/>
      <w:contextualSpacing/>
    </w:pPr>
  </w:style>
  <w:style w:type="character" w:styleId="IntensiveHervorhebung">
    <w:name w:val="Intense Emphasis"/>
    <w:basedOn w:val="Absatz-Standardschriftart"/>
    <w:uiPriority w:val="21"/>
    <w:qFormat/>
    <w:rsid w:val="00A27221"/>
    <w:rPr>
      <w:i/>
      <w:iCs/>
      <w:color w:val="0F4761" w:themeColor="accent1" w:themeShade="BF"/>
    </w:rPr>
  </w:style>
  <w:style w:type="paragraph" w:styleId="IntensivesZitat">
    <w:name w:val="Intense Quote"/>
    <w:basedOn w:val="Standard"/>
    <w:next w:val="Standard"/>
    <w:link w:val="IntensivesZitatZchn"/>
    <w:uiPriority w:val="30"/>
    <w:qFormat/>
    <w:rsid w:val="00A272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27221"/>
    <w:rPr>
      <w:i/>
      <w:iCs/>
      <w:color w:val="0F4761" w:themeColor="accent1" w:themeShade="BF"/>
    </w:rPr>
  </w:style>
  <w:style w:type="character" w:styleId="IntensiverVerweis">
    <w:name w:val="Intense Reference"/>
    <w:basedOn w:val="Absatz-Standardschriftart"/>
    <w:uiPriority w:val="32"/>
    <w:qFormat/>
    <w:rsid w:val="00A27221"/>
    <w:rPr>
      <w:b/>
      <w:bCs/>
      <w:smallCaps/>
      <w:color w:val="0F4761" w:themeColor="accent1" w:themeShade="BF"/>
      <w:spacing w:val="5"/>
    </w:rPr>
  </w:style>
  <w:style w:type="paragraph" w:styleId="Funotentext">
    <w:name w:val="footnote text"/>
    <w:basedOn w:val="Standard"/>
    <w:link w:val="FunotentextZchn"/>
    <w:uiPriority w:val="99"/>
    <w:semiHidden/>
    <w:unhideWhenUsed/>
    <w:rsid w:val="00A2722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27221"/>
    <w:rPr>
      <w:sz w:val="20"/>
      <w:szCs w:val="20"/>
    </w:rPr>
  </w:style>
  <w:style w:type="character" w:styleId="Funotenzeichen">
    <w:name w:val="footnote reference"/>
    <w:basedOn w:val="Absatz-Standardschriftart"/>
    <w:uiPriority w:val="99"/>
    <w:semiHidden/>
    <w:unhideWhenUsed/>
    <w:rsid w:val="00A27221"/>
    <w:rPr>
      <w:vertAlign w:val="superscript"/>
    </w:rPr>
  </w:style>
  <w:style w:type="character" w:styleId="Hyperlink">
    <w:name w:val="Hyperlink"/>
    <w:basedOn w:val="Absatz-Standardschriftart"/>
    <w:uiPriority w:val="99"/>
    <w:unhideWhenUsed/>
    <w:rsid w:val="008D754B"/>
    <w:rPr>
      <w:color w:val="467886" w:themeColor="hyperlink"/>
      <w:u w:val="single"/>
    </w:rPr>
  </w:style>
  <w:style w:type="character" w:styleId="NichtaufgelsteErwhnung">
    <w:name w:val="Unresolved Mention"/>
    <w:basedOn w:val="Absatz-Standardschriftart"/>
    <w:uiPriority w:val="99"/>
    <w:semiHidden/>
    <w:unhideWhenUsed/>
    <w:rsid w:val="008D75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patagonia.com/ownership/"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1273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Orangenfee Sanders</dc:creator>
  <cp:keywords/>
  <dc:description/>
  <cp:lastModifiedBy>Orangenfee Sanders</cp:lastModifiedBy>
  <cp:revision>2</cp:revision>
  <dcterms:created xsi:type="dcterms:W3CDTF">2025-05-16T11:05:00Z</dcterms:created>
  <dcterms:modified xsi:type="dcterms:W3CDTF">2025-05-17T13:31:00Z</dcterms:modified>
</cp:coreProperties>
</file>